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главного специалиста-эксперта отдела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государственного геологического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Магадан)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3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специальностей и направлений подготовки):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«Юриспруденция», «Геология», «Геология, разведка и разработка полезных ископаемых», «География», «Геодезия», «Геохимия», «География и картография», «Почвоведение», «Геология и разведка полезных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ископаемых», «Горное дело», «Нефтегазовое дело», «Экология и природопользование», «Защита окружающей среды», «Охрана окружающей среды и рациональное использование природных ресурсов», «Подземная разработка месторождений полезных ископаемых», «Экология»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</w:t>
      </w:r>
      <w:hyperlink r:id="rId15" w:tooltip="consultantplus://offline/ref=0A11FFF90F54E72FB840FE9E8E61BFE49C5E16AE80002808EB76D4725670v5A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Закона</w:t>
        </w:r>
      </w:hyperlink>
      <w:r>
        <w:rPr>
          <w:color w:val="000000" w:themeColor="text1"/>
          <w:sz w:val="24"/>
          <w:szCs w:val="24"/>
          <w:highlight w:val="none"/>
        </w:rPr>
        <w:t xml:space="preserve"> Российской Федерации от 21.02.1992 № 2395-1 «О недрах»;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Федерального закона от 26.03.1998 № 41-ФЗ «О драгоценных металлах и драгоценных камнях» (</w:t>
      </w:r>
      <w:hyperlink r:id="rId16" w:tooltip="consultantplus://offline/ref=0A11FFF90F54E72FB840FE9E8E61BFE49C5017A881032808EB76D4725605CEC45E8C8F9F33393BA171v5A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ст. ст. 15</w:t>
        </w:r>
      </w:hyperlink>
      <w:r>
        <w:rPr>
          <w:color w:val="000000" w:themeColor="text1"/>
          <w:sz w:val="24"/>
          <w:szCs w:val="24"/>
          <w:highlight w:val="none"/>
        </w:rPr>
        <w:t xml:space="preserve">, </w:t>
      </w:r>
      <w:hyperlink r:id="rId17" w:tooltip="consultantplus://offline/ref=0A11FFF90F54E72FB840FE9E8E61BFE49C5017A881032808EB76D4725605CEC45E8C8F9F33393BA171v0A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16</w:t>
        </w:r>
      </w:hyperlink>
      <w:r>
        <w:rPr>
          <w:color w:val="000000" w:themeColor="text1"/>
          <w:sz w:val="24"/>
          <w:szCs w:val="24"/>
          <w:highlight w:val="none"/>
        </w:rPr>
        <w:t xml:space="preserve">, </w:t>
      </w:r>
      <w:hyperlink r:id="rId18" w:tooltip="consultantplus://offline/ref=0A11FFF90F54E72FB840FE9E8E61BFE49C5017A881032808EB76D4725605CEC45E8C8F9F333938A471vEA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1</w:t>
        </w:r>
      </w:hyperlink>
      <w:r>
        <w:rPr>
          <w:color w:val="000000" w:themeColor="text1"/>
          <w:sz w:val="24"/>
          <w:szCs w:val="24"/>
          <w:highlight w:val="none"/>
        </w:rPr>
        <w:t xml:space="preserve">, </w:t>
      </w:r>
      <w:hyperlink r:id="rId19" w:tooltip="consultantplus://offline/ref=0A11FFF90F54E72FB840FE9E8E61BFE49C5017A881032808EB76D4725605CEC45E8C8F9F33393AA771v2A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19</w:t>
        </w:r>
      </w:hyperlink>
      <w:r>
        <w:rPr>
          <w:color w:val="000000" w:themeColor="text1"/>
          <w:sz w:val="24"/>
          <w:szCs w:val="24"/>
          <w:highlight w:val="none"/>
        </w:rPr>
        <w:t xml:space="preserve">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6) </w:t>
      </w:r>
      <w:r>
        <w:rPr>
          <w:color w:val="000000" w:themeColor="text1"/>
          <w:spacing w:val="4"/>
          <w:sz w:val="24"/>
          <w:szCs w:val="24"/>
          <w:highlight w:val="none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  <w:highlight w:val="none"/>
        </w:rPr>
      </w:r>
      <w:r>
        <w:rPr>
          <w:color w:val="0070c0" w:themeColor="text1"/>
          <w:spacing w:val="4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7)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8) Федерального</w:t>
      </w:r>
      <w:hyperlink r:id="rId20" w:tooltip="https://login.consultant.ru/link/?req=doc&amp;base=LAW&amp;n=460036" w:history="1">
        <w:r>
          <w:rPr>
            <w:color w:val="000000" w:themeColor="text1"/>
            <w:sz w:val="24"/>
            <w:szCs w:val="24"/>
            <w:highlight w:val="none"/>
          </w:rPr>
          <w:t xml:space="preserve"> закона</w:t>
        </w:r>
      </w:hyperlink>
      <w:r>
        <w:rPr>
          <w:color w:val="000000" w:themeColor="text1"/>
          <w:sz w:val="24"/>
          <w:szCs w:val="24"/>
          <w:highlight w:val="none"/>
        </w:rPr>
        <w:t xml:space="preserve"> от 31.07.1998 № 155-ФЗ «О внутренних морских водах, территориальном море и прилежащей зоне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9)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10) Федерального закона от 30.12.1995 № 225-ФЗ «О соглашениях о разделе продукции»;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11)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12)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13)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14) Постановления Правительства Рос</w:t>
      </w:r>
      <w:r>
        <w:rPr>
          <w:color w:val="000000" w:themeColor="text1"/>
          <w:sz w:val="24"/>
          <w:szCs w:val="24"/>
          <w:highlight w:val="none"/>
        </w:rPr>
        <w:t xml:space="preserve">сийской Федерации от 01.03.2023 № 335 «О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15) </w:t>
      </w:r>
      <w:hyperlink r:id="rId21" w:tooltip="consultantplus://offline/ref=0A11FFF90F54E72FB840FE9E8E61BFE49F5B1AA780022808EB76D4725670v5A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  <w:highlight w:val="none"/>
        </w:rPr>
        <w:t xml:space="preserve"> Правительства Российской Федерации от 04.07.2013 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16) Постановления Пра</w:t>
      </w:r>
      <w:r>
        <w:rPr>
          <w:color w:val="000000" w:themeColor="text1"/>
          <w:sz w:val="24"/>
          <w:szCs w:val="24"/>
          <w:highlight w:val="none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17) </w:t>
      </w:r>
      <w:hyperlink r:id="rId22" w:tooltip="consultantplus://offline/ref=0A11FFF90F54E72FB840FE9E8E61BFE49F5B1AA780022808EB76D4725670v5A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  <w:highlight w:val="none"/>
        </w:rPr>
        <w:t xml:space="preserve"> Правительства Российской Федерации от 29.12.2001 № 921 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18) Постановления Правительства Российской Федерации от 30.06.2021 № 1095 «Об утверждении Положения о федеральном государственном геологическом контроле (надзоре)»;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19) Постановления Правительства Российской Федерации от 30.11.2021 № 2127 «О порядке подготовки, согласования и утверждения технических проектов разработки месторождений полезных ископаемых, техниче</w:t>
      </w:r>
      <w:r>
        <w:rPr>
          <w:color w:val="000000" w:themeColor="text1"/>
          <w:sz w:val="24"/>
          <w:szCs w:val="24"/>
          <w:highlight w:val="none"/>
        </w:rPr>
        <w:t xml:space="preserve">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20)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21) Приказа Министерства природных ресурсов и экологии Российской Федерации от 25.06.2010 № 218 «Об утверждении требований к структуре и оформлению проектн</w:t>
      </w:r>
      <w:r>
        <w:rPr>
          <w:color w:val="000000" w:themeColor="text1"/>
          <w:sz w:val="24"/>
          <w:szCs w:val="24"/>
          <w:highlight w:val="none"/>
        </w:rPr>
        <w:t xml:space="preserve">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 (зарегистрирован Министерством юстиции Российской Федерации 10.08.2010, регистрационный № 18104);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22) Приказа Министерства природных ресурсов и экологии Российской Фе</w:t>
      </w:r>
      <w:r>
        <w:rPr>
          <w:color w:val="000000" w:themeColor="text1"/>
          <w:sz w:val="24"/>
          <w:szCs w:val="24"/>
          <w:highlight w:val="none"/>
        </w:rPr>
        <w:t xml:space="preserve">дерации от 06.09.2012 № 265 «Об утверждении Порядка постановки запасов полезных ископаемых на государственный баланс и их списании с государственного баланса» (зарегистрирован Министерством юстиции Российской Федерации 21.12.2012, регистрационный № 26227);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23) Приказа Министерства природных ресурсов и экологии Российской Федерации от 01.12.2020 №</w:t>
      </w:r>
      <w:r>
        <w:rPr>
          <w:color w:val="000000" w:themeColor="text1"/>
          <w:sz w:val="24"/>
          <w:szCs w:val="24"/>
          <w:highlight w:val="none"/>
        </w:rPr>
        <w:t xml:space="preserve"> 996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</w:t>
      </w:r>
      <w:r>
        <w:rPr>
          <w:color w:val="000000" w:themeColor="text1"/>
          <w:sz w:val="24"/>
          <w:szCs w:val="24"/>
          <w:highlight w:val="none"/>
        </w:rPr>
        <w:t xml:space="preserve">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</w:t>
      </w:r>
      <w:r>
        <w:rPr>
          <w:color w:val="000000" w:themeColor="text1"/>
          <w:sz w:val="24"/>
          <w:szCs w:val="24"/>
          <w:highlight w:val="none"/>
        </w:rPr>
        <w:t xml:space="preserve">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проекта» (зарегистрирован Министерством юстиции Российской Федерации 31.12.2020, регистрационный № 62024);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24) иные акты законодательства Российской Федерации, акты Президента Российской Федерации и </w:t>
      </w:r>
      <w:r>
        <w:rPr>
          <w:color w:val="000000" w:themeColor="text1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4"/>
          <w:szCs w:val="24"/>
          <w:highlight w:val="none"/>
          <w:u w:val="singl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особенности формирования государственного заказа на выполнение научно-исследовательских и опытно-конструкторских работ в области геологии и недропользования;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нормативные правовые акты Российской Федерации, регламентирующие порядок проведения проектно-изыскательских работ, предынвестиционных исследований, разработки документов государственного стратегического планирования в сфере недропользования;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виды, особенности создания и применения карт, планов, пространственных данных и геоинформационных сервисов;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стандартное и специал</w:t>
      </w:r>
      <w:r>
        <w:rPr>
          <w:color w:val="000000" w:themeColor="text1"/>
          <w:sz w:val="24"/>
          <w:szCs w:val="24"/>
          <w:highlight w:val="none"/>
        </w:rPr>
        <w:t xml:space="preserve">изированное программное обеспечение, применяемое для формирования баз данных параметров (показателей) состояния недропользования, включая геоинформационные системы, источники пространственных данных (глобальных и региональных) и статистической информации;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5) научно-техническая документация в области использования природных ресурсов, охраны окружающей среды, технико-экономических основ производства в промышленности;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6) проектный менеджмент в сфере недропользования;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7) основные закономерности функционирования и развития природных, природно-хозяйственных и социально-экономических территориальных систем района геологических исследований (недропользования);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8) стандартное программное обеспечение, используемое для подготовки технического задания;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9) международный и отечественный опыт выполнения аналогичных видов работ.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принципы, методы, технологии и механизмы осуществления контроля (надзора);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принципы защиты прав подконтрольных лиц;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виды, порядок организации и осуществления мероприятий по профилактике нарушения обязательных требований;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обязанности и ограничения при проведении мероприятий по контролю;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5) виды и основные характеристики мероприятий по контролю;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6) порядок организации и осуществления мероприятий по контролю без взаимодействия;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7) порядок организации и осуществления плановых проверок, формирования ежегодного плана проведения плановых проверок;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8) институт предварительной проверки жалобы и иной информации, поступившей в контрольно-надзорный орган;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9) основания проведения и особенности внеплановых проверок, согласование их проведения с органами прокуратуры;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10) порядок, этапы, инструменты организации и проведения проверки;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11) понятие единого реестра контрольных (надзорных) мероприятий, процедура его формирования;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12) меры, принимаемые по результатам проверки.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4"/>
          <w:szCs w:val="24"/>
          <w:highlight w:val="none"/>
          <w:u w:val="singl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3" w:tooltip="&lt;div class=&quot;doc www&quot;&gt;&lt;span class=&quot;aligner&quot;&gt;&lt;div class=&quot;icon listDocWWW-16&quot;&gt;&lt;/div&gt;&lt;/span&gt;pravo.gov.ru&lt;/div&gt;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4"/>
          <w:szCs w:val="24"/>
          <w:highlight w:val="none"/>
          <w:u w:val="singl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1) работа с федеральными информационными ресурсами и информационными системами в области геологии и недропользования;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2) изучение и внедрение новых научных достижений, прогрессивных технологий, передового опыта в области геологии и недропользования;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использовать геоинформационные системы для поиска, анализа и редактирования карт, а также дополнительной информации о пространственных объектах;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опред</w:t>
      </w:r>
      <w:r>
        <w:rPr>
          <w:color w:val="000000" w:themeColor="text1"/>
          <w:sz w:val="24"/>
          <w:szCs w:val="24"/>
          <w:highlight w:val="none"/>
        </w:rPr>
        <w:t xml:space="preserve">елять ключевые параметры проектов и работ, связанных с геологическим изучением, разведкой и добычей минеральных ресурсов; обосновывать сроки выполнения этапов работ и проектов, связанных с геологическим изучением, разведкой и добычей минеральных ресурсов;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5) применять стандартное программное обеспечение для подготовки технического задания.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проведение мероприятий по профилактике нарушения обязательных требований;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проведение мероприятий по контролю без взаимодействия;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5) проведение плановых и внеплановых документарных (камеральных) проверок;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6) проведение плановых и внеплановых выездных проверок;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8) подготовка проектов программ ревизий (проверок), докладов, информации, справок по результатам контрольных мероприятий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9) прием и согласование документации, заявок, заявлений;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11) утверждение нормативов;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12) рассмотрение запросов, ходатайств, уведомлений, жалоб;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13) проведение экспертизы;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14) проведение консультаций.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 </w:t>
      </w:r>
      <w:r>
        <w:rPr>
          <w:color w:val="000000" w:themeColor="text1"/>
          <w:sz w:val="24"/>
          <w:szCs w:val="24"/>
        </w:rPr>
        <w:t xml:space="preserve">Главного специалиста-эксперта,</w:t>
      </w:r>
      <w:r>
        <w:rPr>
          <w:color w:val="000000" w:themeColor="text1"/>
          <w:sz w:val="24"/>
          <w:szCs w:val="24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государственного геологического надзора (далее – Отдел)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Главный специалист-эксперт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</w:t>
      </w:r>
      <w:r>
        <w:rPr>
          <w:color w:val="000000" w:themeColor="text1"/>
          <w:sz w:val="24"/>
          <w:szCs w:val="24"/>
        </w:rPr>
        <w:t xml:space="preserve">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том числе предоставленное ему для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0000" w:themeColor="text1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</w:t>
      </w:r>
      <w:r>
        <w:rPr>
          <w:color w:val="000000" w:themeColor="text1"/>
          <w:sz w:val="24"/>
          <w:szCs w:val="24"/>
        </w:rPr>
        <w:t xml:space="preserve">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</w:t>
      </w:r>
      <w:r>
        <w:rPr>
          <w:color w:val="000000" w:themeColor="text1"/>
          <w:sz w:val="24"/>
          <w:szCs w:val="24"/>
        </w:rPr>
        <w:t xml:space="preserve">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</w:t>
      </w:r>
      <w:r>
        <w:rPr>
          <w:color w:val="000000" w:themeColor="text1"/>
          <w:sz w:val="24"/>
          <w:szCs w:val="24"/>
        </w:rPr>
        <w:t xml:space="preserve">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по мнению </w:t>
      </w:r>
      <w:r>
        <w:rPr>
          <w:color w:val="000000" w:themeColor="text1"/>
          <w:sz w:val="24"/>
          <w:szCs w:val="24"/>
        </w:rPr>
        <w:t xml:space="preserve">Главного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Главный специалист-эксперт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 </w:t>
      </w:r>
      <w:r>
        <w:rPr>
          <w:color w:val="000000" w:themeColor="text1"/>
          <w:sz w:val="24"/>
          <w:szCs w:val="24"/>
        </w:rPr>
        <w:t xml:space="preserve">государственным инспектором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осуществлять</w:t>
      </w:r>
      <w:r>
        <w:rPr>
          <w:color w:val="000000" w:themeColor="text1"/>
          <w:sz w:val="24"/>
          <w:szCs w:val="24"/>
        </w:rPr>
        <w:t xml:space="preserve"> на территории Магаданской области, Чукотского автономного округа, в акваториях внутренних морских вод Российской Федерации, в территориальном море Российской Федерации, примыкающих к административным границам Чукотского автономного округа и Магаданской об</w:t>
      </w:r>
      <w:r>
        <w:rPr>
          <w:color w:val="000000" w:themeColor="text1"/>
          <w:sz w:val="24"/>
          <w:szCs w:val="24"/>
        </w:rPr>
        <w:t xml:space="preserve">ласти, на континентальном шельфе Российской Федерации и в исключительной экономической зоне Российской Федерации в Беринговом, Восточно-Сибирском, Охотском и Чукотском морях федеральный государственный геологический контроль (надзор) по следующим вопросам: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17.1) наличие утвержденной проектной документации, предусмотренной </w:t>
      </w:r>
      <w:hyperlink r:id="rId24" w:tooltip="consultantplus://offline/ref=3AB02919702B0695855B2C51D36D1EC67BB5DF9AEE010A0F9E0B53C587484DE619C958BD21E958738612EA7F84E2D8066CC08B077703c2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5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36.1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«О недрах»;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17.2) соблюдение требований проектной документации, предусмотренной </w:t>
      </w:r>
      <w:hyperlink r:id="rId26" w:tooltip="consultantplus://offline/ref=3AB02919702B0695855B2C51D36D1EC67BB5DF9AEE010A0F9E0B53C587484DE619C958BD21E958738612EA7F84E2D8066CC08B077703c2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7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36.1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«О недрах», недопущение сверхнормативных потерь, разубоживания и выборочной отработки полезных ископаемых;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17.3) ведение геологической и иной документации при осуществлении видов пользования недрами, предусмотренных </w:t>
      </w:r>
      <w:hyperlink r:id="rId28" w:tooltip="consultantplus://offline/ref=3AB02919702B0695855B2C51D36D1EC67BB5DF9AEE010A0F9E0B53C587484DE619C958BE22ED532FD4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статьей 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«О недрах», обеспечение ее сохранности;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17.4) соблюдение требований по рациональному использованию и охране недр;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17.5) достоверность содержания геологической и иной документации о состоянии и изменении запасов полезных ископаемых;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17.6) 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17.7) своевременное и правильное внесение платежей за пользование недрами;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17.8) выполнение условий, установленных лицензией на пользование недрами или соглашением о разделе продукции;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17.9) 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 полезных ископаемых и (или) в иных целях;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17.10) 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недр;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17.11) предотвращение самовольного пользования недрами;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17.12) предотвращение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самовольной застройки земельных участков, расположенных за границами населенных пунктов и находящихся на площадях залегания полезных ископаемых, а также размещения за границами населенных пунктов в местах залегания полезных ископаемых подземных сооружений;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17.13) достоверность данных о разведанных, извлекаемых и оставляемых в недрах запаса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полезных ископаемых, содержащихся в них компонентах, 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17.14) 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17.15) исключение негативного воздействия на окружающую среду при размещении в пластах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горных пород попутных вод,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 разведку и добычу, а также первичную переработку калийных и магниевых солей;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17.16) ликвидация и консервация горных выработок, буровых скважин и иных сооружений, связанных с пользованием недрами (в том числе, рассмотрение и подписание актов ликвидации/консервации, веде</w:t>
      </w:r>
      <w:r>
        <w:rPr>
          <w:color w:val="000000" w:themeColor="text1"/>
          <w:sz w:val="24"/>
          <w:szCs w:val="24"/>
        </w:rPr>
        <w:t xml:space="preserve">ние учета ликвидированных и законсервированных скважин посредствам цифрового Реестра ликвидированных и законсервированных скважин, горных выработок и иных сооружений, связанных с пользованием недрами на базе Кабинета сотрудника ведомства Росприроднадзора);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принимать участие в подготовке и представлении в центральный аппарат Росприроднадзора (по поручению центрального аппарата Росприроднадзора)предложений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18.1)</w:t>
      </w:r>
      <w:r>
        <w:rPr>
          <w:color w:val="000000" w:themeColor="text1"/>
          <w:sz w:val="24"/>
          <w:szCs w:val="24"/>
        </w:rPr>
        <w:tab/>
        <w:t xml:space="preserve">решений о выдаче либо об отказе в выдаче разрешений на строительство, реконструкцию</w:t>
      </w:r>
      <w:r>
        <w:rPr>
          <w:color w:val="000000" w:themeColor="text1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18.2)</w:t>
      </w:r>
      <w:r>
        <w:rPr>
          <w:color w:val="000000" w:themeColor="text1"/>
          <w:sz w:val="24"/>
          <w:szCs w:val="24"/>
        </w:rPr>
        <w:tab/>
        <w:t xml:space="preserve">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</w:t>
      </w:r>
      <w:r>
        <w:rPr>
          <w:color w:val="000000" w:themeColor="text1"/>
          <w:sz w:val="24"/>
          <w:szCs w:val="24"/>
        </w:rPr>
        <w:tab/>
        <w:t xml:space="preserve">принимать участие в подготовке материалов для согласования </w:t>
      </w:r>
      <w:r>
        <w:rPr>
          <w:color w:val="000000" w:themeColor="text1"/>
          <w:sz w:val="24"/>
          <w:szCs w:val="24"/>
        </w:rPr>
        <w:t xml:space="preserve">Отделом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19.1) нормативов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проектной документации;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19.2) перечня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участвовать в подготовке материалов для представления в центральный аппарат Росприроднадзора мотивированных заключений о согласовании вывоза с таможенной терр</w:t>
      </w:r>
      <w:r>
        <w:rPr>
          <w:color w:val="000000" w:themeColor="text1"/>
          <w:sz w:val="24"/>
          <w:szCs w:val="24"/>
        </w:rPr>
        <w:t xml:space="preserve">итории Евразийского экономического союза информации о недрах по районам и месторождениям топливно-энергетического и минерального сырья, коллекций и предметов коллекционирования по минералогии и палеонтологии, костей ископаемых животных, минерального сырья;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направлять в центральный аппарат Росприроднадзора предложения о досрочном прекращении, приостановлении или ограничении права пользования участками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принимать участие </w:t>
      </w:r>
      <w:r>
        <w:rPr>
          <w:color w:val="000000" w:themeColor="text1"/>
          <w:sz w:val="24"/>
          <w:szCs w:val="24"/>
        </w:rPr>
        <w:t xml:space="preserve">в представлении уполномоченным органам, осуществляющим установление границ участков недр, предложений при подготовке в установленном порядке проектов решений о предоставлении права пользования участками недр в отношении участков недр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подготавливать материалы для участия должностных лиц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 в работе комиссий, создаваемых Федеральным агентством по недропользованию или его территориальными органами для рассмотрения материалов по изменению границ участков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подготавливать материалы для участия должностных лиц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 в работе комиссий, создава</w:t>
      </w:r>
      <w:r>
        <w:rPr>
          <w:color w:val="000000" w:themeColor="text1"/>
          <w:sz w:val="24"/>
          <w:szCs w:val="24"/>
        </w:rPr>
        <w:t xml:space="preserve">емых Федеральным агентством по недропользованию или его территориальными органами, по согласованию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</w:t>
      </w:r>
      <w:r>
        <w:rPr>
          <w:color w:val="000000" w:themeColor="text1"/>
          <w:sz w:val="24"/>
          <w:szCs w:val="24"/>
        </w:rPr>
        <w:tab/>
        <w:t xml:space="preserve">производить расчет размера вреда, причиненного недрам вследствие нарушения законодательства Российской Федерации о недрах, в порядке, установленном Постановлением Правительства Российской Федерации от 04.07.2013 № 564;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осуществлять в пределах своей компетенции производство по 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27) направлять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осуществлять обработку персональных данных, доступ к персональным данным в связи с исполнением установленных положением об </w:t>
      </w:r>
      <w:r>
        <w:rPr>
          <w:color w:val="000000" w:themeColor="text1"/>
          <w:sz w:val="24"/>
          <w:szCs w:val="24"/>
        </w:rPr>
        <w:t xml:space="preserve">Отделе </w:t>
      </w:r>
      <w:r>
        <w:rPr>
          <w:color w:val="000000" w:themeColor="text1"/>
          <w:sz w:val="24"/>
          <w:szCs w:val="24"/>
        </w:rPr>
        <w:t xml:space="preserve">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</w:t>
      </w:r>
      <w:r>
        <w:rPr>
          <w:color w:val="000000" w:themeColor="text1"/>
          <w:sz w:val="24"/>
          <w:szCs w:val="24"/>
        </w:rPr>
        <w:t xml:space="preserve">лять рассмотрение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участвовать в формировании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геологического контроля (надзора), отнесенных к определенной категории риска, поднадзорных Управлению, </w:t>
      </w:r>
      <w:r>
        <w:rPr>
          <w:color w:val="000000" w:themeColor="text1"/>
          <w:sz w:val="24"/>
          <w:szCs w:val="24"/>
        </w:rPr>
        <w:t xml:space="preserve">а также систематической актуализации Перечней и размещению актуализированной информации об объектах федерального государственного геологического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принимать участие в отнесении объектов федерального государственного геологического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 </w:t>
      </w:r>
      <w:r>
        <w:rPr>
          <w:color w:val="000000" w:themeColor="text1"/>
          <w:sz w:val="24"/>
          <w:szCs w:val="24"/>
        </w:rPr>
        <w:t xml:space="preserve">в систематической актуализации категории риска объектов федерального государственного геологического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принимать участие в формировании проекта ежегодного плана проведения контроль</w:t>
      </w:r>
      <w:r>
        <w:rPr>
          <w:color w:val="000000" w:themeColor="text1"/>
          <w:sz w:val="24"/>
          <w:szCs w:val="24"/>
        </w:rPr>
        <w:t xml:space="preserve">ных (надзорных) мероприятий по направлению государственного геологического контроля (надзора), во включении в план и исключении из него контрольных (надзорных) мероприятий в течение года с использованием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участвовать в формировании плана профилактических мероприятий по направлению государственного геологического контроля (надзора), включаемых в программу профилактики рисков причинения вреда, утвержденную Росприроднадзором;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осуществлять следующие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</w:t>
      </w:r>
      <w:r>
        <w:rPr>
          <w:color w:val="000000" w:themeColor="text1"/>
          <w:sz w:val="24"/>
          <w:szCs w:val="24"/>
        </w:rPr>
        <w:t xml:space="preserve">бобщение и анализ информации о результатах государственного геологического надзора на территории Магаданской области и Чукотского автономного округа с представлением ее Управлению в составе, объеме и в сроки, устанавливаемые Росприроднадзором,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работу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 в отдел информационно-аналитического, административно-хозяйственного обеспечения и делопроизводства.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проектов приказов, распоряжений и иных документов Управления по вопросам, входящим в компетенцию Отдела.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10. </w:t>
      </w:r>
      <w:r>
        <w:rPr>
          <w:color w:val="000000" w:themeColor="text1"/>
          <w:sz w:val="24"/>
          <w:szCs w:val="24"/>
        </w:rPr>
        <w:t xml:space="preserve">Главный специалист-эксперт </w:t>
      </w:r>
      <w:r>
        <w:rPr>
          <w:color w:val="000000" w:themeColor="text1"/>
          <w:sz w:val="24"/>
          <w:szCs w:val="24"/>
        </w:rPr>
        <w:t xml:space="preserve">исполняет иные обязанности, предусмотренные законодательством Российской Федерации, приказами, 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Отдела, заместителя руководителя Управления, руководителя 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62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104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Управления, изъявивший желание участвовать в конкурсе, подает заявление на имя представителя нанимателя.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44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b w:val="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29" w:tooltip="mailto:petrovskaya.mv@rpn.gov.ru" w:history="1">
        <w:r>
          <w:rPr>
            <w:rStyle w:val="927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Style w:val="1235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Style w:val="1235"/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45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30" w:tooltip="https://mintrud.gov.ru/testing/default/index" w:history="1">
        <w:r>
          <w:rPr>
            <w:rStyle w:val="118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87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</w:p>
    <w:p>
      <w:pPr>
        <w:pStyle w:val="9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1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1215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45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9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0A11FFF90F54E72FB840FE9E8E61BFE49C5E16AE80002808EB76D4725670v5A" TargetMode="External"/><Relationship Id="rId16" Type="http://schemas.openxmlformats.org/officeDocument/2006/relationships/hyperlink" Target="consultantplus://offline/ref=0A11FFF90F54E72FB840FE9E8E61BFE49C5017A881032808EB76D4725605CEC45E8C8F9F33393BA171v5A" TargetMode="External"/><Relationship Id="rId17" Type="http://schemas.openxmlformats.org/officeDocument/2006/relationships/hyperlink" Target="consultantplus://offline/ref=0A11FFF90F54E72FB840FE9E8E61BFE49C5017A881032808EB76D4725605CEC45E8C8F9F33393BA171v0A" TargetMode="External"/><Relationship Id="rId18" Type="http://schemas.openxmlformats.org/officeDocument/2006/relationships/hyperlink" Target="consultantplus://offline/ref=0A11FFF90F54E72FB840FE9E8E61BFE49C5017A881032808EB76D4725605CEC45E8C8F9F333938A471vEA" TargetMode="External"/><Relationship Id="rId19" Type="http://schemas.openxmlformats.org/officeDocument/2006/relationships/hyperlink" Target="consultantplus://offline/ref=0A11FFF90F54E72FB840FE9E8E61BFE49C5017A881032808EB76D4725605CEC45E8C8F9F33393AA771v2A" TargetMode="External"/><Relationship Id="rId20" Type="http://schemas.openxmlformats.org/officeDocument/2006/relationships/hyperlink" Target="https://login.consultant.ru/link/?req=doc&amp;base=LAW&amp;n=460036" TargetMode="External"/><Relationship Id="rId21" Type="http://schemas.openxmlformats.org/officeDocument/2006/relationships/hyperlink" Target="consultantplus://offline/ref=0A11FFF90F54E72FB840FE9E8E61BFE49F5B1AA780022808EB76D4725670v5A" TargetMode="External"/><Relationship Id="rId22" Type="http://schemas.openxmlformats.org/officeDocument/2006/relationships/hyperlink" Target="consultantplus://offline/ref=0A11FFF90F54E72FB840FE9E8E61BFE49F5B1AA780022808EB76D4725670v5A" TargetMode="External"/><Relationship Id="rId23" Type="http://schemas.openxmlformats.org/officeDocument/2006/relationships/hyperlink" Target="http://pravo.gov.ru" TargetMode="External"/><Relationship Id="rId24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5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6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7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8" Type="http://schemas.openxmlformats.org/officeDocument/2006/relationships/hyperlink" Target="consultantplus://offline/ref=3AB02919702B0695855B2C51D36D1EC67BB5DF9AEE010A0F9E0B53C587484DE619C958BE22ED532FD45DEB23C0B6CB076FC088056B31523003cCG" TargetMode="External"/><Relationship Id="rId29" Type="http://schemas.openxmlformats.org/officeDocument/2006/relationships/hyperlink" Target="mailto:petrovskaya.mv@rpn.gov.ru" TargetMode="External"/><Relationship Id="rId30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99</cp:revision>
  <dcterms:created xsi:type="dcterms:W3CDTF">2022-08-15T05:13:00Z</dcterms:created>
  <dcterms:modified xsi:type="dcterms:W3CDTF">2025-09-04T03:35:45Z</dcterms:modified>
  <cp:version>1048576</cp:version>
</cp:coreProperties>
</file>