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rFonts w:ascii="Tempora LGC Uni" w:hAnsi="Tempora LGC Uni" w:cs="Tempora LGC Uni"/>
          <w:sz w:val="24"/>
          <w:szCs w:val="24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информирует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 начале работы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  <w:shd w:val="clear" w:color="auto" w:fill="ffffff"/>
        </w:rPr>
        <w:t xml:space="preserve">авл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ения 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от 21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.07.2025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 615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проектная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докум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ffffff" w:themeColor="background1" w:fill="ffffff" w:themeFill="background1"/>
        </w:rPr>
        <w:t xml:space="preserve">«Комплекс работ по подключению (технологическому присоединению) электросвязи на объекте «Реконструкция с элементами реставрации с приспособлением к современному использованию объекта культурного наследия федерального значения «Форт «Кроншлот» 1 этап, г. Кро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ffffff" w:themeColor="background1" w:fill="ffffff" w:themeFill="background1"/>
        </w:rPr>
        <w:t xml:space="preserve">нштадт (шифр объекта  </w:t>
        <w:br/>
        <w:t xml:space="preserve">3-41/19-97) кадастровый номер земельного участка № 78:44:0010106:1,  «Форт  «Петр I» (форт «Цитадель»), I этап, г. Кронштадт (г. Санкт-Петербург, г. Кронштадт, южный фарватер) (шифр объекта 3-41/19-98) кадастровый номер земельного учас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ffffff" w:themeColor="background1" w:fill="ffffff" w:themeFill="background1"/>
        </w:rPr>
        <w:t xml:space="preserve">тка № 78:34:0010113:3001, «Форт «Император Александр 1» (форт «Чумной»), 1 этап,  г. Кронштадт» (шифр объекта 3-41/19-99) кадастровый номер земельного участка  № 78:34:0010105:1» к сети электросвязи Заказчика»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</w:r>
      <w:r>
        <w:rPr>
          <w:rFonts w:ascii="Tempora LGC Uni" w:hAnsi="Tempora LGC Uni" w:cs="Tempora LGC Uni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empora LGC Uni" w:hAnsi="Tempora LGC Uni" w:cs="Tempora LGC Uni"/>
          <w:sz w:val="24"/>
          <w:szCs w:val="24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-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42 рабочих дня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</w:r>
      <w:r>
        <w:rPr>
          <w:rFonts w:ascii="Tempora LGC Uni" w:hAnsi="Tempora LGC Uni" w:cs="Tempora LGC Uni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Организационное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заседание экспертной комиссии государственной экол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огической экспертизы состоится 24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июля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2025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года в 09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час. 3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0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мин.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по адресу: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. Санкт-Петербург,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Литейный проспект, д.39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в режиме видеоконференц-связи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7</cp:revision>
  <dcterms:created xsi:type="dcterms:W3CDTF">2025-07-01T12:54:00Z</dcterms:created>
  <dcterms:modified xsi:type="dcterms:W3CDTF">2025-07-21T07:25:36Z</dcterms:modified>
</cp:coreProperties>
</file>