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42" w:rsidRPr="00D71AE4" w:rsidRDefault="00A13742" w:rsidP="00A13742">
      <w:pPr>
        <w:jc w:val="center"/>
        <w:rPr>
          <w:rFonts w:ascii="Times New Roman" w:hAnsi="Times New Roman" w:cs="Times New Roman"/>
          <w:b/>
          <w:sz w:val="28"/>
          <w:szCs w:val="28"/>
          <w:lang w:eastAsia="ru-RU"/>
        </w:rPr>
      </w:pPr>
      <w:bookmarkStart w:id="0" w:name="_GoBack"/>
      <w:r w:rsidRPr="005A5D2B">
        <w:rPr>
          <w:rFonts w:ascii="Times New Roman" w:hAnsi="Times New Roman" w:cs="Times New Roman"/>
          <w:b/>
          <w:sz w:val="28"/>
          <w:szCs w:val="28"/>
          <w:lang w:eastAsia="ru-RU"/>
        </w:rPr>
        <w:t xml:space="preserve">Указания по заполнению </w:t>
      </w:r>
      <w:hyperlink r:id="rId4" w:history="1">
        <w:r w:rsidRPr="005A5D2B">
          <w:rPr>
            <w:rFonts w:ascii="Times New Roman" w:hAnsi="Times New Roman" w:cs="Times New Roman"/>
            <w:b/>
            <w:sz w:val="28"/>
            <w:szCs w:val="28"/>
            <w:lang w:eastAsia="ru-RU"/>
          </w:rPr>
          <w:t>формы</w:t>
        </w:r>
      </w:hyperlink>
      <w:r>
        <w:rPr>
          <w:rFonts w:ascii="Times New Roman" w:hAnsi="Times New Roman" w:cs="Times New Roman"/>
          <w:b/>
          <w:sz w:val="28"/>
          <w:szCs w:val="28"/>
          <w:lang w:eastAsia="ru-RU"/>
        </w:rPr>
        <w:t xml:space="preserve"> </w:t>
      </w:r>
      <w:r w:rsidRPr="00A13742">
        <w:rPr>
          <w:rFonts w:ascii="Times New Roman" w:hAnsi="Times New Roman" w:cs="Times New Roman"/>
          <w:b/>
          <w:sz w:val="28"/>
          <w:szCs w:val="28"/>
          <w:lang w:eastAsia="ru-RU"/>
        </w:rPr>
        <w:t>расчета суммы экологического сбора</w:t>
      </w:r>
    </w:p>
    <w:bookmarkEnd w:id="0"/>
    <w:p w:rsidR="00A13742" w:rsidRDefault="00A13742" w:rsidP="00A13742">
      <w:pPr>
        <w:autoSpaceDE w:val="0"/>
        <w:autoSpaceDN w:val="0"/>
        <w:adjustRightInd w:val="0"/>
        <w:spacing w:after="0" w:line="240" w:lineRule="auto"/>
        <w:ind w:firstLine="540"/>
        <w:jc w:val="both"/>
        <w:rPr>
          <w:rFonts w:ascii="Times New Roman" w:hAnsi="Times New Roman" w:cs="Times New Roman"/>
          <w:sz w:val="28"/>
          <w:szCs w:val="28"/>
        </w:rPr>
      </w:pPr>
    </w:p>
    <w:p w:rsidR="00A13742" w:rsidRDefault="00A13742" w:rsidP="00A137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Заполняется для готовых товаров, выпущенных в обращение на территории Российской Федерации их производителями, и упаковки таких товаров. Наименование по каждому готовому товару, включая упаковку, указывается в соответствии с </w:t>
      </w:r>
      <w:hyperlink r:id="rId5" w:history="1">
        <w:r>
          <w:rPr>
            <w:rFonts w:ascii="Times New Roman" w:hAnsi="Times New Roman" w:cs="Times New Roman"/>
            <w:color w:val="0000FF"/>
            <w:sz w:val="28"/>
            <w:szCs w:val="28"/>
          </w:rPr>
          <w:t>перечнем</w:t>
        </w:r>
      </w:hyperlink>
      <w:r>
        <w:rPr>
          <w:rFonts w:ascii="Times New Roman" w:hAnsi="Times New Roman" w:cs="Times New Roman"/>
          <w:sz w:val="28"/>
          <w:szCs w:val="28"/>
        </w:rPr>
        <w:t xml:space="preserve">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Код по каждому товару, включая упаковку, указывается по Общероссийскому </w:t>
      </w:r>
      <w:hyperlink r:id="rId6" w:history="1">
        <w:r>
          <w:rPr>
            <w:rFonts w:ascii="Times New Roman" w:hAnsi="Times New Roman" w:cs="Times New Roman"/>
            <w:color w:val="0000FF"/>
            <w:sz w:val="28"/>
            <w:szCs w:val="28"/>
          </w:rPr>
          <w:t>классификатору</w:t>
        </w:r>
      </w:hyperlink>
      <w:r>
        <w:rPr>
          <w:rFonts w:ascii="Times New Roman" w:hAnsi="Times New Roman" w:cs="Times New Roman"/>
          <w:sz w:val="28"/>
          <w:szCs w:val="28"/>
        </w:rPr>
        <w:t xml:space="preserve"> продукции по видам экономической деятельности ОК 034-2014 (КПЕС 2008).</w:t>
      </w:r>
    </w:p>
    <w:p w:rsidR="00A13742" w:rsidRDefault="00A13742" w:rsidP="00A1374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&lt;2&gt; Заполняется для импортируемых готовых товаров, выпущенных в обращение на территории Российской Федерации их импортерами, и упаковки таких товаров. Наименование и код по каждому готовому товару (упаковке) указываются по единой Товарной </w:t>
      </w:r>
      <w:hyperlink r:id="rId7" w:history="1">
        <w:r>
          <w:rPr>
            <w:rFonts w:ascii="Times New Roman" w:hAnsi="Times New Roman" w:cs="Times New Roman"/>
            <w:color w:val="0000FF"/>
            <w:sz w:val="28"/>
            <w:szCs w:val="28"/>
          </w:rPr>
          <w:t>номенклатуре</w:t>
        </w:r>
      </w:hyperlink>
      <w:r>
        <w:rPr>
          <w:rFonts w:ascii="Times New Roman" w:hAnsi="Times New Roman" w:cs="Times New Roman"/>
          <w:sz w:val="28"/>
          <w:szCs w:val="28"/>
        </w:rPr>
        <w:t xml:space="preserve"> внешнеэкономической деятельности Евразийского экономического союза (ТН ВЭД ЕАЭС), утвержденной решением Совета Евразийской экономической комиссии от 16.07.2012 N 54 (официальный сайт Евразийской экономической комиссии http://www.tsouz.ru/, 23.07.2012).</w:t>
      </w:r>
    </w:p>
    <w:p w:rsidR="00A13742" w:rsidRDefault="00A13742" w:rsidP="00A1374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&lt;3&gt; Заполняется на основании данных декларации о количестве выпущенных в обращение на территории Российской Федерации за предыдущий календарный год готовых товаров, в том числе упаковки, подлежащих утилизации, представленной в соответствии с </w:t>
      </w:r>
      <w:hyperlink r:id="rId8" w:history="1">
        <w:r>
          <w:rPr>
            <w:rFonts w:ascii="Times New Roman" w:hAnsi="Times New Roman" w:cs="Times New Roman"/>
            <w:color w:val="0000FF"/>
            <w:sz w:val="28"/>
            <w:szCs w:val="28"/>
          </w:rPr>
          <w:t>Положением</w:t>
        </w:r>
      </w:hyperlink>
      <w:r>
        <w:rPr>
          <w:rFonts w:ascii="Times New Roman" w:hAnsi="Times New Roman" w:cs="Times New Roman"/>
          <w:sz w:val="28"/>
          <w:szCs w:val="28"/>
        </w:rPr>
        <w:t xml:space="preserve">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утвержденным постановлением Правительства Российской Федерации от 24.12.2015 N 1417 (Собрание законодательства Российской Федерации, 04.01.2016, N 1 (часть II), ст. 231).</w:t>
      </w:r>
    </w:p>
    <w:p w:rsidR="00A13742" w:rsidRDefault="00A13742" w:rsidP="00A1374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&lt;4&gt; </w:t>
      </w:r>
      <w:hyperlink r:id="rId9" w:history="1">
        <w:r>
          <w:rPr>
            <w:rFonts w:ascii="Times New Roman" w:hAnsi="Times New Roman" w:cs="Times New Roman"/>
            <w:color w:val="0000FF"/>
            <w:sz w:val="28"/>
            <w:szCs w:val="28"/>
          </w:rPr>
          <w:t>Нормативы</w:t>
        </w:r>
      </w:hyperlink>
      <w:r>
        <w:rPr>
          <w:rFonts w:ascii="Times New Roman" w:hAnsi="Times New Roman" w:cs="Times New Roman"/>
          <w:sz w:val="28"/>
          <w:szCs w:val="28"/>
        </w:rPr>
        <w:t xml:space="preserve"> утилизации отходов от использования товаров утверждены распоряжением Правительства Российской Федерации от 04.12.2015 N 2491-р (Собрание законодательства Российской Федерации, 14.12.2015, N 50, ст. 7207).</w:t>
      </w:r>
    </w:p>
    <w:p w:rsidR="00A13742" w:rsidRDefault="00A13742" w:rsidP="00A1374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&lt;5&gt; Заполняется на основании данных о количестве отходов от использования готовых товаров, упаковки товаров, переданных на утилизацию в отчетном периоде, за которые необходимо оплатить экологический сбор, указанными в направленной производителями, импортерами товаров в текущем году отчетности о выполнении нормативов утилизации отходов от использования товаров, подлежащих утилизации после утраты ими потребительских свойств, представленной в соответствии с </w:t>
      </w:r>
      <w:hyperlink r:id="rId10"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утвержденными постановлением Правительства Российской Федерации от 08.12.2015 N 1342 (Собрание законодательства Российской Федерации, 21.12.2015, N 51 (часть III), ст. 7332).</w:t>
      </w:r>
    </w:p>
    <w:p w:rsidR="00A13742" w:rsidRDefault="00A13742" w:rsidP="00A1374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&lt;6&gt; Заполняется в соответствии со </w:t>
      </w:r>
      <w:hyperlink r:id="rId11" w:history="1">
        <w:r>
          <w:rPr>
            <w:rFonts w:ascii="Times New Roman" w:hAnsi="Times New Roman" w:cs="Times New Roman"/>
            <w:color w:val="0000FF"/>
            <w:sz w:val="28"/>
            <w:szCs w:val="28"/>
          </w:rPr>
          <w:t>ставками</w:t>
        </w:r>
      </w:hyperlink>
      <w:r>
        <w:rPr>
          <w:rFonts w:ascii="Times New Roman" w:hAnsi="Times New Roman" w:cs="Times New Roman"/>
          <w:sz w:val="28"/>
          <w:szCs w:val="28"/>
        </w:rPr>
        <w:t xml:space="preserve"> экологического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утвержденными постановлением Правительства Российской Федерации от 09.04.2016 N 284 (Собрание законодательства Российской Федерации, 18.04.2016, N 16, ст. 2221).</w:t>
      </w:r>
    </w:p>
    <w:p w:rsidR="00A13742" w:rsidRDefault="00A13742" w:rsidP="00A1374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&lt;7&gt; Заполняется с точностью до двух знаков после запятой.</w:t>
      </w:r>
    </w:p>
    <w:p w:rsidR="00A13742" w:rsidRDefault="00A13742" w:rsidP="00A1374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&lt;8&gt; Итоговая сумма экологического сбора определяется путем суммирования суммы экологического сбора за готовые товары и суммы экологического сбора за упаковку.</w:t>
      </w:r>
    </w:p>
    <w:p w:rsidR="00A13742" w:rsidRDefault="00A13742" w:rsidP="00A1374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&lt;9&gt; Сумма экологического сбора за готовые товары и сумма экологического сбора за упаковку определяются путем суммирования значений по группам товаров, включая упаковку, подлежащих утилизации.</w:t>
      </w:r>
    </w:p>
    <w:p w:rsidR="00A13742" w:rsidRDefault="00A13742" w:rsidP="00A1374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&lt;10&gt; Заполняется для каждой группы готовых товаров, включая упаковку, для которой установлены нормативы утилизации. Наименование групп готовых товаров, включая упаковку, указывается в соответствии с </w:t>
      </w:r>
      <w:hyperlink r:id="rId12" w:history="1">
        <w:r>
          <w:rPr>
            <w:rFonts w:ascii="Times New Roman" w:hAnsi="Times New Roman" w:cs="Times New Roman"/>
            <w:color w:val="0000FF"/>
            <w:sz w:val="28"/>
            <w:szCs w:val="28"/>
          </w:rPr>
          <w:t>перечнем</w:t>
        </w:r>
      </w:hyperlink>
      <w:r>
        <w:rPr>
          <w:rFonts w:ascii="Times New Roman" w:hAnsi="Times New Roman" w:cs="Times New Roman"/>
          <w:sz w:val="28"/>
          <w:szCs w:val="28"/>
        </w:rPr>
        <w:t xml:space="preserve">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В расчет включаются только те готовые товары, упаковка товаров, по которым у производителя, импортера товаров возникает обязанность по их утилизации. </w:t>
      </w:r>
      <w:hyperlink r:id="rId13" w:history="1">
        <w:r>
          <w:rPr>
            <w:rFonts w:ascii="Times New Roman" w:hAnsi="Times New Roman" w:cs="Times New Roman"/>
            <w:color w:val="0000FF"/>
            <w:sz w:val="28"/>
            <w:szCs w:val="28"/>
          </w:rPr>
          <w:t>Графа 12</w:t>
        </w:r>
      </w:hyperlink>
      <w:r>
        <w:rPr>
          <w:rFonts w:ascii="Times New Roman" w:hAnsi="Times New Roman" w:cs="Times New Roman"/>
          <w:sz w:val="28"/>
          <w:szCs w:val="28"/>
        </w:rPr>
        <w:t xml:space="preserve"> определяется путем суммирования значений по каждой группе готовых товаров, включая упаковку.</w:t>
      </w:r>
    </w:p>
    <w:p w:rsidR="00A13742" w:rsidRDefault="00A13742" w:rsidP="00A1374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&lt;11&gt; Заполняется по каждому наименованию готовых товаров, упаковки товаров, по которым у производителя, импортера товаров возникает обязанность по их утилизации. </w:t>
      </w:r>
      <w:hyperlink r:id="rId14" w:history="1">
        <w:r>
          <w:rPr>
            <w:rFonts w:ascii="Times New Roman" w:hAnsi="Times New Roman" w:cs="Times New Roman"/>
            <w:color w:val="0000FF"/>
            <w:sz w:val="28"/>
            <w:szCs w:val="28"/>
          </w:rPr>
          <w:t>Графа 12</w:t>
        </w:r>
      </w:hyperlink>
      <w:r>
        <w:rPr>
          <w:rFonts w:ascii="Times New Roman" w:hAnsi="Times New Roman" w:cs="Times New Roman"/>
          <w:sz w:val="28"/>
          <w:szCs w:val="28"/>
        </w:rPr>
        <w:t xml:space="preserve"> определяется путем умножения значений по </w:t>
      </w:r>
      <w:hyperlink r:id="rId15" w:history="1">
        <w:r>
          <w:rPr>
            <w:rFonts w:ascii="Times New Roman" w:hAnsi="Times New Roman" w:cs="Times New Roman"/>
            <w:color w:val="0000FF"/>
            <w:sz w:val="28"/>
            <w:szCs w:val="28"/>
          </w:rPr>
          <w:t>графе 10</w:t>
        </w:r>
      </w:hyperlink>
      <w:r>
        <w:rPr>
          <w:rFonts w:ascii="Times New Roman" w:hAnsi="Times New Roman" w:cs="Times New Roman"/>
          <w:sz w:val="28"/>
          <w:szCs w:val="28"/>
        </w:rPr>
        <w:t xml:space="preserve"> и </w:t>
      </w:r>
      <w:hyperlink r:id="rId16" w:history="1">
        <w:r>
          <w:rPr>
            <w:rFonts w:ascii="Times New Roman" w:hAnsi="Times New Roman" w:cs="Times New Roman"/>
            <w:color w:val="0000FF"/>
            <w:sz w:val="28"/>
            <w:szCs w:val="28"/>
          </w:rPr>
          <w:t>графе 11</w:t>
        </w:r>
      </w:hyperlink>
      <w:r>
        <w:rPr>
          <w:rFonts w:ascii="Times New Roman" w:hAnsi="Times New Roman" w:cs="Times New Roman"/>
          <w:sz w:val="28"/>
          <w:szCs w:val="28"/>
        </w:rPr>
        <w:t>.</w:t>
      </w:r>
    </w:p>
    <w:p w:rsidR="00AE01DB" w:rsidRDefault="00A13742" w:rsidP="009D63C0">
      <w:pPr>
        <w:autoSpaceDE w:val="0"/>
        <w:autoSpaceDN w:val="0"/>
        <w:adjustRightInd w:val="0"/>
        <w:spacing w:before="280" w:after="0" w:line="240" w:lineRule="auto"/>
        <w:ind w:firstLine="540"/>
        <w:jc w:val="both"/>
      </w:pPr>
      <w:r>
        <w:rPr>
          <w:rFonts w:ascii="Times New Roman" w:hAnsi="Times New Roman" w:cs="Times New Roman"/>
          <w:sz w:val="28"/>
          <w:szCs w:val="28"/>
        </w:rPr>
        <w:t>&lt;12&gt; При представлении расчета суммы экологического сбора на бумажном носителе он заверяется печатью в случае, если в соответствии с законодательством Российской Федерации лицо, подавшее расчет суммы экологического сбора, должно иметь печать.</w:t>
      </w:r>
    </w:p>
    <w:sectPr w:rsidR="00AE01DB" w:rsidSect="00D1722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41"/>
    <w:rsid w:val="002F2E41"/>
    <w:rsid w:val="003945C3"/>
    <w:rsid w:val="009D63C0"/>
    <w:rsid w:val="00A13742"/>
    <w:rsid w:val="00C66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A70BE-8BA2-4EEE-A7EB-4DE353AD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A97B26A01517ADED804DB5FAC1D9FEB6988DF6E6A7A80F0C11422C592A4E240C4A1A15A0AE530C66EA6D81F37E9AE6A768BF36851B319BTFG7L" TargetMode="External"/><Relationship Id="rId13" Type="http://schemas.openxmlformats.org/officeDocument/2006/relationships/hyperlink" Target="consultantplus://offline/ref=7FA97B26A01517ADED804DB5FAC1D9FEB7988BFAE1A6A80F0C11422C592A4E240C4A1A15A0AE530B6CEA6D81F37E9AE6A768BF36851B319BTFG7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FA97B26A01517ADED804DB5FAC1D9FEB6918DF7E2A5A80F0C11422C592A4E240C4A1A17A1AC560E64B56894E22695EDB077BE28991933T9G8L" TargetMode="External"/><Relationship Id="rId12" Type="http://schemas.openxmlformats.org/officeDocument/2006/relationships/hyperlink" Target="consultantplus://offline/ref=7FA97B26A01517ADED804DB5FAC1D9FEB79988F6E6A6A80F0C11422C592A4E240C4A1A15A0AE530C66EA6D81F37E9AE6A768BF36851B319BTFG7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FA97B26A01517ADED804DB5FAC1D9FEB7988BFAE1A6A80F0C11422C592A4E240C4A1A15A0AE530B6DEA6D81F37E9AE6A768BF36851B319BTFG7L" TargetMode="External"/><Relationship Id="rId1" Type="http://schemas.openxmlformats.org/officeDocument/2006/relationships/styles" Target="styles.xml"/><Relationship Id="rId6" Type="http://schemas.openxmlformats.org/officeDocument/2006/relationships/hyperlink" Target="consultantplus://offline/ref=7FA97B26A01517ADED804DB5FAC1D9FEB6918DFBE6A0A80F0C11422C592A4E241E4A4219A2A74D0D6FFF3BD0B5T2GAL" TargetMode="External"/><Relationship Id="rId11" Type="http://schemas.openxmlformats.org/officeDocument/2006/relationships/hyperlink" Target="consultantplus://offline/ref=7FA97B26A01517ADED804DB5FAC1D9FEB6998EF1E2AFA80F0C11422C592A4E240C4A1A15A0AE530C66EA6D81F37E9AE6A768BF36851B319BTFG7L" TargetMode="External"/><Relationship Id="rId5" Type="http://schemas.openxmlformats.org/officeDocument/2006/relationships/hyperlink" Target="consultantplus://offline/ref=7FA97B26A01517ADED804DB5FAC1D9FEB79988F6E6A6A80F0C11422C592A4E240C4A1A15A0AE530C66EA6D81F37E9AE6A768BF36851B319BTFG7L" TargetMode="External"/><Relationship Id="rId15" Type="http://schemas.openxmlformats.org/officeDocument/2006/relationships/hyperlink" Target="consultantplus://offline/ref=7FA97B26A01517ADED804DB5FAC1D9FEB7988BFAE1A6A80F0C11422C592A4E240C4A1A15A0AE530B6EEA6D81F37E9AE6A768BF36851B319BTFG7L" TargetMode="External"/><Relationship Id="rId10" Type="http://schemas.openxmlformats.org/officeDocument/2006/relationships/hyperlink" Target="consultantplus://offline/ref=7FA97B26A01517ADED804DB5FAC1D9FEB69887F5E0A7A80F0C11422C592A4E240C4A1A15A0AE530C66EA6D81F37E9AE6A768BF36851B319BTFG7L" TargetMode="External"/><Relationship Id="rId4" Type="http://schemas.openxmlformats.org/officeDocument/2006/relationships/hyperlink" Target="consultantplus://offline/ref=5DBD73CACB07B42938E91D7D2A24E94112F1609857D0F5E3A9BD8F0A6D42783AEE31982871251617BD6B67C606A2946D7545F2D7764D3E685Cs4M" TargetMode="External"/><Relationship Id="rId9" Type="http://schemas.openxmlformats.org/officeDocument/2006/relationships/hyperlink" Target="consultantplus://offline/ref=7FA97B26A01517ADED804DB5FAC1D9FEB79988F6E6A7A80F0C11422C592A4E240C4A1A15A0AE530C66EA6D81F37E9AE6A768BF36851B319BTFG7L" TargetMode="External"/><Relationship Id="rId14" Type="http://schemas.openxmlformats.org/officeDocument/2006/relationships/hyperlink" Target="consultantplus://offline/ref=7FA97B26A01517ADED804DB5FAC1D9FEB7988BFAE1A6A80F0C11422C592A4E240C4A1A15A0AE530B6CEA6D81F37E9AE6A768BF36851B319BTFG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User019-88</dc:creator>
  <cp:keywords/>
  <dc:description/>
  <cp:lastModifiedBy>User019-24</cp:lastModifiedBy>
  <cp:revision>2</cp:revision>
  <dcterms:created xsi:type="dcterms:W3CDTF">2021-11-01T07:24:00Z</dcterms:created>
  <dcterms:modified xsi:type="dcterms:W3CDTF">2021-11-01T07:24:00Z</dcterms:modified>
</cp:coreProperties>
</file>