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31.03.2025 N 158</w:t>
              <w:br/>
              <w:t xml:space="preserve">"Об утверждении критериев отнесения отходов к I - V классам опасности по степени негативного воздействия на окружающую среду"</w:t>
              <w:br/>
              <w:t xml:space="preserve">(Зарегистрировано в Минюсте России 29.04.2025 N 82010)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апреля 2025 г. N 82010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31 марта 2025 г. N 158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КРИТЕРИЕВ</w:t>
      </w:r>
    </w:p>
    <w:p>
      <w:pPr>
        <w:pStyle w:val="2"/>
        <w:jc w:val="center"/>
      </w:pPr>
      <w:r>
        <w:rPr>
          <w:sz w:val="24"/>
        </w:rPr>
        <w:t xml:space="preserve">ОТНЕСЕНИЯ ОТХОДОВ К I - V КЛАССАМ ОПАСНОСТИ ПО СТЕПЕНИ</w:t>
      </w:r>
    </w:p>
    <w:p>
      <w:pPr>
        <w:pStyle w:val="2"/>
        <w:jc w:val="center"/>
      </w:pPr>
      <w:r>
        <w:rPr>
          <w:sz w:val="24"/>
        </w:rPr>
        <w:t xml:space="preserve">НЕГАТИВНОГО ВОЗДЕЙСТВИЯ НА ОКРУЖАЮЩУЮ СРЕДУ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4.1</w:t>
      </w:r>
      <w:r>
        <w:rPr>
          <w:sz w:val="24"/>
        </w:rPr>
        <w:t xml:space="preserve"> Федерального закона от 24 июня 1998 г. N 89-ФЗ "Об отходах производства и потребления", </w:t>
      </w:r>
      <w:r>
        <w:rPr>
          <w:sz w:val="24"/>
        </w:rPr>
        <w:t xml:space="preserve">подпунктом 5.2.57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2" w:tooltip="КРИТЕРИИ">
        <w:r>
          <w:rPr>
            <w:sz w:val="24"/>
            <w:color w:val="0000ff"/>
          </w:rPr>
          <w:t xml:space="preserve">Критерии</w:t>
        </w:r>
      </w:hyperlink>
      <w:r>
        <w:rPr>
          <w:sz w:val="24"/>
        </w:rPr>
        <w:t xml:space="preserve"> отнесения отходов к I - V классам опасности по степени негативного воздействия на окружающую среду.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4 декабря 2014 г. N 536 "Об утверждении критериев отнесения отходов к I - V классам опасности по степени негативного воздействия на окружающую среду", (зарегистрирован Минюстом России 29 декабря 2015 г., регистрационный N 40330).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158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ОТНЕСЕНИЯ ОТХОДОВ К I - V КЛАССАМ ОПАСНОСТИ ПО СТЕПЕНИ</w:t>
      </w:r>
    </w:p>
    <w:p>
      <w:pPr>
        <w:pStyle w:val="2"/>
        <w:jc w:val="center"/>
      </w:pPr>
      <w:r>
        <w:rPr>
          <w:sz w:val="24"/>
        </w:rPr>
        <w:t xml:space="preserve">НЕГАТИВНОГО ВОЗДЕЙСТВИЯ НА ОКРУЖАЮЩУЮ СРЕДУ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Критерии отнесения отходов к I - V классам опасности по степени негативного воздействия на окружающую среду (далее - Критерии) предназначены для индивидуальных предпринимателей и юридических лиц, в процессе деятельности которых образуются отходы производства и потребления (далее - отходы), а также Федеральной службы по надзору в сфере природопользования и ее территориальных органов.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Действие настоящих Критериев не распространяется на радиоактивные отходы, биологические отходы, а также медицинские отходы до их передачи лицам, осуществляющим обращение с отходами производства и потребления.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Критериями отнесения отходов к I - V классам опасности по степени негативного воздействия на окружающую среду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степень опасности отхода для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кратность разведения водной вытяжки из отхода, при которой вредное воздействие на гидробионты отсутствует.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Степень опасности отхода для окружающей среды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4"/>
        </w:rPr>
        <w:t xml:space="preserve">4. Степень опасности отхода для окружающей среды (K), значения которой по классам опасности отхода приведены в </w:t>
      </w:r>
      <w:hyperlink w:history="0" w:anchor="P123" w:tooltip="ЗНАЧЕН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Критериям, определяется по сумме степеней опасности веществ, составляющих отход (далее - компоненты отхода), для окружающей среды (K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+ K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+ ... K</w:t>
      </w:r>
      <w:r>
        <w:rPr>
          <w:sz w:val="24"/>
          <w:vertAlign w:val="subscript"/>
        </w:rPr>
        <w:t xml:space="preserve">m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, K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, ... K</w:t>
      </w:r>
      <w:r>
        <w:rPr>
          <w:sz w:val="24"/>
          <w:vertAlign w:val="subscript"/>
        </w:rPr>
        <w:t xml:space="preserve">m</w:t>
      </w:r>
      <w:r>
        <w:rPr>
          <w:sz w:val="24"/>
        </w:rPr>
        <w:t xml:space="preserve"> - показатели степени опасности отдельных компонентов отхода для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m - количество компонентов отхода.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компонентов отхода и их количественное содержание устанавливаются на основании сведений, содержащихся в технологических регламентах, технических условиях, стандартах, проектной документации, либо регламентах, технических условиях, стандартах, проектной документации, либо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Степень опасности компонента отхода для окружающей среды (K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рассчитывается как отношение концентрации компонента отхода (C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к коэффициенту его степени опасности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C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концентрация i-го компонента в отходе (мг/кг);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коэффициент степени опасности i-го компонента отхода для окружающей среды (мг/кг).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Коэффициентом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является показатель, численно равный количеству компонента отхода, ниже значения которого он не оказывает негативного воздействия на окружающую среду. Размерность коэффициента степени опасности для окружающей среды условно принимается как мг/кг.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Коэффициент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рассчитывается по одной из следующих формул: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lg Wi = 4 - 4 / 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для 1 &lt; 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&lt; 2,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lg Wi = 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для 2 </w:t>
      </w:r>
      <w:r>
        <w:rPr>
          <w:position w:val="-2"/>
        </w:rPr>
        <w:drawing>
          <wp:inline distT="0" distB="0" distL="0" distR="0">
            <wp:extent cx="148590" cy="1828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</w:t>
      </w:r>
      <w:r>
        <w:rPr>
          <w:position w:val="-2"/>
        </w:rPr>
        <w:drawing>
          <wp:inline distT="0" distB="0" distL="0" distR="0">
            <wp:extent cx="148590" cy="1828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4,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lg Wi = 2 + 4 / (6 - 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для 4 &lt; 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&lt; 5,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4 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3 - 1 / 3;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Z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унифицированный относительный параметр опасности компонента отхода для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относительный параметр опасности компонента отхода для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Относительный параметр опасности компонента отхода для окружающей среды (X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7"/>
        </w:rPr>
        <w:drawing>
          <wp:inline distT="0" distB="0" distL="0" distR="0">
            <wp:extent cx="1645920" cy="6286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</w:t>
      </w:r>
      <w:r>
        <w:rPr>
          <w:sz w:val="24"/>
          <w:vertAlign w:val="subscript"/>
        </w:rPr>
        <w:t xml:space="preserve">j</w:t>
      </w:r>
      <w:r>
        <w:rPr>
          <w:sz w:val="24"/>
        </w:rPr>
        <w:t xml:space="preserve"> - значение балла, соответствующее каждому оцененному первичному показателю опасности компонента отхода;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количество оцененных первичных показателей опасности компонента отхода;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</w:t>
      </w:r>
      <w:r>
        <w:rPr>
          <w:sz w:val="24"/>
          <w:vertAlign w:val="subscript"/>
        </w:rPr>
        <w:t xml:space="preserve">inf</w:t>
      </w:r>
      <w:r>
        <w:rPr>
          <w:sz w:val="24"/>
        </w:rPr>
        <w:t xml:space="preserve"> - значение балла, соответствующее показателю информационного обеспечения системы первичных показателей опасности компонента отхода.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Первичные показатели опасности компонента отхода характеризуют степени их опасности для различных компонентов природной среды и представлены в </w:t>
      </w:r>
      <w:hyperlink w:history="0" w:anchor="P152" w:tooltip="ПЕРВИЧНЫЕ ПОКАЗАТЕЛИ ОПАСНОСТИ КОМПОНЕНТА ОТХОДА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Критериям.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Значения баллов (B</w:t>
      </w:r>
      <w:r>
        <w:rPr>
          <w:sz w:val="24"/>
          <w:vertAlign w:val="subscript"/>
        </w:rPr>
        <w:t xml:space="preserve">inf</w:t>
      </w:r>
      <w:r>
        <w:rPr>
          <w:sz w:val="24"/>
        </w:rPr>
        <w:t xml:space="preserve">), соответствующие показателю информационного обеспечения, определяемого путем деления числа оцененных первичных показателей опасности компонента отхода (n) на 12, присваиваются интервалам его изменения согласно </w:t>
      </w:r>
      <w:hyperlink w:history="0" w:anchor="P343" w:tooltip="ЗНАЧЕНИЯ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Критериям.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Компоненты отходов, состоящие из таких химических элементов как кислород, азот, углерод, фосфор, сера, кремний, алюминий, железо, натрий, калий, кальций, магний, титан в концентрациях, не превышающих их содержание в основных типах почв, относятся к практически неопасным компонентам отходов с относительным параметром опасности компонента отхода для окружающей среды (X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4, и, следовательно, коэффициентом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10</w:t>
      </w:r>
      <w:r>
        <w:rPr>
          <w:sz w:val="24"/>
          <w:vertAlign w:val="superscript"/>
        </w:rPr>
        <w:t xml:space="preserve">6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Компоненты отходов, состоящие из веществ, встречающихся в живой природе, например, таких как углеводы (клетчатка, крахмал и иное), белки, азотсодержащие органические соединения природного происхождения, относятся к практически неопасным компонентам отходов с относительным параметром опасности компонента отхода для окружающей среды (X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4, и, следовательно, коэффициентом степени опасности компонента отхода для окружающей среды (W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равным 10</w:t>
      </w:r>
      <w:r>
        <w:rPr>
          <w:sz w:val="24"/>
          <w:vertAlign w:val="superscript"/>
        </w:rPr>
        <w:t xml:space="preserve">6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остальных компонентов отходов степень опасности компонента отхода для окружающей среды (Ki) определяется в соответствии с </w:t>
      </w:r>
      <w:hyperlink w:history="0" w:anchor="P46" w:tooltip="4. Степень опасности отхода для окружающей среды (K), значения которой по классам опасности отхода приведены в приложении N 1 к Критериям, определяется по сумме степеней опасности веществ, составляющих отход (далее - компоненты отхода), для окружающей среды (Ki)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- </w:t>
      </w:r>
      <w:hyperlink w:history="0" w:anchor="P85" w:tooltip="10. Значения баллов (Binf), соответствующие показателю информационного обеспечения, определяемого путем деления числа оцененных первичных показателей опасности компонента отхода (n) на 12, присваиваются интервалам его изменения согласно приложению N 3 к Критериям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Критериев и </w:t>
      </w:r>
      <w:hyperlink w:history="0" w:anchor="P123" w:tooltip="ЗНАЧЕНИЯ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Критериям.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коэффициента степени опасности компонента отхода для окружающей среды (Wi) для отдельных компонентов отходов приведены в </w:t>
      </w:r>
      <w:hyperlink w:history="0" w:anchor="P370" w:tooltip="КОЭФФИЦИЕНТ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Критериям.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Кратность разведения водной вытяжки из отхода,</w:t>
      </w:r>
    </w:p>
    <w:p>
      <w:pPr>
        <w:pStyle w:val="2"/>
        <w:jc w:val="center"/>
      </w:pPr>
      <w:r>
        <w:rPr>
          <w:sz w:val="24"/>
        </w:rPr>
        <w:t xml:space="preserve">при которой вредное воздействие на гидробионты отсутствует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Определение кратности (Кр) разведения водной вытяжки из отхода, при которой вредное воздействие на гидробионты отсутствует, основано на биотестировании водной вытяжки отходов - исследовании токсического действия на гидробионты водной вытяжки из отходов, полученной с использованием воды, свойства которой установлены применяемой методикой биотестирования при массовом соотношении отхода и воды 1:10.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Определение кратности разведения водной вытяжки из отхода, при которой вредное воздействие на гидробионты отсутствует, осуществляется по аттестованным методикам (методам) измерений, сведения о которых содержатся в Федеральном информационном фонде по обеспечению единства измерений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26 июня 2008 г. N 102-ФЗ "Об обеспечении единства измерений".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определении кратности разведения водной вытяжки из отхода, при которой вредное воздействие на гидробионты отсутствует, применяется не менее двух тест-объектов из разных систематических групп (дафнии и инфузории, цериодафнии и бактерии или водоросли). За окончательный результат принимается класс опасности, выявленный на тест-объекте, проявившем более высокую чувствительность к анализируемому отходу.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исследовании водных вытяжек из отходов с повышенным солесодержанием (содержание сухого остатка в исследуемой водной вытяжке более 6 г/дм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) применяется не менее двух тест-объектов, устойчивых к повышенному солесодержанию из разных систематических групп.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кратности разведения водной вытяжки из отхода приведены в </w:t>
      </w:r>
      <w:hyperlink w:history="0" w:anchor="P573" w:tooltip="ЗНАЧЕНИЯ КРАТНОСТИ РАЗВЕДЕНИЯ ВОДНОЙ ВЫТЯЖКИ ИЗ ОТХОДА">
        <w:r>
          <w:rPr>
            <w:sz w:val="24"/>
            <w:color w:val="0000ff"/>
          </w:rPr>
          <w:t xml:space="preserve">приложении N 5</w:t>
        </w:r>
      </w:hyperlink>
      <w:r>
        <w:rPr>
          <w:sz w:val="24"/>
        </w:rPr>
        <w:t xml:space="preserve"> к Критериям.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Применение критериев отнесения отходов к I - V классам</w:t>
      </w:r>
    </w:p>
    <w:p>
      <w:pPr>
        <w:pStyle w:val="2"/>
        <w:jc w:val="center"/>
      </w:pPr>
      <w:r>
        <w:rPr>
          <w:sz w:val="24"/>
        </w:rPr>
        <w:t xml:space="preserve">опасности по степени негативного воздействия на окружающую</w:t>
      </w:r>
    </w:p>
    <w:p>
      <w:pPr>
        <w:pStyle w:val="2"/>
        <w:jc w:val="center"/>
      </w:pPr>
      <w:r>
        <w:rPr>
          <w:sz w:val="24"/>
        </w:rPr>
        <w:t xml:space="preserve">среду для установления класса опасности отходов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Для установления класса опасности отхода применяется степень опасности отхода для окружающей среды (К) (далее - Критерий 1) или кратность (Кр) разведения водной вытяжки из отхода, при которой вредное воздействие на гидробионты отсутствует (далее - Критерий 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Для установления классов опасности отходов, представленных золами, шлаками и золошлаковыми смесями от сжигания углей, отходов добычи и обогащения угля, и отходов, водная вытяжка из которых характеризуется повышенным солесодержанием (содержание сухого остатка в исследуемой водной вытяжке более 6 г/дм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), применяется Критерий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случае, если на основании применения Критерия 1 получен V класс опасности, для его подтверждения проводится проверка с применением Критерия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несовпадении значения класса опасности отхода, установленного на основании применения Критерия 1 и Критерия 2, устанавливается класс опасности отхода на основании значения кратности разведения водной вытяжки из отхода согласно </w:t>
      </w:r>
      <w:hyperlink w:history="0" w:anchor="P573" w:tooltip="ЗНАЧЕНИЯ КРАТНОСТИ РАЗВЕДЕНИЯ ВОДНОЙ ВЫТЯЖКИ ИЗ ОТХОДА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Критериям.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Критериям отнесения отходов</w:t>
      </w:r>
    </w:p>
    <w:p>
      <w:pPr>
        <w:pStyle w:val="0"/>
        <w:jc w:val="right"/>
      </w:pPr>
      <w:r>
        <w:rPr>
          <w:sz w:val="24"/>
        </w:rPr>
        <w:t xml:space="preserve">к I - V классам опасности</w:t>
      </w:r>
    </w:p>
    <w:p>
      <w:pPr>
        <w:pStyle w:val="0"/>
        <w:jc w:val="right"/>
      </w:pPr>
      <w:r>
        <w:rPr>
          <w:sz w:val="24"/>
        </w:rPr>
        <w:t xml:space="preserve">по степени 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природных</w:t>
      </w:r>
    </w:p>
    <w:p>
      <w:pPr>
        <w:pStyle w:val="0"/>
        <w:jc w:val="right"/>
      </w:pPr>
      <w:r>
        <w:rPr>
          <w:sz w:val="24"/>
        </w:rPr>
        <w:t xml:space="preserve">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158</w:t>
      </w:r>
    </w:p>
    <w:p>
      <w:pPr>
        <w:pStyle w:val="0"/>
        <w:jc w:val="both"/>
      </w:pPr>
      <w:r>
        <w:rPr>
          <w:sz w:val="24"/>
        </w:rPr>
      </w:r>
    </w:p>
    <w:bookmarkStart w:id="123" w:name="P123"/>
    <w:bookmarkEnd w:id="123"/>
    <w:p>
      <w:pPr>
        <w:pStyle w:val="2"/>
        <w:jc w:val="center"/>
      </w:pPr>
      <w:r>
        <w:rPr>
          <w:sz w:val="24"/>
        </w:rPr>
        <w:t xml:space="preserve">ЗНАЧЕНИЯ</w:t>
      </w:r>
    </w:p>
    <w:p>
      <w:pPr>
        <w:pStyle w:val="2"/>
        <w:jc w:val="center"/>
      </w:pPr>
      <w:r>
        <w:rPr>
          <w:sz w:val="24"/>
        </w:rPr>
        <w:t xml:space="preserve">СТЕПЕНИ ОПАСНОСТИ ОТХОДА ДЛЯ ОКРУЖАЮЩЕЙ СРЕДЫ (К) ПО КЛАССАМ</w:t>
      </w:r>
    </w:p>
    <w:p>
      <w:pPr>
        <w:pStyle w:val="2"/>
        <w:jc w:val="center"/>
      </w:pPr>
      <w:r>
        <w:rPr>
          <w:sz w:val="24"/>
        </w:rPr>
        <w:t xml:space="preserve">ОПАСНОСТИ ОТХОДА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952"/>
      </w:tblGrid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отхода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Степень опасности отхода для окружающей среды (К)</w:t>
            </w:r>
          </w:p>
        </w:tc>
      </w:tr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6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  <w:r>
              <w:rPr>
                <w:sz w:val="24"/>
                <w:vertAlign w:val="superscript"/>
              </w:rPr>
              <w:t xml:space="preserve">4</w:t>
            </w:r>
          </w:p>
        </w:tc>
      </w:tr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4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</w:tr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  <w:r>
              <w:rPr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К &gt; 10</w:t>
            </w:r>
          </w:p>
        </w:tc>
      </w:tr>
      <w:tr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Критериям отнесения отходов</w:t>
      </w:r>
    </w:p>
    <w:p>
      <w:pPr>
        <w:pStyle w:val="0"/>
        <w:jc w:val="right"/>
      </w:pPr>
      <w:r>
        <w:rPr>
          <w:sz w:val="24"/>
        </w:rPr>
        <w:t xml:space="preserve">к I - V классам опасности</w:t>
      </w:r>
    </w:p>
    <w:p>
      <w:pPr>
        <w:pStyle w:val="0"/>
        <w:jc w:val="right"/>
      </w:pPr>
      <w:r>
        <w:rPr>
          <w:sz w:val="24"/>
        </w:rPr>
        <w:t xml:space="preserve">по степени 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31.03.2025 N 158</w:t>
      </w:r>
    </w:p>
    <w:p>
      <w:pPr>
        <w:pStyle w:val="0"/>
        <w:jc w:val="both"/>
      </w:pPr>
      <w:r>
        <w:rPr>
          <w:sz w:val="24"/>
        </w:rPr>
      </w:r>
    </w:p>
    <w:bookmarkStart w:id="152" w:name="P152"/>
    <w:bookmarkEnd w:id="152"/>
    <w:p>
      <w:pPr>
        <w:pStyle w:val="2"/>
        <w:jc w:val="center"/>
      </w:pPr>
      <w:r>
        <w:rPr>
          <w:sz w:val="24"/>
        </w:rPr>
        <w:t xml:space="preserve">ПЕРВИЧНЫЕ ПОКАЗАТЕЛИ ОПАСНОСТИ КОМПОНЕНТА ОТХОДА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968"/>
        <w:gridCol w:w="1133"/>
        <w:gridCol w:w="1133"/>
        <w:gridCol w:w="1133"/>
        <w:gridCol w:w="1133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Первичные показатели опасности компонента отхода</w:t>
            </w:r>
          </w:p>
        </w:tc>
        <w:tc>
          <w:tcPr>
            <w:gridSpan w:val="4"/>
            <w:tcW w:w="453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Значения, интервалы и характеристики первичных показателей опасности компонента отхода для окружающей среды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п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в почве);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ОДК, мг/кг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(Ориентировочно допустимая концентрация)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10.1 - 100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почве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установлен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в воде водных объектов, используемых для целей питьевого и хозяйственно-бытового водоснабжения);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ОДУ, мг/л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(Ориентировочно допустимый уровень);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ОБУВ, мг/л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(Ориентировочный безопасный уровень воздействия)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0.01 - 0.1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0.11 - 1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воде водных объектов, используемых для целей питьевого и хозяйственно-бытового водоснабжения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р.х.</w:t>
            </w:r>
            <w:r>
              <w:rPr>
                <w:sz w:val="24"/>
              </w:rPr>
              <w:t xml:space="preserve">, мг/л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в воде водных объектов рыбохозяйственного значения);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ОБУВ, мг/л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0.001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0.001 - 0.01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0.011 - 0.1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0.1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воде водных объектов рыбохозяйственного значения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с.с.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среднесуточная в атмосферном воздухе населенных мест);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м.р.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максимально разовая в атмосферном воздухе населенных мест);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ОБУВ, мг/м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0.01 - 0.1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0.11 - 1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Класс опасности в атмосферном воздухе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пп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в пищевых продуктах);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МДУ, мг/кг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(Максимально допустимый уровень);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МДС, мг/кг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(Максимально допустимое содержание)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0.01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0.01 - 1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9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(S, мг/л / ПДК</w:t>
            </w:r>
            <w:r>
              <w:rPr>
                <w:sz w:val="24"/>
                <w:vertAlign w:val="subscript"/>
              </w:rPr>
              <w:t xml:space="preserve">в</w:t>
            </w:r>
            <w:r>
              <w:rPr>
                <w:sz w:val="24"/>
              </w:rPr>
              <w:t xml:space="preserve">, мг/л),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1.9 - 1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</w:tr>
      <w:tr>
        <w:tc>
          <w:tcPr>
            <w:vMerge w:val="continue"/>
          </w:tcPr>
          <w:p/>
        </w:tc>
        <w:tc>
          <w:tcPr>
            <w:tcW w:w="39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S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(Растворимость компонента отхода (вещества) в воде при 20°);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в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в воде водных объектов, используемых для целей питьевого и хозяйственно-бытового водоснабжения).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</w:t>
            </w:r>
            <w:r>
              <w:rPr>
                <w:position w:val="-5"/>
              </w:rPr>
              <w:drawing>
                <wp:inline distT="0" distB="0" distL="0" distR="0">
                  <wp:extent cx="56007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то </w:t>
            </w:r>
            <w:r>
              <w:rPr>
                <w:position w:val="-6"/>
              </w:rPr>
              <w:drawing>
                <wp:inline distT="0" distB="0" distL="0" distR="0">
                  <wp:extent cx="12001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и балл равен 1, если S = 0, то </w:t>
            </w:r>
            <w:r>
              <w:rPr>
                <w:position w:val="-6"/>
              </w:rPr>
              <w:drawing>
                <wp:inline distT="0" distB="0" distL="0" distR="0">
                  <wp:extent cx="1314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и балл равен 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9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(C</w:t>
            </w:r>
            <w:r>
              <w:rPr>
                <w:sz w:val="24"/>
                <w:vertAlign w:val="subscript"/>
              </w:rPr>
              <w:t xml:space="preserve">нас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/ ПДК</w:t>
            </w:r>
            <w:r>
              <w:rPr>
                <w:sz w:val="24"/>
                <w:vertAlign w:val="subscript"/>
              </w:rPr>
              <w:t xml:space="preserve">р.з</w:t>
            </w:r>
            <w:r>
              <w:rPr>
                <w:sz w:val="24"/>
              </w:rPr>
              <w:t xml:space="preserve">),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5 - 2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1.9 - 1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</w:tr>
      <w:tr>
        <w:tc>
          <w:tcPr>
            <w:vMerge w:val="continue"/>
          </w:tcPr>
          <w:p/>
        </w:tc>
        <w:tc>
          <w:tcPr>
            <w:tcW w:w="39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нас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(Насыщающая концентрация вещества в воздухе при 20° C и нормальном давлении);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ПДК</w:t>
            </w:r>
            <w:r>
              <w:rPr>
                <w:sz w:val="24"/>
                <w:vertAlign w:val="subscript"/>
              </w:rPr>
              <w:t xml:space="preserve">р.з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в атмосферном воздухе рабочей зоны)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9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(C</w:t>
            </w:r>
            <w:r>
              <w:rPr>
                <w:sz w:val="24"/>
                <w:vertAlign w:val="subscript"/>
              </w:rPr>
              <w:t xml:space="preserve">нас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/ ПДК</w:t>
            </w:r>
            <w:r>
              <w:rPr>
                <w:sz w:val="24"/>
                <w:vertAlign w:val="subscript"/>
              </w:rPr>
              <w:t xml:space="preserve">с.с.</w:t>
            </w:r>
            <w:r>
              <w:rPr>
                <w:sz w:val="24"/>
              </w:rPr>
              <w:t xml:space="preserve"> или ПДК</w:t>
            </w:r>
            <w:r>
              <w:rPr>
                <w:sz w:val="24"/>
                <w:vertAlign w:val="subscript"/>
              </w:rPr>
              <w:t xml:space="preserve">м.р.</w:t>
            </w:r>
            <w:r>
              <w:rPr>
                <w:sz w:val="24"/>
              </w:rPr>
              <w:t xml:space="preserve">),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7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7 - 3.9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3.8 - 1.6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1.6</w:t>
            </w:r>
          </w:p>
        </w:tc>
      </w:tr>
      <w:tr>
        <w:tc>
          <w:tcPr>
            <w:vMerge w:val="continue"/>
          </w:tcPr>
          <w:p/>
        </w:tc>
        <w:tc>
          <w:tcPr>
            <w:tcW w:w="39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C</w:t>
            </w:r>
            <w:r>
              <w:rPr>
                <w:sz w:val="24"/>
                <w:vertAlign w:val="subscript"/>
              </w:rPr>
              <w:t xml:space="preserve">нас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(Насыщающая концентрация вещества в воздухе при 20° C и нормальном давлении); ПДК</w:t>
            </w:r>
            <w:r>
              <w:rPr>
                <w:sz w:val="24"/>
                <w:vertAlign w:val="subscript"/>
              </w:rPr>
              <w:t xml:space="preserve">с.с.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среднесуточная в атмосферном воздухе населенных мест) или ПДК</w:t>
            </w:r>
            <w:r>
              <w:rPr>
                <w:sz w:val="24"/>
                <w:vertAlign w:val="subscript"/>
              </w:rPr>
              <w:t xml:space="preserve">м.р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(Предельно допустимая концентрация вещества максимально разовая в атмосферном воздухе населенных мест)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Lg K</w:t>
            </w:r>
            <w:r>
              <w:rPr>
                <w:sz w:val="24"/>
                <w:vertAlign w:val="subscript"/>
              </w:rPr>
              <w:t xml:space="preserve">ow</w:t>
            </w:r>
            <w:r>
              <w:rPr>
                <w:sz w:val="24"/>
              </w:rPr>
              <w:t xml:space="preserve"> (октанол/вода)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(Коэффициент распределения в системе октанол/вода при 20° C)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4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4 - 2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1.9 - 0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LD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, мг/кг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(Средняя смертельная доза компонента в миллиграммах действующего вещества на 1 кг живого веса, вызывающая гибель 50% подопытных животных при однократном пероральном введении в унифицированных условиях)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15 - 150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151 - 5000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5000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LC</w:t>
            </w:r>
            <w:r>
              <w:rPr>
                <w:sz w:val="24"/>
                <w:vertAlign w:val="subscript"/>
              </w:rPr>
              <w:t xml:space="preserve">50</w:t>
            </w:r>
            <w:r>
              <w:rPr>
                <w:sz w:val="24"/>
              </w:rPr>
              <w:t xml:space="preserve">, мг/м</w:t>
            </w:r>
            <w:r>
              <w:rPr>
                <w:sz w:val="24"/>
                <w:vertAlign w:val="superscript"/>
              </w:rPr>
              <w:t xml:space="preserve">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(Средняя смертельная концентрация вещества, вызывающая гибель 50% подопытных животных при ингаляционном поступлении в унифицированных условиях)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500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500 - 5000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5001 - 50000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50000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7200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мг/л/96 ч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(Средняя смертельная концентрация вещества в воде, вызывающая гибель 50% всех взятых в опыт гидробионтов (например, рыб) через 96 часов)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5.1 - 100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396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БД = БПК</w:t>
            </w:r>
            <w:r>
              <w:rPr>
                <w:sz w:val="24"/>
                <w:vertAlign w:val="subscript"/>
              </w:rPr>
              <w:t xml:space="preserve">5</w:t>
            </w:r>
            <w:r>
              <w:rPr>
                <w:sz w:val="24"/>
              </w:rPr>
              <w:t xml:space="preserve"> / ХПК 100%,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0.1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0,1 - 1,0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1,0 - 10</w:t>
            </w:r>
          </w:p>
        </w:tc>
        <w:tc>
          <w:tcPr>
            <w:tcW w:w="113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10</w:t>
            </w:r>
          </w:p>
        </w:tc>
      </w:tr>
      <w:tr>
        <w:tc>
          <w:tcPr>
            <w:vMerge w:val="continue"/>
          </w:tcPr>
          <w:p/>
        </w:tc>
        <w:tc>
          <w:tcPr>
            <w:tcW w:w="39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где: БД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(Биологическая диссимиляция);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БПК</w:t>
            </w:r>
            <w:r>
              <w:rPr>
                <w:sz w:val="24"/>
                <w:vertAlign w:val="subscript"/>
              </w:rPr>
              <w:t xml:space="preserve">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(Биологическое потребление кислорода, выраженное в миллилитрах 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/л за 5 суток);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ХПК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(Химическое потребление кислорода, выраженное в миллилитрах O</w:t>
            </w:r>
            <w:r>
              <w:rPr>
                <w:sz w:val="24"/>
                <w:vertAlign w:val="subscript"/>
              </w:rPr>
              <w:t xml:space="preserve">2</w:t>
            </w:r>
            <w:r>
              <w:rPr>
                <w:sz w:val="24"/>
              </w:rPr>
              <w:t xml:space="preserve">/100 л)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Персистентность (трансформация в окружающей среде)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более токсичных продуктов, в т.ч. обладающих отдаленными эффектами или новыми свойствами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продуктов с более выраженным влиянием других критериев опасности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продуктов, токсичность которых близка к токсичности исходного вещества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Образование менее токсичных продуктов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Биоаккумуляция (поведение в пищевой цепочке)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Выраженное накопление во всех звеньях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Накопление в нескольких звеньях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Накопление в одном из звеньев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Накопление отсутствует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Присваиваемый балл (B</w:t>
            </w:r>
            <w:r>
              <w:rPr>
                <w:sz w:val="24"/>
                <w:vertAlign w:val="subscript"/>
              </w:rPr>
              <w:t xml:space="preserve">j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Критериям отнесения отходов</w:t>
      </w:r>
    </w:p>
    <w:p>
      <w:pPr>
        <w:pStyle w:val="0"/>
        <w:jc w:val="right"/>
      </w:pPr>
      <w:r>
        <w:rPr>
          <w:sz w:val="24"/>
        </w:rPr>
        <w:t xml:space="preserve">к I - V классам опасности</w:t>
      </w:r>
    </w:p>
    <w:p>
      <w:pPr>
        <w:pStyle w:val="0"/>
        <w:jc w:val="right"/>
      </w:pPr>
      <w:r>
        <w:rPr>
          <w:sz w:val="24"/>
        </w:rPr>
        <w:t xml:space="preserve">по степени 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природных</w:t>
      </w:r>
    </w:p>
    <w:p>
      <w:pPr>
        <w:pStyle w:val="0"/>
        <w:jc w:val="right"/>
      </w:pPr>
      <w:r>
        <w:rPr>
          <w:sz w:val="24"/>
        </w:rPr>
        <w:t xml:space="preserve">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158</w:t>
      </w:r>
    </w:p>
    <w:p>
      <w:pPr>
        <w:pStyle w:val="0"/>
        <w:jc w:val="both"/>
      </w:pPr>
      <w:r>
        <w:rPr>
          <w:sz w:val="24"/>
        </w:rPr>
      </w:r>
    </w:p>
    <w:bookmarkStart w:id="343" w:name="P343"/>
    <w:bookmarkEnd w:id="343"/>
    <w:p>
      <w:pPr>
        <w:pStyle w:val="2"/>
        <w:jc w:val="center"/>
      </w:pPr>
      <w:r>
        <w:rPr>
          <w:sz w:val="24"/>
        </w:rPr>
        <w:t xml:space="preserve">ЗНАЧЕНИЯ</w:t>
      </w:r>
    </w:p>
    <w:p>
      <w:pPr>
        <w:pStyle w:val="2"/>
        <w:jc w:val="center"/>
      </w:pPr>
      <w:r>
        <w:rPr>
          <w:sz w:val="24"/>
        </w:rPr>
        <w:t xml:space="preserve">БАЛЛОВ (BINF) В ЗАВИСИМОСТИ ОТ ИНТЕРВАЛА ИЗМЕНЕНИЯ</w:t>
      </w:r>
    </w:p>
    <w:p>
      <w:pPr>
        <w:pStyle w:val="2"/>
        <w:jc w:val="center"/>
      </w:pPr>
      <w:r>
        <w:rPr>
          <w:sz w:val="24"/>
        </w:rPr>
        <w:t xml:space="preserve">ПОКАЗАТЕЛЯ ИНФОРМАЦИОННОГО ОБЕСПЕЧЕНИЯ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53"/>
        <w:gridCol w:w="1417"/>
      </w:tblGrid>
      <w:tr>
        <w:tc>
          <w:tcPr>
            <w:tcW w:w="76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Диапазоны изменения показателя информационного обеспечения (n / 12)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 (B</w:t>
            </w:r>
            <w:r>
              <w:rPr>
                <w:sz w:val="24"/>
                <w:vertAlign w:val="subscript"/>
              </w:rPr>
              <w:t xml:space="preserve">inf</w:t>
            </w:r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76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&lt; 0,5 (n &lt; 6)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6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0,5 - 0,7 (n = 6 - 8)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6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0,71 - 0,9 (n = 9 - 10)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76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&gt; 0,9 (n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11)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Критериям отнесения отходов</w:t>
      </w:r>
    </w:p>
    <w:p>
      <w:pPr>
        <w:pStyle w:val="0"/>
        <w:jc w:val="right"/>
      </w:pPr>
      <w:r>
        <w:rPr>
          <w:sz w:val="24"/>
        </w:rPr>
        <w:t xml:space="preserve">к I - V классам опасности</w:t>
      </w:r>
    </w:p>
    <w:p>
      <w:pPr>
        <w:pStyle w:val="0"/>
        <w:jc w:val="right"/>
      </w:pPr>
      <w:r>
        <w:rPr>
          <w:sz w:val="24"/>
        </w:rPr>
        <w:t xml:space="preserve">по степени 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31.03.2025 N 158</w:t>
      </w:r>
    </w:p>
    <w:p>
      <w:pPr>
        <w:pStyle w:val="0"/>
        <w:jc w:val="both"/>
      </w:pPr>
      <w:r>
        <w:rPr>
          <w:sz w:val="24"/>
        </w:rPr>
      </w:r>
    </w:p>
    <w:bookmarkStart w:id="370" w:name="P370"/>
    <w:bookmarkEnd w:id="370"/>
    <w:p>
      <w:pPr>
        <w:pStyle w:val="2"/>
        <w:jc w:val="center"/>
      </w:pPr>
      <w:r>
        <w:rPr>
          <w:sz w:val="24"/>
        </w:rPr>
        <w:t xml:space="preserve">КОЭФФИЦИЕНТ</w:t>
      </w:r>
    </w:p>
    <w:p>
      <w:pPr>
        <w:pStyle w:val="2"/>
        <w:jc w:val="center"/>
      </w:pPr>
      <w:r>
        <w:rPr>
          <w:sz w:val="24"/>
        </w:rPr>
        <w:t xml:space="preserve">СТЕПЕНИ ОПАСНОСТИ КОМПОНЕНТА ОТХОДА ДЛЯ ОКРУЖАЮЩЕЙ СРЕДЫ</w:t>
      </w:r>
    </w:p>
    <w:p>
      <w:pPr>
        <w:pStyle w:val="2"/>
        <w:jc w:val="center"/>
      </w:pPr>
      <w:r>
        <w:rPr>
          <w:sz w:val="24"/>
        </w:rPr>
        <w:t xml:space="preserve">(WI) ДЛЯ ОТДЕЛЬНЫХ КОМПОНЕНТОВ ОТХОДОВ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1714"/>
        <w:gridCol w:w="1714"/>
        <w:gridCol w:w="1714"/>
        <w:gridCol w:w="1716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компонента отхода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Xi,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относительный параметр опасности компонента отхода для окружающей среды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Zi,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унифицированный относительный параметр опасности компонента отхода для окружающей среды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lg Wi,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десятичный логарифм коэффициента степени опасности компонента отхода для окружающей среды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Wi,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коэффициент степени опасности компонента отхода для окружающей среды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Альдрин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1,857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Бенз(а)пирен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1,778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59,97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Бензол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331,13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Гексахлорбензол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2-4Динитрофенол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Ди(п)бутилфталат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215,44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Диоксины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1,533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1,391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Дихлорпропен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Диметилфтатат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2,555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358,59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Дихлорфенол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Дихлордифенилтрихлорэтан</w:t>
            </w:r>
          </w:p>
        </w:tc>
        <w:tc>
          <w:tcPr>
            <w:tcW w:w="17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71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7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Кадмий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2,12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2,49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2,49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309,03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Линдан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2,66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463,4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Марганец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3,87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3,87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7356,42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Медь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3,45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2840,10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Мышьяк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2,27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2,69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2,69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493,55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Нафталин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2,286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2,714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517,9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Никель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3,19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3,19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1536,97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N-нитрозодифениламин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2511,88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Пентахлорбифенилы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1,778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59,98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Пентахлорфенол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1,88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1,88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75,85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Ртуть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1,79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2,05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113,07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Стронций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3,09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3,79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3,79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6118,81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Серебро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2,52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331,1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Свинец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2,81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2,81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650,63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Тетрахлорэтан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2,866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735,6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Толуол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2,69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3,25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1778,28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Трихлорбензол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598,4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Фенол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2,28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2,71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508,94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Фураны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2,166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2,55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Хлороформ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2,333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2,333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215,4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Хром трехвалентный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2,92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3,56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3630,78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Хром шестивалентный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2,33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2,77</w:t>
            </w:r>
          </w:p>
        </w:tc>
        <w:tc>
          <w:tcPr>
            <w:tcW w:w="17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593,38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Цинк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2511,89</w:t>
            </w:r>
          </w:p>
        </w:tc>
      </w:tr>
      <w:tr>
        <w:tc>
          <w:tcPr>
            <w:tcW w:w="226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Этилбензол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2,86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3,48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3,48</w:t>
            </w:r>
          </w:p>
        </w:tc>
        <w:tc>
          <w:tcPr>
            <w:tcW w:w="17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3019,95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Критериям отнесения отходов</w:t>
      </w:r>
    </w:p>
    <w:p>
      <w:pPr>
        <w:pStyle w:val="0"/>
        <w:jc w:val="right"/>
      </w:pPr>
      <w:r>
        <w:rPr>
          <w:sz w:val="24"/>
        </w:rPr>
        <w:t xml:space="preserve">к I - V классам опасности</w:t>
      </w:r>
    </w:p>
    <w:p>
      <w:pPr>
        <w:pStyle w:val="0"/>
        <w:jc w:val="right"/>
      </w:pPr>
      <w:r>
        <w:rPr>
          <w:sz w:val="24"/>
        </w:rPr>
        <w:t xml:space="preserve">по степени негативного воздействия</w:t>
      </w:r>
    </w:p>
    <w:p>
      <w:pPr>
        <w:pStyle w:val="0"/>
        <w:jc w:val="right"/>
      </w:pPr>
      <w:r>
        <w:rPr>
          <w:sz w:val="24"/>
        </w:rPr>
        <w:t xml:space="preserve">на окружающую среду,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природных</w:t>
      </w:r>
    </w:p>
    <w:p>
      <w:pPr>
        <w:pStyle w:val="0"/>
        <w:jc w:val="right"/>
      </w:pPr>
      <w:r>
        <w:rPr>
          <w:sz w:val="24"/>
        </w:rPr>
        <w:t xml:space="preserve">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31.03.2025 N 158</w:t>
      </w:r>
    </w:p>
    <w:p>
      <w:pPr>
        <w:pStyle w:val="0"/>
        <w:jc w:val="both"/>
      </w:pPr>
      <w:r>
        <w:rPr>
          <w:sz w:val="24"/>
        </w:rPr>
      </w:r>
    </w:p>
    <w:bookmarkStart w:id="573" w:name="P573"/>
    <w:bookmarkEnd w:id="573"/>
    <w:p>
      <w:pPr>
        <w:pStyle w:val="2"/>
        <w:jc w:val="center"/>
      </w:pPr>
      <w:r>
        <w:rPr>
          <w:sz w:val="24"/>
        </w:rPr>
        <w:t xml:space="preserve">ЗНАЧЕНИЯ КРАТНОСТИ РАЗВЕДЕНИЯ ВОДНОЙ ВЫТЯЖКИ ИЗ ОТХОДА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6803"/>
      </w:tblGrid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Класс опасности отхода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Кратность (Кр) разведения водной вытяжки из отхода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(Для определения V класса опасности отхода используется сама водная вытяжка, без ее разведения)</w:t>
            </w:r>
          </w:p>
        </w:tc>
      </w:tr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 &gt; 10000</w:t>
            </w:r>
          </w:p>
        </w:tc>
      </w:tr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 &lt; Кр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10000</w:t>
            </w:r>
          </w:p>
        </w:tc>
      </w:tr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 &lt; Кр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1000</w:t>
            </w:r>
          </w:p>
        </w:tc>
      </w:tr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&lt; Кр </w:t>
            </w:r>
            <w:r>
              <w:rPr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100</w:t>
            </w:r>
          </w:p>
        </w:tc>
      </w:tr>
      <w:tr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 =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31.03.2025 N 158</w:t>
            <w:br/>
            <w:t>"Об утверждении критериев отнесения отходов к I - V классам опасности по 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image" Target="media/image2.wmf"/>
	<Relationship Id="rId8" Type="http://schemas.openxmlformats.org/officeDocument/2006/relationships/image" Target="media/image3.wmf"/>
	<Relationship Id="rId9" Type="http://schemas.openxmlformats.org/officeDocument/2006/relationships/image" Target="media/image4.wmf"/>
	<Relationship Id="rId10" Type="http://schemas.openxmlformats.org/officeDocument/2006/relationships/image" Target="media/image5.wmf"/>
	<Relationship Id="rId11" Type="http://schemas.openxmlformats.org/officeDocument/2006/relationships/image" Target="media/image6.wmf"/>
	<Relationship Id="rId12" Type="http://schemas.openxmlformats.org/officeDocument/2006/relationships/image" Target="media/image7.wmf"/>
	<Relationship Id="rId13" Type="http://schemas.openxmlformats.org/officeDocument/2006/relationships/image" Target="media/image8.wmf"/>
	<Relationship Id="rId14" Type="http://schemas.openxmlformats.org/officeDocument/2006/relationships/image" Target="media/image9.wmf"/>
	<Relationship Id="rId15" Type="http://schemas.openxmlformats.org/officeDocument/2006/relationships/image" Target="media/image10.wmf"/>
	<Relationship Id="rId16" Type="http://schemas.openxmlformats.org/officeDocument/2006/relationships/image" Target="media/image11.wmf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31.03.2025 N 158
"Об утверждении критериев отнесения отходов к I - V классам опасности по степени негативного воздействия на окружающую среду"
(Зарегистрировано в Минюсте России 29.04.2025 N 82010)</dc:title>
  <dcterms:created xsi:type="dcterms:W3CDTF">2025-09-04T05:52:58Z</dcterms:created>
</cp:coreProperties>
</file>