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30.12.2024 N 1990</w:t>
              <w:br/>
              <w:t xml:space="preserve">(ред. от 30.12.2025)</w:t>
              <w:br/>
              <w:t xml:space="preserve">"О порядке взимания экологического сбора"</w:t>
              <w:br/>
              <w:t xml:space="preserve">(вместе с "Правилами взимания экологического сбора")</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16.01.2026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2024 г. N 1990</w:t>
      </w:r>
    </w:p>
    <w:p>
      <w:pPr>
        <w:pStyle w:val="2"/>
        <w:jc w:val="center"/>
      </w:pPr>
      <w:r>
        <w:rPr>
          <w:sz w:val="24"/>
        </w:rPr>
      </w:r>
    </w:p>
    <w:p>
      <w:pPr>
        <w:pStyle w:val="2"/>
        <w:jc w:val="center"/>
      </w:pPr>
      <w:r>
        <w:rPr>
          <w:sz w:val="24"/>
        </w:rPr>
        <w:t xml:space="preserve">О ПОРЯДКЕ ВЗИМАНИЯ ЭКОЛОГИЧЕСКОГО СБОРА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25.12.2025 </w:t>
            </w:r>
            <w:r>
              <w:rPr>
                <w:sz w:val="24"/>
                <w:color w:val="392c69"/>
              </w:rPr>
              <w:t xml:space="preserve">N 2116</w:t>
            </w:r>
            <w:r>
              <w:rPr>
                <w:sz w:val="24"/>
                <w:color w:val="392c69"/>
              </w:rPr>
              <w:t xml:space="preserve">,</w:t>
            </w:r>
          </w:p>
          <w:p>
            <w:pPr>
              <w:pStyle w:val="0"/>
              <w:jc w:val="center"/>
            </w:pPr>
            <w:r>
              <w:rPr>
                <w:sz w:val="24"/>
                <w:color w:val="392c69"/>
              </w:rPr>
              <w:t xml:space="preserve">от 30.12.2025 </w:t>
            </w:r>
            <w:r>
              <w:rPr>
                <w:sz w:val="24"/>
                <w:color w:val="392c69"/>
              </w:rPr>
              <w:t xml:space="preserve">N 2228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статьей 24.5</w:t>
      </w:r>
      <w:r>
        <w:rPr>
          <w:sz w:val="24"/>
        </w:rPr>
        <w:t xml:space="preserve"> Федерального закона "Об отходах производства и потребления"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4" w:tooltip="ПРАВИЛА ВЗИМАНИЯ ЭКОЛОГИЧЕСКОГО СБОРА">
        <w:r>
          <w:rPr>
            <w:sz w:val="24"/>
            <w:color w:val="0000ff"/>
          </w:rPr>
          <w:t xml:space="preserve">Правила</w:t>
        </w:r>
      </w:hyperlink>
      <w:r>
        <w:rPr>
          <w:sz w:val="24"/>
        </w:rPr>
        <w:t xml:space="preserve"> взимания экологического сбора;</w:t>
      </w:r>
    </w:p>
    <w:p>
      <w:pPr>
        <w:pStyle w:val="0"/>
        <w:spacing w:before="240" w:line-rule="auto"/>
        <w:ind w:firstLine="540"/>
        <w:jc w:val="both"/>
      </w:pPr>
      <w:hyperlink w:history="0" w:anchor="P1448"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r>
        <w:rPr>
          <w:sz w:val="24"/>
        </w:rPr>
        <w:t xml:space="preserve">2. Установить, что реализация полномочий, предусмотренных настоящим постановлением, осуществляется Федеральной службой по надзору в сфере природопользования в пределах установленной Правительством Российской Федерации предельной численности ее работников, а также бюджетных ассигнований, предусмотренных Службе в федеральном бюджете на соответствующий финансовый год и плановый период на руководство и управление в сфере установленных функций.</w:t>
      </w:r>
    </w:p>
    <w:p>
      <w:pPr>
        <w:pStyle w:val="0"/>
        <w:spacing w:before="240" w:line-rule="auto"/>
        <w:ind w:firstLine="540"/>
        <w:jc w:val="both"/>
      </w:pPr>
      <w:r>
        <w:rPr>
          <w:sz w:val="24"/>
        </w:rPr>
        <w:t xml:space="preserve">3. Установить, что </w:t>
      </w:r>
      <w:r>
        <w:rPr>
          <w:sz w:val="24"/>
        </w:rPr>
        <w:t xml:space="preserve">постановление</w:t>
      </w:r>
      <w:r>
        <w:rPr>
          <w:sz w:val="24"/>
        </w:rPr>
        <w:t xml:space="preserve"> Правительства Российской Федерации от 8 октября 2015 г. N 1073 "О порядке взимания экологического сбора" применяется в отношении товаров, упаковки, первичная реализация которых на территории Российской Федерации осуществлена с 1 января 2022 г. по 31 декабря 2023 г., в соответствии с </w:t>
      </w:r>
      <w:r>
        <w:rPr>
          <w:sz w:val="24"/>
        </w:rPr>
        <w:t xml:space="preserve">частями 15</w:t>
      </w:r>
      <w:r>
        <w:rPr>
          <w:sz w:val="24"/>
        </w:rPr>
        <w:t xml:space="preserve"> и </w:t>
      </w:r>
      <w:r>
        <w:rPr>
          <w:sz w:val="24"/>
        </w:rPr>
        <w:t xml:space="preserve">16 статьи 7</w:t>
      </w:r>
      <w:r>
        <w:rPr>
          <w:sz w:val="24"/>
        </w:rPr>
        <w:t xml:space="preserve"> Федерального закона от 4 августа 2023 г. N 451-ФЗ "О внесении изменений в Федеральный закон "Об отходах производства и потребления" и отдельные законодательные акты Российской Федерации".</w:t>
      </w:r>
    </w:p>
    <w:bookmarkStart w:id="17" w:name="P17"/>
    <w:bookmarkEnd w:id="17"/>
    <w:p>
      <w:pPr>
        <w:pStyle w:val="0"/>
        <w:spacing w:before="240" w:line-rule="auto"/>
        <w:ind w:firstLine="540"/>
        <w:jc w:val="both"/>
      </w:pPr>
      <w:r>
        <w:rPr>
          <w:sz w:val="24"/>
        </w:rPr>
        <w:t xml:space="preserve">4. Установить, что в отношении товаров, упаковки, ввозимых с 1 января 2024 г. по 31 декабря 2025 г. в Российскую Федерацию из государств, не являющихся членами Евразийского экономического союза, импортерами товаров, положения </w:t>
      </w:r>
      <w:hyperlink w:history="0" w:anchor="P60" w:tooltip="7.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рассчитать сумму экологического сбора по форме согласно приложению N 2 и уплатить экологический сбор в случае непредставления до указанного срока в единую федеральную государственную информационную систему учета отходов от использования товаров (далее - система учета отходов) уведомления о нам...">
        <w:r>
          <w:rPr>
            <w:sz w:val="24"/>
            <w:color w:val="0000ff"/>
          </w:rPr>
          <w:t xml:space="preserve">пункта 7</w:t>
        </w:r>
      </w:hyperlink>
      <w:r>
        <w:rPr>
          <w:sz w:val="24"/>
        </w:rPr>
        <w:t xml:space="preserve"> Правил, утвержденных настоящим постановлением, не применяются, за исключением случаев, предусмотренных </w:t>
      </w:r>
      <w:hyperlink w:history="0" w:anchor="P19" w:tooltip="6. Установить, что в отношении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оваров, в том числе товаров в упаковке, утвержденному постановлением Правительства Российской Федерации от 1 июня 2024 г. N 750 &quot;О проведении эксперимента в отношении отдельных групп товаров, в том числе товаров в упаковке&quot;, ввезенных с 1 сентября 2024 ...">
        <w:r>
          <w:rPr>
            <w:sz w:val="24"/>
            <w:color w:val="0000ff"/>
          </w:rPr>
          <w:t xml:space="preserve">пунктами 6</w:t>
        </w:r>
      </w:hyperlink>
      <w:r>
        <w:rPr>
          <w:sz w:val="24"/>
        </w:rPr>
        <w:t xml:space="preserve"> и </w:t>
      </w:r>
      <w:hyperlink w:history="0" w:anchor="P20" w:tooltip="7. В случае если импортерами товаров, упаковки, включенных в перечень отдельных видов товаров, в том числе товаров в упаковке, участвующих в эксперименте, указанный в пункте 6 настоящего постановления, обязанность по обеспечению самостоятельной утилизации не исполнена или исполнена не в полном объеме в отношении товаров, упаковки, ввезенных с 1 января по 31 декабря 2024 г. и с 1 января по 31 декабря 2025 г. в Российскую Федерацию из государств, не являющихся членами Евразийского экономического союза, имп...">
        <w:r>
          <w:rPr>
            <w:sz w:val="24"/>
            <w:color w:val="0000ff"/>
          </w:rPr>
          <w:t xml:space="preserve">7</w:t>
        </w:r>
      </w:hyperlink>
      <w:r>
        <w:rPr>
          <w:sz w:val="24"/>
        </w:rPr>
        <w:t xml:space="preserve"> настоящего постановления.</w:t>
      </w:r>
    </w:p>
    <w:p>
      <w:pPr>
        <w:pStyle w:val="0"/>
        <w:spacing w:before="240" w:line-rule="auto"/>
        <w:ind w:firstLine="540"/>
        <w:jc w:val="both"/>
      </w:pPr>
      <w:r>
        <w:rPr>
          <w:sz w:val="24"/>
        </w:rPr>
        <w:t xml:space="preserve">5. Экологический сбор в отношении товаров, упаковки, указанных в </w:t>
      </w:r>
      <w:hyperlink w:history="0" w:anchor="P17" w:tooltip="4. Установить, что в отношении товаров, упаковки, ввозимых с 1 января 2024 г. по 31 декабря 2025 г. в Российскую Федерацию из государств, не являющихся членами Евразийского экономического союза, импортерами товаров, положения пункта 7 Правил, утвержденных настоящим постановлением, не применяются, за исключением случаев, предусмотренных пунктами 6 и 7 настоящего постановления.">
        <w:r>
          <w:rPr>
            <w:sz w:val="24"/>
            <w:color w:val="0000ff"/>
          </w:rPr>
          <w:t xml:space="preserve">пункте 4</w:t>
        </w:r>
      </w:hyperlink>
      <w:r>
        <w:rPr>
          <w:sz w:val="24"/>
        </w:rPr>
        <w:t xml:space="preserve"> настоящего постановления, рассчитывается по форме, предусмотренной </w:t>
      </w:r>
      <w:hyperlink w:history="0" w:anchor="P113" w:tooltip="                     РАСЧЕТ СУММЫ ЭКОЛОГИЧЕСКОГО СБОРА">
        <w:r>
          <w:rPr>
            <w:sz w:val="24"/>
            <w:color w:val="0000ff"/>
          </w:rPr>
          <w:t xml:space="preserve">приложением N 1</w:t>
        </w:r>
      </w:hyperlink>
      <w:r>
        <w:rPr>
          <w:sz w:val="24"/>
        </w:rPr>
        <w:t xml:space="preserve"> к Правилам, утвержденным настоящим постановлением, и уплачивается в соответствии с </w:t>
      </w:r>
      <w:r>
        <w:rPr>
          <w:sz w:val="24"/>
        </w:rPr>
        <w:t xml:space="preserve">частью 9 статьи 7</w:t>
      </w:r>
      <w:r>
        <w:rPr>
          <w:sz w:val="24"/>
        </w:rPr>
        <w:t xml:space="preserve"> Федерального закона от 4 августа 2023 г. N 451-ФЗ "О внесении изменений в Федеральный закон "Об отходах производства и потребления" и отдельные законодательные акты Российской Федерации" в срок, предусмотренный </w:t>
      </w:r>
      <w:r>
        <w:rPr>
          <w:sz w:val="24"/>
        </w:rPr>
        <w:t xml:space="preserve">пунктом 2 статьи 24.5</w:t>
      </w:r>
      <w:r>
        <w:rPr>
          <w:sz w:val="24"/>
        </w:rPr>
        <w:t xml:space="preserve"> Федерального закона "Об отходах производства и потребления".</w:t>
      </w:r>
    </w:p>
    <w:bookmarkStart w:id="19" w:name="P19"/>
    <w:bookmarkEnd w:id="19"/>
    <w:p>
      <w:pPr>
        <w:pStyle w:val="0"/>
        <w:spacing w:before="240" w:line-rule="auto"/>
        <w:ind w:firstLine="540"/>
        <w:jc w:val="both"/>
      </w:pPr>
      <w:r>
        <w:rPr>
          <w:sz w:val="24"/>
        </w:rPr>
        <w:t xml:space="preserve">6. Установить, что в отношении товаров, упаковки, включенных в </w:t>
      </w:r>
      <w:r>
        <w:rPr>
          <w:sz w:val="24"/>
        </w:rPr>
        <w:t xml:space="preserve">перечень</w:t>
      </w:r>
      <w:r>
        <w:rPr>
          <w:sz w:val="24"/>
        </w:rPr>
        <w:t xml:space="preserve">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товаров, в том числе товаров в упаковке, утвержденному постановлением Правительства Российской Федерации от 1 июня 2024 г. N 750 "О проведении эксперимента в отношении отдельных групп товаров, в том числе товаров в упаковке", ввезенных с 1 сентября 2024 г. по 1 сентября 2025 г. в Российскую Федерацию из государств, не являющихся членами Евразийского экономического союза, импортерами товаров, экологический сбор исчисляется и уплачивается в соответствии с </w:t>
      </w:r>
      <w:hyperlink w:history="0" w:anchor="P60" w:tooltip="7.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рассчитать сумму экологического сбора по форме согласно приложению N 2 и уплатить экологический сбор в случае непредставления до указанного срока в единую федеральную государственную информационную систему учета отходов от использования товаров (далее - система учета отходов) уведомления о нам...">
        <w:r>
          <w:rPr>
            <w:sz w:val="24"/>
            <w:color w:val="0000ff"/>
          </w:rPr>
          <w:t xml:space="preserve">абзацем первым пункта 7</w:t>
        </w:r>
      </w:hyperlink>
      <w:r>
        <w:rPr>
          <w:sz w:val="24"/>
        </w:rPr>
        <w:t xml:space="preserve"> Правил, утвержденных настоящим постановлением.</w:t>
      </w:r>
    </w:p>
    <w:bookmarkStart w:id="20" w:name="P20"/>
    <w:bookmarkEnd w:id="20"/>
    <w:p>
      <w:pPr>
        <w:pStyle w:val="0"/>
        <w:spacing w:before="240" w:line-rule="auto"/>
        <w:ind w:firstLine="540"/>
        <w:jc w:val="both"/>
      </w:pPr>
      <w:r>
        <w:rPr>
          <w:sz w:val="24"/>
        </w:rPr>
        <w:t xml:space="preserve">7. В случае если импортерами товаров, упаковки, включенных в перечень отдельных видов товаров, в том числе товаров в упаковке, участвующих в эксперименте, указанный в </w:t>
      </w:r>
      <w:hyperlink w:history="0" w:anchor="P19" w:tooltip="6. Установить, что в отношении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оваров, в том числе товаров в упаковке, утвержденному постановлением Правительства Российской Федерации от 1 июня 2024 г. N 750 &quot;О проведении эксперимента в отношении отдельных групп товаров, в том числе товаров в упаковке&quot;, ввезенных с 1 сентября 2024 ...">
        <w:r>
          <w:rPr>
            <w:sz w:val="24"/>
            <w:color w:val="0000ff"/>
          </w:rPr>
          <w:t xml:space="preserve">пункте 6</w:t>
        </w:r>
      </w:hyperlink>
      <w:r>
        <w:rPr>
          <w:sz w:val="24"/>
        </w:rPr>
        <w:t xml:space="preserve"> настоящего постановления, обязанность по обеспечению самостоятельной утилизации не исполнена или исполнена не в полном объеме в отношении товаров, упаковки, ввезенных с 1 января по 31 декабря 2024 г. и с 1 января по 31 декабря 2025 г. в Российскую Федерацию из государств, не являющихся членами Евразийского экономического союза, импортерами товаров, экологический сбор рассчитывается по форме, предусмотренной </w:t>
      </w:r>
      <w:hyperlink w:history="0" w:anchor="P609" w:tooltip="РАСЧЕТ СУММЫ ЭКОЛОГИЧЕСКОГО СБОРА">
        <w:r>
          <w:rPr>
            <w:sz w:val="24"/>
            <w:color w:val="0000ff"/>
          </w:rPr>
          <w:t xml:space="preserve">приложением N 3</w:t>
        </w:r>
      </w:hyperlink>
      <w:r>
        <w:rPr>
          <w:sz w:val="24"/>
        </w:rPr>
        <w:t xml:space="preserve"> к Правилам, утвержденным настоящим постановлением, и уплачивается за отчетный период соответственно до 15 апреля 2025 г. и до 15 апреля 2026 г.</w:t>
      </w:r>
    </w:p>
    <w:p>
      <w:pPr>
        <w:pStyle w:val="0"/>
        <w:spacing w:before="240" w:line-rule="auto"/>
        <w:ind w:firstLine="540"/>
        <w:jc w:val="both"/>
      </w:pPr>
      <w:r>
        <w:rPr>
          <w:sz w:val="24"/>
        </w:rPr>
        <w:t xml:space="preserve">8. Установить, что </w:t>
      </w:r>
      <w:hyperlink w:history="0" w:anchor="P44" w:tooltip="ПРАВИЛА ВЗИМАНИЯ ЭКОЛОГИЧЕСКОГО СБОРА">
        <w:r>
          <w:rPr>
            <w:sz w:val="24"/>
            <w:color w:val="0000ff"/>
          </w:rPr>
          <w:t xml:space="preserve">Правила</w:t>
        </w:r>
      </w:hyperlink>
      <w:r>
        <w:rPr>
          <w:sz w:val="24"/>
        </w:rPr>
        <w:t xml:space="preserve">, утвержденные настоящим постановлением, распространяются на правоотношения, возникшие с 1 января 2024 г.</w:t>
      </w:r>
    </w:p>
    <w:p>
      <w:pPr>
        <w:pStyle w:val="0"/>
        <w:spacing w:before="240" w:line-rule="auto"/>
        <w:ind w:firstLine="540"/>
        <w:jc w:val="both"/>
      </w:pPr>
      <w:r>
        <w:rPr>
          <w:sz w:val="24"/>
        </w:rPr>
        <w:t xml:space="preserve">9. Установить, что в отношении товаров, упаковки, первичная реализация которых на территории Российской Федерации осуществлена с 1 января по 31 декабря 2023 г., при расчете экологического сбора применяются </w:t>
      </w:r>
      <w:r>
        <w:rPr>
          <w:sz w:val="24"/>
        </w:rPr>
        <w:t xml:space="preserve">ставки</w:t>
      </w:r>
      <w:r>
        <w:rPr>
          <w:sz w:val="24"/>
        </w:rPr>
        <w:t xml:space="preserve">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 утвержденные постановлением Правительства Российской Федерации от 9 апреля 2016 г. N 284 "Об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w:t>
      </w:r>
    </w:p>
    <w:p>
      <w:pPr>
        <w:pStyle w:val="0"/>
        <w:spacing w:before="240" w:line-rule="auto"/>
        <w:ind w:firstLine="540"/>
        <w:jc w:val="both"/>
      </w:pPr>
      <w:r>
        <w:rPr>
          <w:sz w:val="24"/>
        </w:rPr>
        <w:t xml:space="preserve">10. Расчет суммы экологического сбора и уплата экологического сбора в отношении товаров, упаковки, первичная реализация которых на территории Российской Федерации осуществлена с 1 января по 31 декабря 2023 г., а также представление отчетности о выполнении нормативов утилизации отходов от использования товаров, упаковки обеспечиваются до 15 апреля 2025 г. в соответствии с перечнями товаров, упаковки товаров, подлежащих утилизации после утраты ими потребительских свойств, и нормативами утилизации отходов от использования товаров на 2023 год и с учетом положений </w:t>
      </w:r>
      <w:r>
        <w:rPr>
          <w:sz w:val="24"/>
        </w:rPr>
        <w:t xml:space="preserve">части 15 статьи 7</w:t>
      </w:r>
      <w:r>
        <w:rPr>
          <w:sz w:val="24"/>
        </w:rPr>
        <w:t xml:space="preserve"> Федерального закона от 4 августа 2023 г. N 451-ФЗ "О внесении изменений в Федеральный закон "Об отходах производства и потребления" и отдельные законодательные акты Российской Федерации".</w:t>
      </w:r>
    </w:p>
    <w:p>
      <w:pPr>
        <w:pStyle w:val="0"/>
        <w:spacing w:before="240" w:line-rule="auto"/>
        <w:ind w:firstLine="540"/>
        <w:jc w:val="both"/>
      </w:pPr>
      <w:r>
        <w:rPr>
          <w:sz w:val="24"/>
        </w:rPr>
        <w:t xml:space="preserve">11. Ставка экологического сбора по </w:t>
      </w:r>
      <w:r>
        <w:rPr>
          <w:sz w:val="24"/>
        </w:rPr>
        <w:t xml:space="preserve">группе N 49</w:t>
      </w:r>
      <w:r>
        <w:rPr>
          <w:sz w:val="24"/>
        </w:rPr>
        <w:t xml:space="preserve"> "Упаковка полимерная"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 утвержденных постановлением Правительства Российской Федерации от 9 апреля 2016 г. N 284 "Об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 применяется в отношении упаковки из полимерных материалов, не содержащих галогены, упаковки из полимерных материалов, содержащих галоген, и упаковки из комбинированных материалов, первичная реализация которых на территории Российской Федерации осуществлена с 1 января по 31 декабря 2023 г.</w:t>
      </w:r>
    </w:p>
    <w:p>
      <w:pPr>
        <w:pStyle w:val="0"/>
        <w:spacing w:before="240" w:line-rule="auto"/>
        <w:ind w:firstLine="540"/>
        <w:jc w:val="both"/>
      </w:pPr>
      <w:r>
        <w:rPr>
          <w:sz w:val="24"/>
        </w:rPr>
        <w:t xml:space="preserve">12. Признать утратившими силу с 1 сентября 2025 г.:</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8 октября 2015 г. N 1073 "О порядке взимания экологического сбора" (Собрание законодательства Российской Федерации, 2015, N 42, ст. 5786);</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23 августа 2018 г. N 986 "О внесении изменений в Правила взимания экологического сбора" (Собрание законодательства Российской Федерации, 2018, N 36, ст. 5615).</w:t>
      </w:r>
    </w:p>
    <w:bookmarkStart w:id="28" w:name="P28"/>
    <w:bookmarkEnd w:id="28"/>
    <w:p>
      <w:pPr>
        <w:pStyle w:val="0"/>
        <w:spacing w:before="240" w:line-rule="auto"/>
        <w:ind w:firstLine="540"/>
        <w:jc w:val="both"/>
      </w:pPr>
      <w:r>
        <w:rPr>
          <w:sz w:val="24"/>
        </w:rPr>
        <w:t xml:space="preserve">13. Настоящее постановление вступает в силу с 1 января 2025 г., за исключением </w:t>
      </w:r>
      <w:hyperlink w:history="0" w:anchor="P1466" w:tooltip="4. Пункт 5 постановления Правительства Российской Федерации от 1 августа 2024 г. N 1041 &quot;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
        <w:r>
          <w:rPr>
            <w:sz w:val="24"/>
            <w:color w:val="0000ff"/>
          </w:rPr>
          <w:t xml:space="preserve">пункта 4</w:t>
        </w:r>
      </w:hyperlink>
      <w:r>
        <w:rPr>
          <w:sz w:val="24"/>
        </w:rPr>
        <w:t xml:space="preserve"> изменений, утвержденных настоящим постановлением, который вступает в силу со дня официального опубликования настоящего постановления.</w:t>
      </w:r>
    </w:p>
    <w:p>
      <w:pPr>
        <w:pStyle w:val="0"/>
        <w:spacing w:before="240" w:line-rule="auto"/>
        <w:ind w:firstLine="540"/>
        <w:jc w:val="both"/>
      </w:pPr>
      <w:r>
        <w:rPr>
          <w:sz w:val="24"/>
        </w:rPr>
        <w:t xml:space="preserve">14. </w:t>
      </w:r>
      <w:hyperlink w:history="0" w:anchor="P44" w:tooltip="ПРАВИЛА ВЗИМАНИЯ ЭКОЛОГИЧЕСКОГО СБОРА">
        <w:r>
          <w:rPr>
            <w:sz w:val="24"/>
            <w:color w:val="0000ff"/>
          </w:rPr>
          <w:t xml:space="preserve">Правила</w:t>
        </w:r>
      </w:hyperlink>
      <w:r>
        <w:rPr>
          <w:sz w:val="24"/>
        </w:rPr>
        <w:t xml:space="preserve">, утвержденные настоящим постановлением, действуют до 1 января 2031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2024 г. N 1990</w:t>
      </w:r>
    </w:p>
    <w:p>
      <w:pPr>
        <w:pStyle w:val="0"/>
        <w:jc w:val="right"/>
      </w:pPr>
      <w:r>
        <w:rPr>
          <w:sz w:val="24"/>
        </w:rPr>
      </w:r>
    </w:p>
    <w:bookmarkStart w:id="44" w:name="P44"/>
    <w:bookmarkEnd w:id="44"/>
    <w:p>
      <w:pPr>
        <w:pStyle w:val="2"/>
        <w:jc w:val="center"/>
      </w:pPr>
      <w:r>
        <w:rPr>
          <w:sz w:val="24"/>
        </w:rPr>
        <w:t xml:space="preserve">ПРАВИЛА ВЗИМАНИЯ ЭКОЛОГИЧЕСКОГО СБОРА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25.12.2025 </w:t>
            </w:r>
            <w:r>
              <w:rPr>
                <w:sz w:val="24"/>
                <w:color w:val="392c69"/>
              </w:rPr>
              <w:t xml:space="preserve">N 2116</w:t>
            </w:r>
            <w:r>
              <w:rPr>
                <w:sz w:val="24"/>
                <w:color w:val="392c69"/>
              </w:rPr>
              <w:t xml:space="preserve">,</w:t>
            </w:r>
          </w:p>
          <w:p>
            <w:pPr>
              <w:pStyle w:val="0"/>
              <w:jc w:val="center"/>
            </w:pPr>
            <w:r>
              <w:rPr>
                <w:sz w:val="24"/>
                <w:color w:val="392c69"/>
              </w:rPr>
              <w:t xml:space="preserve">от 30.12.2025 </w:t>
            </w:r>
            <w:r>
              <w:rPr>
                <w:sz w:val="24"/>
                <w:color w:val="392c69"/>
              </w:rPr>
              <w:t xml:space="preserve">N 2228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порядок взимания экологического сбора, в том числе порядок его исчисления, зачета, возврата излишне уплаченных или излишне взысканных сумм экологического сбора.</w:t>
      </w:r>
    </w:p>
    <w:p>
      <w:pPr>
        <w:pStyle w:val="0"/>
        <w:spacing w:before="240" w:line-rule="auto"/>
        <w:ind w:firstLine="540"/>
        <w:jc w:val="both"/>
      </w:pPr>
      <w:r>
        <w:rPr>
          <w:sz w:val="24"/>
        </w:rPr>
        <w:t xml:space="preserve">2. В настоящих Правилах используются следующие понятия:</w:t>
      </w:r>
    </w:p>
    <w:p>
      <w:pPr>
        <w:pStyle w:val="0"/>
        <w:spacing w:before="240" w:line-rule="auto"/>
        <w:ind w:firstLine="540"/>
        <w:jc w:val="both"/>
      </w:pPr>
      <w:r>
        <w:rPr>
          <w:sz w:val="24"/>
        </w:rPr>
        <w:t xml:space="preserve">"импортер товаров" - юридическое лицо и индивидуальный предприниматель,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pPr>
        <w:pStyle w:val="0"/>
        <w:spacing w:before="240" w:line-rule="auto"/>
        <w:ind w:firstLine="540"/>
        <w:jc w:val="both"/>
      </w:pPr>
      <w:r>
        <w:rPr>
          <w:sz w:val="24"/>
        </w:rPr>
        <w:t xml:space="preserve">"перечень товаров, упаковки" - перечень товаров, упаковки, отходы от использования которых подлежат утилизации, утвержденный Правительством Российской Федерации в соответствии с </w:t>
      </w:r>
      <w:r>
        <w:rPr>
          <w:sz w:val="24"/>
        </w:rPr>
        <w:t xml:space="preserve">пунктом 5 статьи 24.2</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"производитель товаров" - юридическое лицо и индивидуальный предприниматель, осуществляющие производство товаров, упаковки на территории Российской Федерации;</w:t>
      </w:r>
    </w:p>
    <w:p>
      <w:pPr>
        <w:pStyle w:val="0"/>
        <w:spacing w:before="240" w:line-rule="auto"/>
        <w:ind w:firstLine="540"/>
        <w:jc w:val="both"/>
      </w:pPr>
      <w:r>
        <w:rPr>
          <w:sz w:val="24"/>
        </w:rPr>
        <w:t xml:space="preserve">"утилизатор" - юридическое лицо и индивидуальный предприниматель, осуществляющие утилизацию отходов от использования товаров и (или) упаковки (далее - отходы от использования товаров) и внесенные в реестр юридических лиц, индивидуальных предпринимателей, осуществляющих утилизацию отходов от использования товаров.</w:t>
      </w:r>
    </w:p>
    <w:p>
      <w:pPr>
        <w:pStyle w:val="0"/>
        <w:spacing w:before="240" w:line-rule="auto"/>
        <w:ind w:firstLine="540"/>
        <w:jc w:val="both"/>
      </w:pPr>
      <w:r>
        <w:rPr>
          <w:sz w:val="24"/>
        </w:rPr>
        <w:t xml:space="preserve">3. Взимание экологического сбора, контроль за правильностью исчисления экологического сбора, полнотой и своевременностью его уплаты осуществляются Федеральной службой по надзору в сфере природопользования и ее территориальными органами.</w:t>
      </w:r>
    </w:p>
    <w:p>
      <w:pPr>
        <w:pStyle w:val="0"/>
        <w:spacing w:before="240" w:line-rule="auto"/>
        <w:ind w:firstLine="540"/>
        <w:jc w:val="both"/>
      </w:pPr>
      <w:r>
        <w:rPr>
          <w:sz w:val="24"/>
        </w:rPr>
        <w:t xml:space="preserve">4. Информация о реквизитах счетов для уплаты экологического сбора доводится Федеральной службой по надзору в сфере природопользования и ее территориальными органами до сведения производителей товаров, импортеров товаров, утилизаторов путем размещения ее на официальном сайте Службы в информационно-телекоммуникационной сети "Интернет" (далее - сеть "Интернет").</w:t>
      </w:r>
    </w:p>
    <w:p>
      <w:pPr>
        <w:pStyle w:val="0"/>
        <w:spacing w:before="240" w:line-rule="auto"/>
        <w:ind w:firstLine="540"/>
        <w:jc w:val="both"/>
      </w:pPr>
      <w:r>
        <w:rPr>
          <w:sz w:val="24"/>
        </w:rPr>
        <w:t xml:space="preserve">5. Исчисление и уплата экологического сбора осуществляются производителями товаров и импортерами товаров, которые не обеспечивают самостоятельную утилизацию отходов от использования товаров, упаковки по каждой группе товаров, упаковки товаров в соответствии с перечнем товаров, упаковки.</w:t>
      </w:r>
    </w:p>
    <w:p>
      <w:pPr>
        <w:pStyle w:val="0"/>
        <w:spacing w:before="240" w:line-rule="auto"/>
        <w:ind w:firstLine="540"/>
        <w:jc w:val="both"/>
      </w:pPr>
      <w:r>
        <w:rPr>
          <w:sz w:val="24"/>
        </w:rPr>
        <w:t xml:space="preserve">Взимание экологического сбора в отношении утилизаторов осуществляется в случае, если утилизатором не обеспечена утилизация отходов от использования товаров в массе товаров, указанной в заключенных с производителем товаров, импортером товаров договорах или актах, представленных производителем товаров, импортером товаров,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или утилизация осуществлена с нарушением требований, предусмотренных </w:t>
      </w:r>
      <w:r>
        <w:rPr>
          <w:sz w:val="24"/>
        </w:rPr>
        <w:t xml:space="preserve">пунктами 4</w:t>
      </w:r>
      <w:r>
        <w:rPr>
          <w:sz w:val="24"/>
        </w:rPr>
        <w:t xml:space="preserve"> и </w:t>
      </w:r>
      <w:r>
        <w:rPr>
          <w:sz w:val="24"/>
        </w:rPr>
        <w:t xml:space="preserve">5 статьи 24.2-1</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6. Производителями товаров, импортерами товаров при ввозе товаров, в том числе товаров в упаковке, из государств - членов Евразийского экономического союза сумма экологического сбора рассчитывается по форме согласно </w:t>
      </w:r>
      <w:hyperlink w:history="0" w:anchor="P113" w:tooltip="                     РАСЧЕТ СУММЫ ЭКОЛОГИЧЕСКОГО СБОРА">
        <w:r>
          <w:rPr>
            <w:sz w:val="24"/>
            <w:color w:val="0000ff"/>
          </w:rPr>
          <w:t xml:space="preserve">приложению N 1</w:t>
        </w:r>
      </w:hyperlink>
      <w:r>
        <w:rPr>
          <w:sz w:val="24"/>
        </w:rPr>
        <w:t xml:space="preserve"> и уплачивается до 15 апреля года, следующего за отчетным периодом.</w:t>
      </w:r>
    </w:p>
    <w:bookmarkStart w:id="60" w:name="P60"/>
    <w:bookmarkEnd w:id="60"/>
    <w:p>
      <w:pPr>
        <w:pStyle w:val="0"/>
        <w:spacing w:before="240" w:line-rule="auto"/>
        <w:ind w:firstLine="540"/>
        <w:jc w:val="both"/>
      </w:pPr>
      <w:r>
        <w:rPr>
          <w:sz w:val="24"/>
        </w:rPr>
        <w:t xml:space="preserve">7.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рассчитать сумму экологического сбора по форме согласно </w:t>
      </w:r>
      <w:hyperlink w:history="0" w:anchor="P417" w:tooltip="РАСЧЕТ СУММЫ ЭКОЛОГИЧЕСКОГО СБОРА">
        <w:r>
          <w:rPr>
            <w:sz w:val="24"/>
            <w:color w:val="0000ff"/>
          </w:rPr>
          <w:t xml:space="preserve">приложению N 2</w:t>
        </w:r>
      </w:hyperlink>
      <w:r>
        <w:rPr>
          <w:sz w:val="24"/>
        </w:rPr>
        <w:t xml:space="preserve"> и уплатить экологический сбор в случае непредставления до указанного срока в единую федеральную государственную информационную систему учета отходов от использования товаров (далее - система учета отходов) уведомления о намерении самостоятельной утилизации отходов от использования товаров в соответствии с </w:t>
      </w:r>
      <w:r>
        <w:rPr>
          <w:sz w:val="24"/>
        </w:rPr>
        <w:t xml:space="preserve">пунктом 10 статьи 24.2-1</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В случае если импортером товаров, представившим в систему учета отходов уведомление о намерении самостоятельной утилизации с приложением документов, предусмотренных </w:t>
      </w:r>
      <w:r>
        <w:rPr>
          <w:sz w:val="24"/>
        </w:rPr>
        <w:t xml:space="preserve">пунктом 10 статьи 24.2-1</w:t>
      </w:r>
      <w:r>
        <w:rPr>
          <w:sz w:val="24"/>
        </w:rPr>
        <w:t xml:space="preserve"> Федерального закона "Об отходах производства и потребления", обязанность по обеспечению самостоятельной утилизации не исполнена или исполнена не в полном объеме, он рассчитывает сумму экологического сбора по форме согласно </w:t>
      </w:r>
      <w:hyperlink w:history="0" w:anchor="P609" w:tooltip="РАСЧЕТ СУММЫ ЭКОЛОГИЧЕСКОГО СБОРА">
        <w:r>
          <w:rPr>
            <w:sz w:val="24"/>
            <w:color w:val="0000ff"/>
          </w:rPr>
          <w:t xml:space="preserve">приложению N 3</w:t>
        </w:r>
      </w:hyperlink>
      <w:r>
        <w:rPr>
          <w:sz w:val="24"/>
        </w:rPr>
        <w:t xml:space="preserve"> и уплачивает экологический сбор до 15 апреля года, следующего за отчетным периодом, в соответствии с положением </w:t>
      </w:r>
      <w:r>
        <w:rPr>
          <w:sz w:val="24"/>
        </w:rPr>
        <w:t xml:space="preserve">пункта 12 статьи 24.5</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8. Отчетным периодом для расчета суммы экологического сбора по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и </w:t>
      </w:r>
      <w:hyperlink w:history="0" w:anchor="P609" w:tooltip="РАСЧЕТ СУММЫ ЭКОЛОГИЧЕСКОГО СБОРА">
        <w:r>
          <w:rPr>
            <w:sz w:val="24"/>
            <w:color w:val="0000ff"/>
          </w:rPr>
          <w:t xml:space="preserve">3</w:t>
        </w:r>
      </w:hyperlink>
      <w:r>
        <w:rPr>
          <w:sz w:val="24"/>
        </w:rPr>
        <w:t xml:space="preserve"> к настоящим Правилам, признается календарный год. При этом в случае начала осуществления хозяйственной и иной деятельности производителем товаров, импортером товаров в течение отчетного календарного года отчетный период исчисляется со дня возникновения обязанности по обеспечению утилизации отходов от использования товаров, установленного </w:t>
      </w:r>
      <w:r>
        <w:rPr>
          <w:sz w:val="24"/>
        </w:rPr>
        <w:t xml:space="preserve">пунктами 1</w:t>
      </w:r>
      <w:r>
        <w:rPr>
          <w:sz w:val="24"/>
        </w:rPr>
        <w:t xml:space="preserve"> и </w:t>
      </w:r>
      <w:r>
        <w:rPr>
          <w:sz w:val="24"/>
        </w:rPr>
        <w:t xml:space="preserve">2 статьи 24.2-1</w:t>
      </w:r>
      <w:r>
        <w:rPr>
          <w:sz w:val="24"/>
        </w:rPr>
        <w:t xml:space="preserve"> Федерального закона "Об отходах производства и потребления".</w:t>
      </w:r>
    </w:p>
    <w:p>
      <w:pPr>
        <w:pStyle w:val="0"/>
        <w:spacing w:before="240" w:line-rule="auto"/>
        <w:ind w:firstLine="540"/>
        <w:jc w:val="both"/>
      </w:pPr>
      <w:r>
        <w:rPr>
          <w:sz w:val="24"/>
        </w:rPr>
        <w:t xml:space="preserve">9. Уплата экологического сбора осуществляется путем перечисления денежных средств в валюте Российской Федерации:</w:t>
      </w:r>
    </w:p>
    <w:p>
      <w:pPr>
        <w:pStyle w:val="0"/>
        <w:spacing w:before="240" w:line-rule="auto"/>
        <w:ind w:firstLine="540"/>
        <w:jc w:val="both"/>
      </w:pPr>
      <w:r>
        <w:rPr>
          <w:sz w:val="24"/>
        </w:rPr>
        <w:t xml:space="preserve">а) плательщиками, являющимися производителями товаров, - на счет территориального органа Федеральной службы по надзору в сфере природопользования в Федеральном казначействе по месту государственной регистрации плательщика;</w:t>
      </w:r>
    </w:p>
    <w:p>
      <w:pPr>
        <w:pStyle w:val="0"/>
        <w:spacing w:before="240" w:line-rule="auto"/>
        <w:ind w:firstLine="540"/>
        <w:jc w:val="both"/>
      </w:pPr>
      <w:r>
        <w:rPr>
          <w:sz w:val="24"/>
        </w:rPr>
        <w:t xml:space="preserve">б) плательщиками, являющимися импортерами товаров, утилизаторами, - на счет Федеральной службы по надзору в сфере природопользования в Федеральном казначействе.</w:t>
      </w:r>
    </w:p>
    <w:p>
      <w:pPr>
        <w:pStyle w:val="0"/>
        <w:spacing w:before="240" w:line-rule="auto"/>
        <w:ind w:firstLine="540"/>
        <w:jc w:val="both"/>
      </w:pPr>
      <w:r>
        <w:rPr>
          <w:sz w:val="24"/>
        </w:rPr>
        <w:t xml:space="preserve">10. В случае если плательщик одновременно является производителем товаров и импортером товаров, уплата экологического сбора осуществляется путем перечисления денежных средств в валюте Российской Федерации на счет Федеральной службы по надзору в сфере природопользования в Федеральном казначействе.</w:t>
      </w:r>
    </w:p>
    <w:p>
      <w:pPr>
        <w:pStyle w:val="0"/>
        <w:spacing w:before="240" w:line-rule="auto"/>
        <w:ind w:firstLine="540"/>
        <w:jc w:val="both"/>
      </w:pPr>
      <w:r>
        <w:rPr>
          <w:sz w:val="24"/>
        </w:rPr>
        <w:t xml:space="preserve">11. Расчет суммы экологического сбора осуществляется производителями товаров, импортерами товаров в системе учета отходов посредством электронного сервиса "личный кабинет" системы учета отходов, или посредством федеральной государственной информационной системы "Единый портал государственных и муниципальных услуг (функций)", или в случае отсутствия технической возможности направления документов через систему учета отходов посредством электронного сервиса, представленного на официальном сайте Федеральной службы по надзору в сфере природопользования в сети "Интернет",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по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 </w:t>
      </w:r>
      <w:hyperlink w:history="0" w:anchor="P609" w:tooltip="РАСЧЕТ СУММЫ ЭКОЛОГИЧЕСКОГО СБОРА">
        <w:r>
          <w:rPr>
            <w:sz w:val="24"/>
            <w:color w:val="0000ff"/>
          </w:rPr>
          <w:t xml:space="preserve">3</w:t>
        </w:r>
      </w:hyperlink>
      <w:r>
        <w:rPr>
          <w:sz w:val="24"/>
        </w:rPr>
        <w:t xml:space="preserve"> к настоящим Правилам, в том числе путем заполнения интерактивных форм указанных информационных систем. Федеральная служба по надзору в сфере природопользования обеспечивает на безвозмездной основе доступ к электронному сервису для расчета суммы экологического сбора, представленному на официальном сайте Федеральной службы по надзору в сфере природопользования в сети "Интернет".</w:t>
      </w:r>
    </w:p>
    <w:bookmarkStart w:id="68" w:name="P68"/>
    <w:bookmarkEnd w:id="68"/>
    <w:p>
      <w:pPr>
        <w:pStyle w:val="0"/>
        <w:spacing w:before="240" w:line-rule="auto"/>
        <w:ind w:firstLine="540"/>
        <w:jc w:val="both"/>
      </w:pPr>
      <w:r>
        <w:rPr>
          <w:sz w:val="24"/>
        </w:rPr>
        <w:t xml:space="preserve">12. В случаях, предусмотренных </w:t>
      </w:r>
      <w:r>
        <w:rPr>
          <w:sz w:val="24"/>
        </w:rPr>
        <w:t xml:space="preserve">пунктами 4</w:t>
      </w:r>
      <w:r>
        <w:rPr>
          <w:sz w:val="24"/>
        </w:rPr>
        <w:t xml:space="preserve"> и </w:t>
      </w:r>
      <w:r>
        <w:rPr>
          <w:sz w:val="24"/>
        </w:rPr>
        <w:t xml:space="preserve">6 статьи 24.2-4</w:t>
      </w:r>
      <w:r>
        <w:rPr>
          <w:sz w:val="24"/>
        </w:rPr>
        <w:t xml:space="preserve"> Федерального закона "Об отходах производства и потребления", в том числе при выявлении нарушения срока уплаты экологического сбора, непредставления расчета суммы экологического сбора или использования недостоверных сведений при расчете и выявления факта невнесения экологического сбора или его внесения не в полном объеме уплаты (в том числе по результатам рассмотрения отчетностей о самостоятельной утилизации) Федеральная служба по надзору в сфере природопользования (ее территориальный орган) направляет производителю товаров, импортеру товаров и утилизатору требование об устранении выявленных нарушений.</w:t>
      </w:r>
    </w:p>
    <w:p>
      <w:pPr>
        <w:pStyle w:val="0"/>
        <w:jc w:val="both"/>
      </w:pPr>
      <w:r>
        <w:rPr>
          <w:sz w:val="24"/>
        </w:rPr>
        <w:t xml:space="preserve">(в ред. </w:t>
      </w:r>
      <w:r>
        <w:rPr>
          <w:sz w:val="24"/>
        </w:rPr>
        <w:t xml:space="preserve">Постановления</w:t>
      </w:r>
      <w:r>
        <w:rPr>
          <w:sz w:val="24"/>
        </w:rPr>
        <w:t xml:space="preserve"> Правительства РФ от 30.12.2025 N 2228)</w:t>
      </w:r>
    </w:p>
    <w:p>
      <w:pPr>
        <w:pStyle w:val="0"/>
        <w:spacing w:before="240" w:line-rule="auto"/>
        <w:ind w:firstLine="540"/>
        <w:jc w:val="both"/>
      </w:pPr>
      <w:r>
        <w:rPr>
          <w:sz w:val="24"/>
        </w:rPr>
        <w:t xml:space="preserve">13. В случае если требование, указанное в </w:t>
      </w:r>
      <w:hyperlink w:history="0" w:anchor="P68" w:tooltip="12. В случаях, предусмотренных пунктами 4 и 6 статьи 24.2-4 Федерального закона &quot;Об отходах производства и потребления&quot;, в том числе при выявлении нарушения срока уплаты экологического сбора, непредставления расчета суммы экологического сбора или использования недостоверных сведений при расчете и выявления факта невнесения экологического сбора или его внесения не в полном объеме уплаты (в том числе по результатам рассмотрения отчетностей о самостоятельной утилизации) Федеральная служба по надзору в сфере...">
        <w:r>
          <w:rPr>
            <w:sz w:val="24"/>
            <w:color w:val="0000ff"/>
          </w:rPr>
          <w:t xml:space="preserve">пункте 12</w:t>
        </w:r>
      </w:hyperlink>
      <w:r>
        <w:rPr>
          <w:sz w:val="24"/>
        </w:rPr>
        <w:t xml:space="preserve"> настоящих Правил, не исполнено производителем товаров, импортером товаров в течение 30 дней со дня его направления, Федеральная служба по надзору в сфере природопользования (ее территориальный орган) осуществляет взыскание задолженности в судебном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30.12.2025 N 2228)</w:t>
      </w:r>
    </w:p>
    <w:p>
      <w:pPr>
        <w:pStyle w:val="0"/>
        <w:spacing w:before="240" w:line-rule="auto"/>
        <w:ind w:firstLine="540"/>
        <w:jc w:val="both"/>
      </w:pPr>
      <w:r>
        <w:rPr>
          <w:sz w:val="24"/>
        </w:rPr>
        <w:t xml:space="preserve">В случае если требование, предусмотренное </w:t>
      </w:r>
      <w:r>
        <w:rPr>
          <w:sz w:val="24"/>
        </w:rPr>
        <w:t xml:space="preserve">пунктом 8 статьи 24.2-4</w:t>
      </w:r>
      <w:r>
        <w:rPr>
          <w:sz w:val="24"/>
        </w:rPr>
        <w:t xml:space="preserve"> Федерального закона "Об отходах производства и потребления", не исполнено утилизатором в течение 30 дней со дня направления требования Федеральной службой по надзору в сфере природопользования, Служба осуществляет взыскание задолженности в судебном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30.12.2025 N 2228)</w:t>
      </w:r>
    </w:p>
    <w:bookmarkStart w:id="74" w:name="P74"/>
    <w:bookmarkEnd w:id="74"/>
    <w:p>
      <w:pPr>
        <w:pStyle w:val="0"/>
        <w:spacing w:before="240" w:line-rule="auto"/>
        <w:ind w:firstLine="540"/>
        <w:jc w:val="both"/>
      </w:pPr>
      <w:r>
        <w:rPr>
          <w:sz w:val="24"/>
        </w:rPr>
        <w:t xml:space="preserve">14. В случае выявления факта завышения размера исчисленного и (или)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(ее территориальный орган) с заявлением о проведении совместной сверки расчетов суммы экологического сбора по форме согласно </w:t>
      </w:r>
      <w:hyperlink w:history="0" w:anchor="P978" w:tooltip="ЗАЯВЛЕНИЕ">
        <w:r>
          <w:rPr>
            <w:sz w:val="24"/>
            <w:color w:val="0000ff"/>
          </w:rPr>
          <w:t xml:space="preserve">приложению N 4</w:t>
        </w:r>
      </w:hyperlink>
      <w:r>
        <w:rPr>
          <w:sz w:val="24"/>
        </w:rPr>
        <w:t xml:space="preserve">.</w:t>
      </w:r>
    </w:p>
    <w:bookmarkStart w:id="75" w:name="P75"/>
    <w:bookmarkEnd w:id="75"/>
    <w:p>
      <w:pPr>
        <w:pStyle w:val="0"/>
        <w:spacing w:before="240" w:line-rule="auto"/>
        <w:ind w:firstLine="540"/>
        <w:jc w:val="both"/>
      </w:pPr>
      <w:r>
        <w:rPr>
          <w:sz w:val="24"/>
        </w:rPr>
        <w:t xml:space="preserve">К заявлению о проведении совместной сверки расчетов суммы экологического сбора плательщиком прилагаются копии документов, подтверждающих факт вывоза из Российской Федерации товаров, упаковки, товаров в упаковке согласно перечню товаров, упаковки, в случае вывоза из Российской Федерации товаров, упаковки за пределами отчетного периода, за который был уплачен экологический сбор (при наличии), копии документов, подтверждающих использование товаров, ввезенных из государств, не являющихся членами Евразийского экономического союза, в качестве сырья, материалов, запасных частей, комплектующих в соответствии с </w:t>
      </w:r>
      <w:r>
        <w:rPr>
          <w:sz w:val="24"/>
        </w:rPr>
        <w:t xml:space="preserve">пунктом 9 статьи 24.2</w:t>
      </w:r>
      <w:r>
        <w:rPr>
          <w:sz w:val="24"/>
        </w:rPr>
        <w:t xml:space="preserve"> Федерального закона "Об отходах производства и потребления" (при условии, что не представлялись отчетности и не производился расчет экологического сбора, в которых должна была указываться соответствующая информация), или копии документов, позволяющих определить уплату (взыскание) экологического сбора в размере, который превышает размер экологического сбора, подлежащего уплате (взысканию), а также ошибочную уплату (взыскание) экологического сбора.</w:t>
      </w:r>
    </w:p>
    <w:bookmarkStart w:id="76" w:name="P76"/>
    <w:bookmarkEnd w:id="76"/>
    <w:p>
      <w:pPr>
        <w:pStyle w:val="0"/>
        <w:spacing w:before="240" w:line-rule="auto"/>
        <w:ind w:firstLine="540"/>
        <w:jc w:val="both"/>
      </w:pPr>
      <w:r>
        <w:rPr>
          <w:sz w:val="24"/>
        </w:rPr>
        <w:t xml:space="preserve">15. Зачет или возврат суммы излишне уплаченного (взысканного) экологического сбора производится Федеральной службой по надзору в сфере природопользования (ее территориальным органом) после составления акта совместной сверки расчетов суммы экологического сбора между Службой и производителем товаров, импортером товаров по форме согласно </w:t>
      </w:r>
      <w:hyperlink w:history="0" w:anchor="P1010" w:tooltip="АКТ">
        <w:r>
          <w:rPr>
            <w:sz w:val="24"/>
            <w:color w:val="0000ff"/>
          </w:rPr>
          <w:t xml:space="preserve">приложению N 5</w:t>
        </w:r>
      </w:hyperlink>
      <w:r>
        <w:rPr>
          <w:sz w:val="24"/>
        </w:rPr>
        <w:t xml:space="preserve"> (далее - акт сверки) на основании заявления, указанного в </w:t>
      </w:r>
      <w:hyperlink w:history="0" w:anchor="P74" w:tooltip="14. В случае выявления факта завышения размера исчисленного и (или)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ее территориальный орган) с заявлением о проведении совместной сверки расчетов суммы экологического сбора по форме согласно приложению N 4.">
        <w:r>
          <w:rPr>
            <w:sz w:val="24"/>
            <w:color w:val="0000ff"/>
          </w:rPr>
          <w:t xml:space="preserve">пункте 14</w:t>
        </w:r>
      </w:hyperlink>
      <w:r>
        <w:rPr>
          <w:sz w:val="24"/>
        </w:rPr>
        <w:t xml:space="preserve"> настоящих Правил.</w:t>
      </w:r>
    </w:p>
    <w:p>
      <w:pPr>
        <w:pStyle w:val="0"/>
        <w:spacing w:before="240" w:line-rule="auto"/>
        <w:ind w:firstLine="540"/>
        <w:jc w:val="both"/>
      </w:pPr>
      <w:r>
        <w:rPr>
          <w:sz w:val="24"/>
        </w:rPr>
        <w:t xml:space="preserve">Акт сверки составляется в электронном виде в системе учета отходов или посредством электронного сервиса, представленного на официальном сайте Федеральной службы по надзору в сфере природопользования в сети "Интернет" (в случае отсутствия технической возможности составления акта сверки в системе учета отходов) и подписывается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или индивидуального предпринимателя либо являющегося индивидуальным предпринимателем.</w:t>
      </w:r>
    </w:p>
    <w:p>
      <w:pPr>
        <w:pStyle w:val="0"/>
        <w:spacing w:before="240" w:line-rule="auto"/>
        <w:ind w:firstLine="540"/>
        <w:jc w:val="both"/>
      </w:pPr>
      <w:r>
        <w:rPr>
          <w:sz w:val="24"/>
        </w:rPr>
        <w:t xml:space="preserve">Производителем товаров, импортером товаров и Федеральной службой по надзору в сфере природопользования совместная сверка расчетов суммы экологического сбора с подписанием акта сверки проводится в течение 30 дней со дня подачи заявления, указанного в </w:t>
      </w:r>
      <w:hyperlink w:history="0" w:anchor="P74" w:tooltip="14. В случае выявления факта завышения размера исчисленного и (или)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ее территориальный орган) с заявлением о проведении совместной сверки расчетов суммы экологического сбора по форме согласно приложению N 4.">
        <w:r>
          <w:rPr>
            <w:sz w:val="24"/>
            <w:color w:val="0000ff"/>
          </w:rPr>
          <w:t xml:space="preserve">пункте 14</w:t>
        </w:r>
      </w:hyperlink>
      <w:r>
        <w:rPr>
          <w:sz w:val="24"/>
        </w:rPr>
        <w:t xml:space="preserve"> настоящих Правил.</w:t>
      </w:r>
    </w:p>
    <w:bookmarkStart w:id="79" w:name="P79"/>
    <w:bookmarkEnd w:id="79"/>
    <w:p>
      <w:pPr>
        <w:pStyle w:val="0"/>
        <w:spacing w:before="240" w:line-rule="auto"/>
        <w:ind w:firstLine="540"/>
        <w:jc w:val="both"/>
      </w:pPr>
      <w:r>
        <w:rPr>
          <w:sz w:val="24"/>
        </w:rPr>
        <w:t xml:space="preserve">16. Зачет суммы излишне уплаченного (взысканного) экологического сбора в счет предстоящих платежей по экологическому сбору осуществляется на основании заявления производителя товаров, импортера товаров о зачете суммы излишне уплаченного (взысканного) экологического сбора по форме согласно </w:t>
      </w:r>
      <w:hyperlink w:history="0" w:anchor="P1172" w:tooltip="                                 ЗАЯВЛЕНИЕ">
        <w:r>
          <w:rPr>
            <w:sz w:val="24"/>
            <w:color w:val="0000ff"/>
          </w:rPr>
          <w:t xml:space="preserve">приложению N 6</w:t>
        </w:r>
      </w:hyperlink>
      <w:r>
        <w:rPr>
          <w:sz w:val="24"/>
        </w:rPr>
        <w:t xml:space="preserve"> (далее - заявление о зачете) (с приложением документов, указанных в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пункте 18</w:t>
        </w:r>
      </w:hyperlink>
      <w:r>
        <w:rPr>
          <w:sz w:val="24"/>
        </w:rPr>
        <w:t xml:space="preserve"> настоящих Правил).</w:t>
      </w:r>
    </w:p>
    <w:p>
      <w:pPr>
        <w:pStyle w:val="0"/>
        <w:spacing w:before="240" w:line-rule="auto"/>
        <w:ind w:firstLine="540"/>
        <w:jc w:val="both"/>
      </w:pPr>
      <w:r>
        <w:rPr>
          <w:sz w:val="24"/>
        </w:rPr>
        <w:t xml:space="preserve">На основании заявления о зачете Федеральная служба по надзору в сфере природопользования (ее территориальный орган) производит зачет суммы излишне уплаченного (взысканного) экологического сбора в счет предстоящих платежей, о чем уведомляет производителя товаров, импортера товаров путем направления им решения о зачете суммы излишне уплаченного (взысканного) экологического сбора по форме согласно </w:t>
      </w:r>
      <w:hyperlink w:history="0" w:anchor="P1216" w:tooltip="                             РЕШЕНИЕ N ______">
        <w:r>
          <w:rPr>
            <w:sz w:val="24"/>
            <w:color w:val="0000ff"/>
          </w:rPr>
          <w:t xml:space="preserve">приложению N 7</w:t>
        </w:r>
      </w:hyperlink>
      <w:r>
        <w:rPr>
          <w:sz w:val="24"/>
        </w:rPr>
        <w:t xml:space="preserve"> в течение 30 дней со дня получения заявления.</w:t>
      </w:r>
    </w:p>
    <w:p>
      <w:pPr>
        <w:pStyle w:val="0"/>
        <w:spacing w:before="240" w:line-rule="auto"/>
        <w:ind w:firstLine="540"/>
        <w:jc w:val="both"/>
      </w:pPr>
      <w:r>
        <w:rPr>
          <w:sz w:val="24"/>
        </w:rPr>
        <w:t xml:space="preserve">В случае если суммы, указанные в заявлении о зачете, не совпадают с суммами уплаченного (взысканного) экологического сбора, выявленными по результатам совместной сверки расчетов, проведенной в соответствии с </w:t>
      </w:r>
      <w:hyperlink w:history="0" w:anchor="P76" w:tooltip="15. Зачет или возврат суммы излишне уплаченного (взысканного) экологического сбора производится Федеральной службой по надзору в сфере природопользования (ее территориальным органом) после составления акта совместной сверки расчетов суммы экологического сбора между Службой и производителем товаров, импортером товаров по форме согласно приложению N 5 (далее - акт сверки) на основании заявления, указанного в пункте 14 настоящих Правил.">
        <w:r>
          <w:rPr>
            <w:sz w:val="24"/>
            <w:color w:val="0000ff"/>
          </w:rPr>
          <w:t xml:space="preserve">пунктом 15</w:t>
        </w:r>
      </w:hyperlink>
      <w:r>
        <w:rPr>
          <w:sz w:val="24"/>
        </w:rPr>
        <w:t xml:space="preserve"> настоящих Правил, и указанными в акте сверки, и в случае нарушения положений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пункта 18</w:t>
        </w:r>
      </w:hyperlink>
      <w:r>
        <w:rPr>
          <w:sz w:val="24"/>
        </w:rPr>
        <w:t xml:space="preserve"> настоящих Правил, Федеральная служба по надзору в сфере природопользования (ее территориальный орган) в течение 15 рабочих дней со дня получения заявления о зачете уведомляет производителя товаров, импортера товаров о невозможности произвести зачет суммы излишне уплаченного (взысканного) экологического сбора в счет предстоящих платежей.</w:t>
      </w:r>
    </w:p>
    <w:p>
      <w:pPr>
        <w:pStyle w:val="0"/>
        <w:spacing w:before="240" w:line-rule="auto"/>
        <w:ind w:firstLine="540"/>
        <w:jc w:val="both"/>
      </w:pPr>
      <w:r>
        <w:rPr>
          <w:sz w:val="24"/>
        </w:rPr>
        <w:t xml:space="preserve">Уведомление Федеральной службы по надзору в сфере природопользования (ее территориального органа) о невозможности произвести зачет суммы излишне уплаченного (взысканного) экологического сбора в счет предстоящих платежей не препятствует повторному обращению производителя товаров, импортера товаров с заявлением о зачете.</w:t>
      </w:r>
    </w:p>
    <w:bookmarkStart w:id="83" w:name="P83"/>
    <w:bookmarkEnd w:id="83"/>
    <w:p>
      <w:pPr>
        <w:pStyle w:val="0"/>
        <w:spacing w:before="240" w:line-rule="auto"/>
        <w:ind w:firstLine="540"/>
        <w:jc w:val="both"/>
      </w:pPr>
      <w:r>
        <w:rPr>
          <w:sz w:val="24"/>
        </w:rPr>
        <w:t xml:space="preserve">17. Сумма излишне уплаченного (взысканного) экологического сбора подлежит возврату производителю товаров, импортеру товаров после проведения совместной сверки расчетов суммы экологического сбора в порядке, установленном </w:t>
      </w:r>
      <w:hyperlink w:history="0" w:anchor="P76" w:tooltip="15. Зачет или возврат суммы излишне уплаченного (взысканного) экологического сбора производится Федеральной службой по надзору в сфере природопользования (ее территориальным органом) после составления акта совместной сверки расчетов суммы экологического сбора между Службой и производителем товаров, импортером товаров по форме согласно приложению N 5 (далее - акт сверки) на основании заявления, указанного в пункте 14 настоящих Правил.">
        <w:r>
          <w:rPr>
            <w:sz w:val="24"/>
            <w:color w:val="0000ff"/>
          </w:rPr>
          <w:t xml:space="preserve">пунктом 15</w:t>
        </w:r>
      </w:hyperlink>
      <w:r>
        <w:rPr>
          <w:sz w:val="24"/>
        </w:rPr>
        <w:t xml:space="preserve"> настоящих Правил, на основании заявления о возврате суммы излишне уплаченного (взысканного) экологического сбора по форме согласно </w:t>
      </w:r>
      <w:hyperlink w:history="0" w:anchor="P1274" w:tooltip="                                 ЗАЯВЛЕНИЕ">
        <w:r>
          <w:rPr>
            <w:sz w:val="24"/>
            <w:color w:val="0000ff"/>
          </w:rPr>
          <w:t xml:space="preserve">приложению N 8</w:t>
        </w:r>
      </w:hyperlink>
      <w:r>
        <w:rPr>
          <w:sz w:val="24"/>
        </w:rPr>
        <w:t xml:space="preserve"> (далее - заявление о возврате) (с приложением документов, указанных в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пункте 18</w:t>
        </w:r>
      </w:hyperlink>
      <w:r>
        <w:rPr>
          <w:sz w:val="24"/>
        </w:rPr>
        <w:t xml:space="preserve"> настоящих Правил).</w:t>
      </w:r>
    </w:p>
    <w:bookmarkStart w:id="84" w:name="P84"/>
    <w:bookmarkEnd w:id="84"/>
    <w:p>
      <w:pPr>
        <w:pStyle w:val="0"/>
        <w:spacing w:before="240" w:line-rule="auto"/>
        <w:ind w:firstLine="540"/>
        <w:jc w:val="both"/>
      </w:pPr>
      <w:r>
        <w:rPr>
          <w:sz w:val="24"/>
        </w:rPr>
        <w:t xml:space="preserve">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w:t>
      </w:r>
    </w:p>
    <w:p>
      <w:pPr>
        <w:pStyle w:val="0"/>
        <w:spacing w:before="240" w:line-rule="auto"/>
        <w:ind w:firstLine="540"/>
        <w:jc w:val="both"/>
      </w:pPr>
      <w:r>
        <w:rPr>
          <w:sz w:val="24"/>
        </w:rPr>
        <w:t xml:space="preserve">а) подтверждающих полномочия лица, подписавшего заявление о зачете или заявление о возврате, или заверенные копии указанных документов в машиночитаемом виде;</w:t>
      </w:r>
    </w:p>
    <w:p>
      <w:pPr>
        <w:pStyle w:val="0"/>
        <w:spacing w:before="240" w:line-rule="auto"/>
        <w:ind w:firstLine="540"/>
        <w:jc w:val="both"/>
      </w:pPr>
      <w:r>
        <w:rPr>
          <w:sz w:val="24"/>
        </w:rPr>
        <w:t xml:space="preserve">б) подтверждающих полномочия на осуществление действий от имени производителя товаров, импортера товаров в случае, если заявление о зачете или заявление о возврате подается их представителем в машиночитаемом виде.</w:t>
      </w:r>
    </w:p>
    <w:bookmarkStart w:id="87" w:name="P87"/>
    <w:bookmarkEnd w:id="87"/>
    <w:p>
      <w:pPr>
        <w:pStyle w:val="0"/>
        <w:spacing w:before="240" w:line-rule="auto"/>
        <w:ind w:firstLine="540"/>
        <w:jc w:val="both"/>
      </w:pPr>
      <w:r>
        <w:rPr>
          <w:sz w:val="24"/>
        </w:rPr>
        <w:t xml:space="preserve">19. В течение 15 рабочих дней со дня получения заявления о возврате Федеральная служба по надзору в сфере природопользования (ее территориальный орган) принимает и направляет производителю товаров, импортеру товаров одно из следующих решений:</w:t>
      </w:r>
    </w:p>
    <w:p>
      <w:pPr>
        <w:pStyle w:val="0"/>
        <w:spacing w:before="240" w:line-rule="auto"/>
        <w:ind w:firstLine="540"/>
        <w:jc w:val="both"/>
      </w:pPr>
      <w:r>
        <w:rPr>
          <w:sz w:val="24"/>
        </w:rPr>
        <w:t xml:space="preserve">а) о возврате суммы излишне уплаченного (взысканного) экологического сбора по форме согласно </w:t>
      </w:r>
      <w:hyperlink w:history="0" w:anchor="P1336" w:tooltip="                              РЕШЕНИЕ N _____">
        <w:r>
          <w:rPr>
            <w:sz w:val="24"/>
            <w:color w:val="0000ff"/>
          </w:rPr>
          <w:t xml:space="preserve">приложению N 9</w:t>
        </w:r>
      </w:hyperlink>
      <w:r>
        <w:rPr>
          <w:sz w:val="24"/>
        </w:rPr>
        <w:t xml:space="preserve">;</w:t>
      </w:r>
    </w:p>
    <w:p>
      <w:pPr>
        <w:pStyle w:val="0"/>
        <w:spacing w:before="240" w:line-rule="auto"/>
        <w:ind w:firstLine="540"/>
        <w:jc w:val="both"/>
      </w:pPr>
      <w:r>
        <w:rPr>
          <w:sz w:val="24"/>
        </w:rPr>
        <w:t xml:space="preserve">б) об отказе в возврате суммы излишне уплаченного (взысканного) экологического сбора по форме согласно </w:t>
      </w:r>
      <w:hyperlink w:history="0" w:anchor="P1392" w:tooltip="                             РЕШЕНИЕ N _______">
        <w:r>
          <w:rPr>
            <w:sz w:val="24"/>
            <w:color w:val="0000ff"/>
          </w:rPr>
          <w:t xml:space="preserve">приложению N 10</w:t>
        </w:r>
      </w:hyperlink>
      <w:r>
        <w:rPr>
          <w:sz w:val="24"/>
        </w:rPr>
        <w:t xml:space="preserve">.</w:t>
      </w:r>
    </w:p>
    <w:p>
      <w:pPr>
        <w:pStyle w:val="0"/>
        <w:spacing w:before="240" w:line-rule="auto"/>
        <w:ind w:firstLine="540"/>
        <w:jc w:val="both"/>
      </w:pPr>
      <w:r>
        <w:rPr>
          <w:sz w:val="24"/>
        </w:rPr>
        <w:t xml:space="preserve">20. Основаниями для отказа в возврате суммы излишне уплаченного (взысканного) экологического сбора являются:</w:t>
      </w:r>
    </w:p>
    <w:p>
      <w:pPr>
        <w:pStyle w:val="0"/>
        <w:spacing w:before="240" w:line-rule="auto"/>
        <w:ind w:firstLine="540"/>
        <w:jc w:val="both"/>
      </w:pPr>
      <w:r>
        <w:rPr>
          <w:sz w:val="24"/>
        </w:rPr>
        <w:t xml:space="preserve">а) нарушение требований, предусмотренных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пунктом 18</w:t>
        </w:r>
      </w:hyperlink>
      <w:r>
        <w:rPr>
          <w:sz w:val="24"/>
        </w:rPr>
        <w:t xml:space="preserve"> настоящих Правил;</w:t>
      </w:r>
    </w:p>
    <w:p>
      <w:pPr>
        <w:pStyle w:val="0"/>
        <w:spacing w:before="240" w:line-rule="auto"/>
        <w:ind w:firstLine="540"/>
        <w:jc w:val="both"/>
      </w:pPr>
      <w:r>
        <w:rPr>
          <w:sz w:val="24"/>
        </w:rPr>
        <w:t xml:space="preserve">б) представление заявления о возврате, в котором указана сумма возврата в размере, превышающем сумму, предусмотренную в акте сверки.</w:t>
      </w:r>
    </w:p>
    <w:p>
      <w:pPr>
        <w:pStyle w:val="0"/>
        <w:spacing w:before="240" w:line-rule="auto"/>
        <w:ind w:firstLine="540"/>
        <w:jc w:val="both"/>
      </w:pPr>
      <w:r>
        <w:rPr>
          <w:sz w:val="24"/>
        </w:rPr>
        <w:t xml:space="preserve">21. В случае отсутствия или некорректного заполнения в заявлении о возврате сведений, позволяющих установить факт уплаты экологического сбора в сумме, превышающей сумму подлежащего уплате экологического сбора, и (или) непредставления документов, указанных в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пункте 18</w:t>
        </w:r>
      </w:hyperlink>
      <w:r>
        <w:rPr>
          <w:sz w:val="24"/>
        </w:rPr>
        <w:t xml:space="preserve"> настоящих Правил, рассмотрение заявления о возврате приостанавливается на 10 рабочих дней, о чем производитель товаров, импортер товаров в день выявления указанных фактов уведомляются с указанием причин приостановки, которые необходимо устранить в течение 10 рабочих дней с даты получения такого уведомления.</w:t>
      </w:r>
    </w:p>
    <w:p>
      <w:pPr>
        <w:pStyle w:val="0"/>
        <w:spacing w:before="240" w:line-rule="auto"/>
        <w:ind w:firstLine="540"/>
        <w:jc w:val="both"/>
      </w:pPr>
      <w:r>
        <w:rPr>
          <w:sz w:val="24"/>
        </w:rPr>
        <w:t xml:space="preserve">Непредставление необходимых сведений и (или) документов, указанных в </w:t>
      </w:r>
      <w:hyperlink w:history="0" w:anchor="P84" w:tooltip="18. В течение 3 лет со дня последней уплаты (взыскания) экологического сбора могут быть поданы производителем товаров, импортером товаров или их представителем заявление о зачете и заявление о возврате с приложением документов:">
        <w:r>
          <w:rPr>
            <w:sz w:val="24"/>
            <w:color w:val="0000ff"/>
          </w:rPr>
          <w:t xml:space="preserve">пункте 18</w:t>
        </w:r>
      </w:hyperlink>
      <w:r>
        <w:rPr>
          <w:sz w:val="24"/>
        </w:rPr>
        <w:t xml:space="preserve"> настоящих Правил, в установленный срок является основанием для принятия Федеральной службой по надзору в сфере природопользования (ее территориальным органом) решения об отказе в возврате суммы излишне уплаченного (взысканного) экологического сбора.</w:t>
      </w:r>
    </w:p>
    <w:p>
      <w:pPr>
        <w:pStyle w:val="0"/>
        <w:spacing w:before="240" w:line-rule="auto"/>
        <w:ind w:firstLine="540"/>
        <w:jc w:val="both"/>
      </w:pPr>
      <w:r>
        <w:rPr>
          <w:sz w:val="24"/>
        </w:rPr>
        <w:t xml:space="preserve">22. Решение Федеральной службы по надзору в сфере природопользования (ее территориального органа) об отказе в возврате суммы излишне уплаченного (взысканного) экологического сбора не препятствует повторному обращению производителя товаров, импортера товаров с заявлением о возврате.</w:t>
      </w:r>
    </w:p>
    <w:p>
      <w:pPr>
        <w:pStyle w:val="0"/>
        <w:spacing w:before="240" w:line-rule="auto"/>
        <w:ind w:firstLine="540"/>
        <w:jc w:val="both"/>
      </w:pPr>
      <w:r>
        <w:rPr>
          <w:sz w:val="24"/>
        </w:rPr>
        <w:t xml:space="preserve">23. До истечения срока, установленного </w:t>
      </w:r>
      <w:hyperlink w:history="0" w:anchor="P87" w:tooltip="19. В течение 15 рабочих дней со дня получения заявления о возврате Федеральная служба по надзору в сфере природопользования (ее территориальный орган) принимает и направляет производителю товаров, импортеру товаров одно из следующих решений:">
        <w:r>
          <w:rPr>
            <w:sz w:val="24"/>
            <w:color w:val="0000ff"/>
          </w:rPr>
          <w:t xml:space="preserve">абзацем первым пункта 19</w:t>
        </w:r>
      </w:hyperlink>
      <w:r>
        <w:rPr>
          <w:sz w:val="24"/>
        </w:rPr>
        <w:t xml:space="preserve"> настоящих Правил, поручение на осуществление возврата суммы излишне уплаченного (взысканного) экологического сбора, оформленное на основании решения Федеральной службы по надзору в сфере природопользования (ее территориального органа) о возврате этой суммы, подлежит направлению Федеральной службой по надзору в сфере природопользования в орган Федерального казначейства для осуществления возврата суммы излишне уплаченного (взысканного) экологического сбора производителю товаров, импортеру товаров в соответствии с бюджетным законодательством Российской Федерации на счет плательщика, указанный в заявлении о возврате.</w:t>
      </w:r>
    </w:p>
    <w:p>
      <w:pPr>
        <w:pStyle w:val="0"/>
        <w:spacing w:before="240" w:line-rule="auto"/>
        <w:ind w:firstLine="540"/>
        <w:jc w:val="both"/>
      </w:pPr>
      <w:r>
        <w:rPr>
          <w:sz w:val="24"/>
        </w:rPr>
        <w:t xml:space="preserve">24. Возврат сумм излишне уплаченного (взысканного) экологического сбора производится в валюте Российской Федерации. При возврате сумм излишне уплаченного (взысканного) экологического сбора проценты с излишне уплаченных (взысканных) сумм экологического сбора не выплачиваются, суммы не индексируются.</w:t>
      </w:r>
    </w:p>
    <w:p>
      <w:pPr>
        <w:pStyle w:val="0"/>
        <w:spacing w:before="240" w:line-rule="auto"/>
        <w:ind w:firstLine="540"/>
        <w:jc w:val="both"/>
      </w:pPr>
      <w:r>
        <w:rPr>
          <w:sz w:val="24"/>
        </w:rPr>
        <w:t xml:space="preserve">25. Информационное взаимодействие Федеральной службы по надзору в сфере природопользования (ее территориального органа) с производителями товаров, импортерами товаров и утилизаторами, в том числе направление требований, заявлений, уведомлений и решений, предусмотренных </w:t>
      </w:r>
      <w:hyperlink w:history="0" w:anchor="P68" w:tooltip="12. В случаях, предусмотренных пунктами 4 и 6 статьи 24.2-4 Федерального закона &quot;Об отходах производства и потребления&quot;, в том числе при выявлении нарушения срока уплаты экологического сбора, непредставления расчета суммы экологического сбора или использования недостоверных сведений при расчете и выявления факта невнесения экологического сбора или его внесения не в полном объеме уплаты (в том числе по результатам рассмотрения отчетностей о самостоятельной утилизации) Федеральная служба по надзору в сфере...">
        <w:r>
          <w:rPr>
            <w:sz w:val="24"/>
            <w:color w:val="0000ff"/>
          </w:rPr>
          <w:t xml:space="preserve">пунктами 12</w:t>
        </w:r>
      </w:hyperlink>
      <w:r>
        <w:rPr>
          <w:sz w:val="24"/>
        </w:rPr>
        <w:t xml:space="preserve"> - </w:t>
      </w:r>
      <w:hyperlink w:history="0" w:anchor="P74" w:tooltip="14. В случае выявления факта завышения размера исчисленного и (или)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ее территориальный орган) с заявлением о проведении совместной сверки расчетов суммы экологического сбора по форме согласно приложению N 4.">
        <w:r>
          <w:rPr>
            <w:sz w:val="24"/>
            <w:color w:val="0000ff"/>
          </w:rPr>
          <w:t xml:space="preserve">14</w:t>
        </w:r>
      </w:hyperlink>
      <w:r>
        <w:rPr>
          <w:sz w:val="24"/>
        </w:rPr>
        <w:t xml:space="preserve">, </w:t>
      </w:r>
      <w:hyperlink w:history="0" w:anchor="P79" w:tooltip="16. Зачет суммы излишне уплаченного (взысканного) экологического сбора в счет предстоящих платежей по экологическому сбору осуществляется на основании заявления производителя товаров, импортера товаров о зачете суммы излишне уплаченного (взысканного) экологического сбора по форме согласно приложению N 6 (далее - заявление о зачете) (с приложением документов, указанных в пункте 18 настоящих Правил).">
        <w:r>
          <w:rPr>
            <w:sz w:val="24"/>
            <w:color w:val="0000ff"/>
          </w:rPr>
          <w:t xml:space="preserve">16</w:t>
        </w:r>
      </w:hyperlink>
      <w:r>
        <w:rPr>
          <w:sz w:val="24"/>
        </w:rPr>
        <w:t xml:space="preserve">, </w:t>
      </w:r>
      <w:hyperlink w:history="0" w:anchor="P83" w:tooltip="17. Сумма излишне уплаченного (взысканного) экологического сбора подлежит возврату производителю товаров, импортеру товаров после проведения совместной сверки расчетов суммы экологического сбора в порядке, установленном пунктом 15 настоящих Правил, на основании заявления о возврате суммы излишне уплаченного (взысканного) экологического сбора по форме согласно приложению N 8 (далее - заявление о возврате) (с приложением документов, указанных в пункте 18 настоящих Правил).">
        <w:r>
          <w:rPr>
            <w:sz w:val="24"/>
            <w:color w:val="0000ff"/>
          </w:rPr>
          <w:t xml:space="preserve">17</w:t>
        </w:r>
      </w:hyperlink>
      <w:r>
        <w:rPr>
          <w:sz w:val="24"/>
        </w:rPr>
        <w:t xml:space="preserve"> и </w:t>
      </w:r>
      <w:hyperlink w:history="0" w:anchor="P87" w:tooltip="19. В течение 15 рабочих дней со дня получения заявления о возврате Федеральная служба по надзору в сфере природопользования (ее территориальный орган) принимает и направляет производителю товаров, импортеру товаров одно из следующих решений:">
        <w:r>
          <w:rPr>
            <w:sz w:val="24"/>
            <w:color w:val="0000ff"/>
          </w:rPr>
          <w:t xml:space="preserve">19</w:t>
        </w:r>
      </w:hyperlink>
      <w:r>
        <w:rPr>
          <w:sz w:val="24"/>
        </w:rPr>
        <w:t xml:space="preserve"> настоящих Правил, осуществляется посредством электронного сервиса "личный кабинет" системы учета отходов или в случае отсутствия технической возможности направления документов через систему учета отходов посредством электронного сервиса, представленного на официальном сайте Федеральной службы по надзору в сфере природопользования в сети "Интернет".</w:t>
      </w:r>
    </w:p>
    <w:p>
      <w:pPr>
        <w:pStyle w:val="0"/>
        <w:jc w:val="both"/>
      </w:pPr>
      <w:r>
        <w:rPr>
          <w:sz w:val="24"/>
        </w:rPr>
        <w:t xml:space="preserve">(в ред. </w:t>
      </w:r>
      <w:r>
        <w:rPr>
          <w:sz w:val="24"/>
        </w:rPr>
        <w:t xml:space="preserve">Постановления</w:t>
      </w:r>
      <w:r>
        <w:rPr>
          <w:sz w:val="24"/>
        </w:rPr>
        <w:t xml:space="preserve"> Правительства РФ от 30.12.2025 N 2228)</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взимания</w:t>
      </w:r>
    </w:p>
    <w:p>
      <w:pPr>
        <w:pStyle w:val="0"/>
        <w:jc w:val="right"/>
      </w:pPr>
      <w:r>
        <w:rPr>
          <w:sz w:val="24"/>
        </w:rPr>
        <w:t xml:space="preserve">экологического сбора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25.12.2025 N 2116)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jc w:val="right"/>
      </w:pPr>
      <w:r>
        <w:rPr>
          <w:sz w:val="24"/>
        </w:rPr>
      </w:r>
    </w:p>
    <w:bookmarkStart w:id="113" w:name="P113"/>
    <w:bookmarkEnd w:id="113"/>
    <w:p>
      <w:pPr>
        <w:pStyle w:val="1"/>
        <w:jc w:val="both"/>
      </w:pPr>
      <w:r>
        <w:rPr>
          <w:sz w:val="20"/>
        </w:rPr>
        <w:t xml:space="preserve">                     РАСЧЕТ СУММЫ ЭКОЛОГИЧЕСКОГО СБОРА</w:t>
      </w:r>
    </w:p>
    <w:p>
      <w:pPr>
        <w:pStyle w:val="1"/>
        <w:jc w:val="both"/>
      </w:pPr>
      <w:r>
        <w:rPr>
          <w:sz w:val="20"/>
        </w:rPr>
        <w:t xml:space="preserve">             по товарам, упаковке, произведенным на территории</w:t>
      </w:r>
    </w:p>
    <w:p>
      <w:pPr>
        <w:pStyle w:val="1"/>
        <w:jc w:val="both"/>
      </w:pPr>
      <w:r>
        <w:rPr>
          <w:sz w:val="20"/>
        </w:rPr>
        <w:t xml:space="preserve">         Российской Федерации или ввезенным из государств - членов</w:t>
      </w:r>
    </w:p>
    <w:p>
      <w:pPr>
        <w:pStyle w:val="1"/>
        <w:jc w:val="both"/>
      </w:pPr>
      <w:r>
        <w:rPr>
          <w:sz w:val="20"/>
        </w:rPr>
        <w:t xml:space="preserve">                     Евразийского экономического союза</w:t>
      </w:r>
    </w:p>
    <w:p>
      <w:pPr>
        <w:pStyle w:val="1"/>
        <w:jc w:val="both"/>
      </w:pPr>
      <w:r>
        <w:rPr>
          <w:sz w:val="20"/>
        </w:rPr>
        <w:t xml:space="preserve">                                за ____ год</w:t>
      </w:r>
    </w:p>
    <w:p>
      <w:pPr>
        <w:pStyle w:val="1"/>
        <w:jc w:val="both"/>
      </w:pPr>
      <w:r>
        <w:rPr>
          <w:sz w:val="20"/>
        </w:rPr>
      </w:r>
    </w:p>
    <w:p>
      <w:pPr>
        <w:pStyle w:val="1"/>
        <w:jc w:val="both"/>
      </w:pPr>
      <w:r>
        <w:rPr>
          <w:sz w:val="20"/>
        </w:rPr>
        <w:t xml:space="preserve">                       Раздел I. Общие сведения </w:t>
      </w:r>
      <w:hyperlink w:history="0" w:anchor="P370" w:tooltip="&lt;1&gt;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ставления государственных и муниципальных услуг в электронной форме&quot;.">
        <w:r>
          <w:rPr>
            <w:sz w:val="20"/>
            <w:color w:val="0000ff"/>
          </w:rPr>
          <w:t xml:space="preserve">&lt;1&gt;</w:t>
        </w:r>
      </w:hyperlink>
    </w:p>
    <w:p>
      <w:pPr>
        <w:pStyle w:val="1"/>
        <w:jc w:val="both"/>
      </w:pPr>
      <w:r>
        <w:rPr>
          <w:sz w:val="20"/>
        </w:rPr>
      </w:r>
    </w:p>
    <w:p>
      <w:pPr>
        <w:pStyle w:val="1"/>
        <w:jc w:val="both"/>
      </w:pPr>
      <w:r>
        <w:rPr>
          <w:sz w:val="20"/>
        </w:rPr>
        <w:t xml:space="preserve">Расчет представляется в: __________________________________________________</w:t>
      </w:r>
    </w:p>
    <w:p>
      <w:pPr>
        <w:pStyle w:val="1"/>
        <w:jc w:val="both"/>
      </w:pPr>
      <w:r>
        <w:rPr>
          <w:sz w:val="20"/>
        </w:rPr>
        <w:t xml:space="preserve">                               (Федеральная служба по надзору в сфере</w:t>
      </w:r>
    </w:p>
    <w:p>
      <w:pPr>
        <w:pStyle w:val="1"/>
        <w:jc w:val="both"/>
      </w:pPr>
      <w:r>
        <w:rPr>
          <w:sz w:val="20"/>
        </w:rPr>
        <w:t xml:space="preserve">                                 природопользования или наименование</w:t>
      </w:r>
    </w:p>
    <w:p>
      <w:pPr>
        <w:pStyle w:val="1"/>
        <w:jc w:val="both"/>
      </w:pPr>
      <w:r>
        <w:rPr>
          <w:sz w:val="20"/>
        </w:rPr>
        <w:t xml:space="preserve">                                      территориального органа)</w:t>
      </w:r>
    </w:p>
    <w:p>
      <w:pPr>
        <w:pStyle w:val="1"/>
        <w:jc w:val="both"/>
      </w:pPr>
      <w:r>
        <w:rPr>
          <w:sz w:val="20"/>
        </w:rPr>
        <w:t xml:space="preserve">    1. Информация о _____________________________________ юридическом лице:</w:t>
      </w:r>
    </w:p>
    <w:p>
      <w:pPr>
        <w:pStyle w:val="1"/>
        <w:jc w:val="both"/>
      </w:pPr>
      <w:r>
        <w:rPr>
          <w:sz w:val="20"/>
        </w:rPr>
        <w:t xml:space="preserve">                      (производителе товаров, импортере</w:t>
      </w:r>
    </w:p>
    <w:p>
      <w:pPr>
        <w:pStyle w:val="1"/>
        <w:jc w:val="both"/>
      </w:pPr>
      <w:r>
        <w:rPr>
          <w:sz w:val="20"/>
        </w:rPr>
        <w:t xml:space="preserve">                          товаров - указать нужное)</w:t>
      </w:r>
    </w:p>
    <w:p>
      <w:pPr>
        <w:pStyle w:val="1"/>
        <w:jc w:val="both"/>
      </w:pPr>
      <w:r>
        <w:rPr>
          <w:sz w:val="20"/>
        </w:rPr>
        <w:t xml:space="preserve">организационно-правовая   форма   юридического   лица  и  его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(полное, сокращенное (при наличии), фирменное наименования)</w:t>
      </w:r>
    </w:p>
    <w:p>
      <w:pPr>
        <w:pStyle w:val="1"/>
        <w:jc w:val="both"/>
      </w:pPr>
      <w:r>
        <w:rPr>
          <w:sz w:val="20"/>
        </w:rPr>
        <w:t xml:space="preserve">идентификационный номер налогоплательщика _________________________________</w:t>
      </w:r>
    </w:p>
    <w:p>
      <w:pPr>
        <w:pStyle w:val="1"/>
        <w:jc w:val="both"/>
      </w:pPr>
      <w:r>
        <w:rPr>
          <w:sz w:val="20"/>
        </w:rPr>
        <w:t xml:space="preserve">код причины постановки на учет ____________________________________________</w:t>
      </w:r>
    </w:p>
    <w:p>
      <w:pPr>
        <w:pStyle w:val="1"/>
        <w:jc w:val="both"/>
      </w:pPr>
      <w:r>
        <w:rPr>
          <w:sz w:val="20"/>
        </w:rPr>
        <w:t xml:space="preserve">адрес места нахождения юридического лица __________________________________</w:t>
      </w:r>
    </w:p>
    <w:p>
      <w:pPr>
        <w:pStyle w:val="1"/>
        <w:jc w:val="both"/>
      </w:pPr>
      <w:r>
        <w:rPr>
          <w:sz w:val="20"/>
        </w:rPr>
        <w:t xml:space="preserve">основной государственный регистрационный номер ____________________________</w:t>
      </w:r>
    </w:p>
    <w:p>
      <w:pPr>
        <w:pStyle w:val="1"/>
        <w:jc w:val="both"/>
      </w:pPr>
      <w:r>
        <w:rPr>
          <w:sz w:val="20"/>
        </w:rPr>
        <w:t xml:space="preserve">реквизиты  документа,  подтверждающего  факт  внесения записи о юридическом</w:t>
      </w:r>
    </w:p>
    <w:p>
      <w:pPr>
        <w:pStyle w:val="1"/>
        <w:jc w:val="both"/>
      </w:pPr>
      <w:r>
        <w:rPr>
          <w:sz w:val="20"/>
        </w:rPr>
        <w:t xml:space="preserve">лице     в     единый     государственный     реестр    юридических    лиц,</w:t>
      </w:r>
    </w:p>
    <w:p>
      <w:pPr>
        <w:pStyle w:val="1"/>
        <w:jc w:val="both"/>
      </w:pPr>
      <w:r>
        <w:rPr>
          <w:sz w:val="20"/>
        </w:rPr>
        <w:t xml:space="preserve">___________________________________________________________________________</w:t>
      </w:r>
    </w:p>
    <w:p>
      <w:pPr>
        <w:pStyle w:val="1"/>
        <w:jc w:val="both"/>
      </w:pPr>
      <w:r>
        <w:rPr>
          <w:sz w:val="20"/>
        </w:rPr>
        <w:t xml:space="preserve">    2. Информация о ____________________________________________ физическом</w:t>
      </w:r>
    </w:p>
    <w:p>
      <w:pPr>
        <w:pStyle w:val="1"/>
        <w:jc w:val="both"/>
      </w:pPr>
      <w:r>
        <w:rPr>
          <w:sz w:val="20"/>
        </w:rPr>
        <w:t xml:space="preserve">                     (производителе товаров, импортере товаров</w:t>
      </w:r>
    </w:p>
    <w:p>
      <w:pPr>
        <w:pStyle w:val="1"/>
        <w:jc w:val="both"/>
      </w:pPr>
      <w:r>
        <w:rPr>
          <w:sz w:val="20"/>
        </w:rPr>
        <w:t xml:space="preserve">                                 - указать нужное)</w:t>
      </w:r>
    </w:p>
    <w:p>
      <w:pPr>
        <w:pStyle w:val="1"/>
        <w:jc w:val="both"/>
      </w:pPr>
      <w:r>
        <w:rPr>
          <w:sz w:val="20"/>
        </w:rPr>
        <w:t xml:space="preserve">лице,  зарегистрированном в качестве индивидуального предпринимателя (далее</w:t>
      </w:r>
    </w:p>
    <w:p>
      <w:pPr>
        <w:pStyle w:val="1"/>
        <w:jc w:val="both"/>
      </w:pPr>
      <w:r>
        <w:rPr>
          <w:sz w:val="20"/>
        </w:rPr>
        <w:t xml:space="preserve">- индивидуальный предприниматель):</w:t>
      </w:r>
    </w:p>
    <w:p>
      <w:pPr>
        <w:pStyle w:val="1"/>
        <w:jc w:val="both"/>
      </w:pPr>
      <w:r>
        <w:rPr>
          <w:sz w:val="20"/>
        </w:rPr>
        <w:t xml:space="preserve">фамилия,  имя,  отчество  (при  наличии)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идентификационный номер налогоплательщика _________________________________</w:t>
      </w:r>
    </w:p>
    <w:p>
      <w:pPr>
        <w:pStyle w:val="1"/>
        <w:jc w:val="both"/>
      </w:pPr>
      <w:r>
        <w:rPr>
          <w:sz w:val="20"/>
        </w:rPr>
        <w:t xml:space="preserve">адрес индивидуального предпринимателя _____________________________________</w:t>
      </w:r>
    </w:p>
    <w:p>
      <w:pPr>
        <w:pStyle w:val="1"/>
        <w:jc w:val="both"/>
      </w:pPr>
      <w:r>
        <w:rPr>
          <w:sz w:val="20"/>
        </w:rPr>
        <w:t xml:space="preserve">основной государственный регистрационный номер ____________________________</w:t>
      </w:r>
    </w:p>
    <w:p>
      <w:pPr>
        <w:pStyle w:val="1"/>
        <w:jc w:val="both"/>
      </w:pPr>
      <w:r>
        <w:rPr>
          <w:sz w:val="20"/>
        </w:rPr>
        <w:t xml:space="preserve">реквизиты документа, подтверждающего факт внесения записи об индивидуальном</w:t>
      </w:r>
    </w:p>
    <w:p>
      <w:pPr>
        <w:pStyle w:val="1"/>
        <w:jc w:val="both"/>
      </w:pPr>
      <w:r>
        <w:rPr>
          <w:sz w:val="20"/>
        </w:rPr>
        <w:t xml:space="preserve">предпринимателе    в    единый    государственный   реестр   индивидуальных</w:t>
      </w:r>
    </w:p>
    <w:p>
      <w:pPr>
        <w:pStyle w:val="1"/>
        <w:jc w:val="both"/>
      </w:pPr>
      <w:r>
        <w:rPr>
          <w:sz w:val="20"/>
        </w:rPr>
        <w:t xml:space="preserve">предпринимателей, _________________________________________________________</w:t>
      </w:r>
    </w:p>
    <w:p>
      <w:pPr>
        <w:pStyle w:val="1"/>
        <w:jc w:val="both"/>
      </w:pPr>
      <w:r>
        <w:rPr>
          <w:sz w:val="20"/>
        </w:rPr>
        <w:t xml:space="preserve">    3.   Код   по   Общероссийскому   </w:t>
      </w:r>
      <w:r>
        <w:rPr>
          <w:sz w:val="20"/>
        </w:rPr>
        <w:t xml:space="preserve">классификатору</w:t>
      </w:r>
      <w:r>
        <w:rPr>
          <w:sz w:val="20"/>
        </w:rPr>
        <w:t xml:space="preserve">   видов  экономической</w:t>
      </w:r>
    </w:p>
    <w:p>
      <w:pPr>
        <w:pStyle w:val="1"/>
        <w:jc w:val="both"/>
      </w:pPr>
      <w:r>
        <w:rPr>
          <w:sz w:val="20"/>
        </w:rPr>
        <w:t xml:space="preserve">деятельности ОК 029-2014 (КДЕС Ред. 2) ____________________________________</w:t>
      </w:r>
    </w:p>
    <w:p>
      <w:pPr>
        <w:pStyle w:val="1"/>
        <w:jc w:val="both"/>
      </w:pPr>
      <w:r>
        <w:rPr>
          <w:sz w:val="20"/>
        </w:rPr>
        <w:t xml:space="preserve">    4.      Код      по     Общероссийскому     </w:t>
      </w:r>
      <w:r>
        <w:rPr>
          <w:sz w:val="20"/>
        </w:rPr>
        <w:t xml:space="preserve">классификатору</w:t>
      </w:r>
      <w:r>
        <w:rPr>
          <w:sz w:val="20"/>
        </w:rPr>
        <w:t xml:space="preserve">     объектов</w:t>
      </w:r>
    </w:p>
    <w:p>
      <w:pPr>
        <w:pStyle w:val="1"/>
        <w:jc w:val="both"/>
      </w:pPr>
      <w:r>
        <w:rPr>
          <w:sz w:val="20"/>
        </w:rPr>
        <w:t xml:space="preserve">административно-территориального деления ОК 019-95 ________________________</w:t>
      </w:r>
    </w:p>
    <w:p>
      <w:pPr>
        <w:pStyle w:val="1"/>
        <w:jc w:val="both"/>
      </w:pPr>
      <w:r>
        <w:rPr>
          <w:sz w:val="20"/>
        </w:rPr>
        <w:t xml:space="preserve">    5.  Код  по  Общероссийскому  </w:t>
      </w:r>
      <w:r>
        <w:rPr>
          <w:sz w:val="20"/>
        </w:rPr>
        <w:t xml:space="preserve">классификатору</w:t>
      </w:r>
      <w:r>
        <w:rPr>
          <w:sz w:val="20"/>
        </w:rPr>
        <w:t xml:space="preserve">  территорий  муниципальных</w:t>
      </w:r>
    </w:p>
    <w:p>
      <w:pPr>
        <w:pStyle w:val="1"/>
        <w:jc w:val="both"/>
      </w:pPr>
      <w:r>
        <w:rPr>
          <w:sz w:val="20"/>
        </w:rPr>
        <w:t xml:space="preserve">образований ОК 033-2013 ___________________________________________________</w:t>
      </w:r>
    </w:p>
    <w:p>
      <w:pPr>
        <w:pStyle w:val="1"/>
        <w:jc w:val="both"/>
      </w:pPr>
      <w:r>
        <w:rPr>
          <w:sz w:val="20"/>
        </w:rPr>
        <w:t xml:space="preserve">    6. Контактная информация ______________________________________________</w:t>
      </w:r>
    </w:p>
    <w:p>
      <w:pPr>
        <w:pStyle w:val="1"/>
        <w:jc w:val="both"/>
      </w:pPr>
      <w:r>
        <w:rPr>
          <w:sz w:val="20"/>
        </w:rPr>
        <w:t xml:space="preserve">                               (номера телефонов, адрес электронной почты</w:t>
      </w:r>
    </w:p>
    <w:p>
      <w:pPr>
        <w:pStyle w:val="1"/>
        <w:jc w:val="both"/>
      </w:pPr>
      <w:r>
        <w:rPr>
          <w:sz w:val="20"/>
        </w:rPr>
        <w:t xml:space="preserve">                                (при наличии), должность и фамилия, имя,</w:t>
      </w:r>
    </w:p>
    <w:p>
      <w:pPr>
        <w:pStyle w:val="1"/>
        <w:jc w:val="both"/>
      </w:pPr>
      <w:r>
        <w:rPr>
          <w:sz w:val="20"/>
        </w:rPr>
        <w:t xml:space="preserve">                                      отчество (при наличии) лица,</w:t>
      </w:r>
    </w:p>
    <w:p>
      <w:pPr>
        <w:pStyle w:val="1"/>
        <w:jc w:val="both"/>
      </w:pPr>
      <w:r>
        <w:rPr>
          <w:sz w:val="20"/>
        </w:rPr>
        <w:t xml:space="preserve">                                          заполняющего расчет)</w:t>
      </w:r>
    </w:p>
    <w:p>
      <w:pPr>
        <w:pStyle w:val="1"/>
        <w:jc w:val="both"/>
      </w:pPr>
      <w:r>
        <w:rPr>
          <w:sz w:val="20"/>
        </w:rPr>
      </w:r>
    </w:p>
    <w:p>
      <w:pPr>
        <w:pStyle w:val="1"/>
        <w:jc w:val="both"/>
      </w:pPr>
      <w:r>
        <w:rPr>
          <w:sz w:val="20"/>
        </w:rPr>
        <w:t xml:space="preserve">               Раздел II. Расчет суммы экологического сбора</w:t>
      </w:r>
    </w:p>
    <w:p>
      <w:pPr>
        <w:pStyle w:val="1"/>
        <w:jc w:val="both"/>
      </w:pPr>
      <w:r>
        <w:rPr>
          <w:sz w:val="20"/>
        </w:rPr>
      </w:r>
    </w:p>
    <w:p>
      <w:pPr>
        <w:pStyle w:val="1"/>
        <w:jc w:val="both"/>
      </w:pPr>
      <w:r>
        <w:rPr>
          <w:sz w:val="20"/>
        </w:rPr>
        <w:t xml:space="preserve">         1. Расчет суммы экологического сбора в отношении товаров,</w:t>
      </w:r>
    </w:p>
    <w:p>
      <w:pPr>
        <w:pStyle w:val="1"/>
        <w:jc w:val="both"/>
      </w:pPr>
      <w:r>
        <w:rPr>
          <w:sz w:val="20"/>
        </w:rPr>
        <w:t xml:space="preserve">        упаковки, произведенных на территории Российской Федерации,</w:t>
      </w:r>
    </w:p>
    <w:p>
      <w:pPr>
        <w:pStyle w:val="1"/>
        <w:jc w:val="both"/>
      </w:pPr>
      <w:r>
        <w:rPr>
          <w:sz w:val="20"/>
        </w:rPr>
        <w:t xml:space="preserve">        при производстве которых не использовалось вторичное сырье,</w:t>
      </w:r>
    </w:p>
    <w:p>
      <w:pPr>
        <w:pStyle w:val="1"/>
        <w:jc w:val="both"/>
      </w:pPr>
      <w:r>
        <w:rPr>
          <w:sz w:val="20"/>
        </w:rPr>
        <w:t xml:space="preserve">        произведенное на территории Российской Федерации, товаров,</w:t>
      </w:r>
    </w:p>
    <w:p>
      <w:pPr>
        <w:pStyle w:val="1"/>
        <w:jc w:val="both"/>
      </w:pPr>
      <w:r>
        <w:rPr>
          <w:sz w:val="20"/>
        </w:rPr>
        <w:t xml:space="preserve">          упаковки, ввезенных на территорию Российской Федерации</w:t>
      </w:r>
    </w:p>
    <w:p>
      <w:pPr>
        <w:pStyle w:val="1"/>
        <w:jc w:val="both"/>
      </w:pPr>
      <w:r>
        <w:rPr>
          <w:sz w:val="20"/>
        </w:rPr>
        <w:t xml:space="preserve">                    из государств - членов Евразийского</w:t>
      </w:r>
    </w:p>
    <w:p>
      <w:pPr>
        <w:pStyle w:val="1"/>
        <w:jc w:val="both"/>
      </w:pPr>
      <w:r>
        <w:rPr>
          <w:sz w:val="20"/>
        </w:rPr>
        <w:t xml:space="preserve">                         экономического союза </w:t>
      </w:r>
      <w:hyperlink w:history="0" w:anchor="P371" w:tooltip="&lt;2&gt; При заполнении таблицы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я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ки,...">
        <w:r>
          <w:rPr>
            <w:sz w:val="20"/>
            <w:color w:val="0000ff"/>
          </w:rPr>
          <w:t xml:space="preserve">&lt;2&gt;</w:t>
        </w:r>
      </w:hyperlink>
    </w:p>
    <w:p>
      <w:pPr>
        <w:pStyle w:val="1"/>
        <w:jc w:val="both"/>
      </w:pPr>
      <w:r>
        <w:rPr>
          <w:sz w:val="20"/>
        </w:rPr>
      </w:r>
    </w:p>
    <w:p>
      <w:pPr>
        <w:pStyle w:val="1"/>
        <w:jc w:val="both"/>
      </w:pPr>
      <w:r>
        <w:rPr>
          <w:sz w:val="20"/>
        </w:rPr>
        <w:t xml:space="preserve">                                                                  Таблица 1</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5"/>
        <w:gridCol w:w="915"/>
        <w:gridCol w:w="1845"/>
        <w:gridCol w:w="2040"/>
        <w:gridCol w:w="1704"/>
        <w:gridCol w:w="1326"/>
        <w:gridCol w:w="1114"/>
        <w:gridCol w:w="795"/>
        <w:gridCol w:w="1512"/>
        <w:gridCol w:w="978"/>
        <w:gridCol w:w="816"/>
      </w:tblGrid>
      <w:tr>
        <w:tc>
          <w:tcPr>
            <w:tcW w:w="555" w:type="dxa"/>
          </w:tcPr>
          <w:p>
            <w:pPr>
              <w:pStyle w:val="0"/>
              <w:jc w:val="center"/>
            </w:pPr>
            <w:r>
              <w:rPr>
                <w:sz w:val="24"/>
              </w:rPr>
              <w:t xml:space="preserve">N п/п</w:t>
            </w:r>
          </w:p>
        </w:tc>
        <w:tc>
          <w:tcPr>
            <w:tcW w:w="915" w:type="dxa"/>
          </w:tcPr>
          <w:p>
            <w:pPr>
              <w:pStyle w:val="0"/>
              <w:jc w:val="center"/>
            </w:pPr>
            <w:r>
              <w:rPr>
                <w:sz w:val="24"/>
              </w:rPr>
              <w:t xml:space="preserve">Наименование товара, упаковки </w:t>
            </w:r>
            <w:hyperlink w:history="0" w:anchor="P373" w:tooltip="&lt;3&gt; Наименование и код по каждому товару, упаковке указываются по Общероссийскому классификатору продукции по видам экономической деятельности ОК 034-2014 (КПЕС 2008). Заполняется для товаров, упаковки, произведенных на территории Российской Федерации.">
              <w:r>
                <w:rPr>
                  <w:sz w:val="24"/>
                  <w:color w:val="0000ff"/>
                </w:rPr>
                <w:t xml:space="preserve">&lt;3&gt;</w:t>
              </w:r>
            </w:hyperlink>
          </w:p>
        </w:tc>
        <w:tc>
          <w:tcPr>
            <w:tcW w:w="1845" w:type="dxa"/>
          </w:tcPr>
          <w:p>
            <w:pPr>
              <w:pStyle w:val="0"/>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373" w:tooltip="&lt;3&gt; Наименование и код по каждому товару, упаковке указываются по Общероссийскому классификатору продукции по видам экономической деятельности ОК 034-2014 (КПЕС 2008). Заполняется для товаров, упаковки, произведенных на территории Российской Федерации.">
              <w:r>
                <w:rPr>
                  <w:sz w:val="24"/>
                  <w:color w:val="0000ff"/>
                </w:rPr>
                <w:t xml:space="preserve">&lt;3&gt;</w:t>
              </w:r>
            </w:hyperlink>
          </w:p>
        </w:tc>
        <w:tc>
          <w:tcPr>
            <w:tcW w:w="2040" w:type="dxa"/>
          </w:tcPr>
          <w:p>
            <w:pPr>
              <w:pStyle w:val="0"/>
              <w:jc w:val="center"/>
            </w:pPr>
            <w:r>
              <w:rPr>
                <w:sz w:val="24"/>
              </w:rPr>
              <w:t xml:space="preserve">Наименование позиции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374" w:tooltip="&lt;4&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Заполняется для товаров, упаковки, ввезенных на территорию Российской Федерации. Юридическое лицо или индивидуальный предприниматель, являющиеся одновременно производителем товаров и импортером товаров, заполняют строки граф 2 - 5.">
              <w:r>
                <w:rPr>
                  <w:sz w:val="24"/>
                  <w:color w:val="0000ff"/>
                </w:rPr>
                <w:t xml:space="preserve">&lt;4&gt;</w:t>
              </w:r>
            </w:hyperlink>
          </w:p>
        </w:tc>
        <w:tc>
          <w:tcPr>
            <w:tcW w:w="1704" w:type="dxa"/>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374" w:tooltip="&lt;4&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Заполняется для товаров, упаковки, ввезенных на территорию Российской Федерации. Юридическое лицо или индивидуальный предприниматель, являющиеся одновременно производителем товаров и импортером товаров, заполняют строки граф 2 - 5.">
              <w:r>
                <w:rPr>
                  <w:sz w:val="24"/>
                  <w:color w:val="0000ff"/>
                </w:rPr>
                <w:t xml:space="preserve">&lt;4&gt;</w:t>
              </w:r>
            </w:hyperlink>
          </w:p>
        </w:tc>
        <w:tc>
          <w:tcPr>
            <w:tcW w:w="1326" w:type="dxa"/>
          </w:tcPr>
          <w:p>
            <w:pPr>
              <w:pStyle w:val="0"/>
              <w:jc w:val="center"/>
            </w:pPr>
            <w:r>
              <w:rPr>
                <w:sz w:val="24"/>
              </w:rPr>
              <w:t xml:space="preserve">Масса отходов, за которые необходимо уплатить экологический сбор</w:t>
            </w:r>
          </w:p>
          <w:p>
            <w:pPr>
              <w:pStyle w:val="0"/>
              <w:jc w:val="center"/>
            </w:pPr>
            <w:r>
              <w:rPr>
                <w:sz w:val="24"/>
              </w:rPr>
              <w:t xml:space="preserve">(М</w:t>
            </w:r>
            <w:r>
              <w:rPr>
                <w:sz w:val="24"/>
                <w:vertAlign w:val="subscript"/>
              </w:rPr>
              <w:t xml:space="preserve">эс.т.</w:t>
            </w:r>
            <w:r>
              <w:rPr>
                <w:sz w:val="24"/>
              </w:rPr>
              <w:t xml:space="preserve">), кг </w:t>
            </w:r>
            <w:hyperlink w:history="0" w:anchor="P375" w:tooltip="&lt;5&gt; Масса указывается для каждого наименования товара, упаковки в килограммах, округленных до целого числа по математическим правилам округления. Масса отходов, за которые необходимо уплатить экологический сбор (Мэс.т.), указывается в соответствии с данными строки графы 33 таблицы 1 раздела II приложения N 1 к Правилам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
              <w:r>
                <w:rPr>
                  <w:sz w:val="24"/>
                  <w:color w:val="0000ff"/>
                </w:rPr>
                <w:t xml:space="preserve">&lt;5&gt;</w:t>
              </w:r>
            </w:hyperlink>
          </w:p>
        </w:tc>
        <w:tc>
          <w:tcPr>
            <w:tcW w:w="1114" w:type="dxa"/>
          </w:tcPr>
          <w:p>
            <w:pPr>
              <w:pStyle w:val="0"/>
              <w:jc w:val="center"/>
            </w:pPr>
            <w:r>
              <w:rPr>
                <w:sz w:val="24"/>
              </w:rPr>
              <w:t xml:space="preserve">Базовая ставка экологического сбора</w:t>
            </w:r>
          </w:p>
          <w:p>
            <w:pPr>
              <w:pStyle w:val="0"/>
              <w:jc w:val="center"/>
            </w:pPr>
            <w:r>
              <w:rPr>
                <w:sz w:val="24"/>
              </w:rPr>
              <w:t xml:space="preserve">(БСЭС), рублей </w:t>
            </w:r>
            <w:hyperlink w:history="0" w:anchor="P377" w:tooltip="&lt;6&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&lt;6&gt;</w:t>
              </w:r>
            </w:hyperlink>
          </w:p>
        </w:tc>
        <w:tc>
          <w:tcPr>
            <w:tcW w:w="795" w:type="dxa"/>
          </w:tcPr>
          <w:p>
            <w:pPr>
              <w:pStyle w:val="0"/>
              <w:jc w:val="center"/>
            </w:pPr>
            <w:r>
              <w:rPr>
                <w:sz w:val="24"/>
              </w:rPr>
              <w:t xml:space="preserve">Значение коэффициента</w:t>
            </w:r>
          </w:p>
          <w:p>
            <w:pPr>
              <w:pStyle w:val="0"/>
              <w:jc w:val="center"/>
            </w:pPr>
            <w:r>
              <w:rPr>
                <w:sz w:val="24"/>
              </w:rPr>
              <w:t xml:space="preserve">(КЭ) </w:t>
            </w:r>
            <w:hyperlink w:history="0" w:anchor="P378" w:tooltip="&lt;7&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
              <w:r>
                <w:rPr>
                  <w:sz w:val="24"/>
                  <w:color w:val="0000ff"/>
                </w:rPr>
                <w:t xml:space="preserve">&lt;7&gt;</w:t>
              </w:r>
            </w:hyperlink>
          </w:p>
        </w:tc>
        <w:tc>
          <w:tcPr>
            <w:tcW w:w="1512" w:type="dxa"/>
          </w:tcPr>
          <w:p>
            <w:pPr>
              <w:pStyle w:val="0"/>
              <w:jc w:val="center"/>
            </w:pPr>
            <w:r>
              <w:rPr>
                <w:sz w:val="24"/>
              </w:rPr>
              <w:t xml:space="preserve">Ставка экологического сбора с учетом коэффициента</w:t>
            </w:r>
          </w:p>
          <w:p>
            <w:pPr>
              <w:pStyle w:val="0"/>
              <w:jc w:val="center"/>
            </w:pPr>
            <w:r>
              <w:rPr>
                <w:sz w:val="24"/>
              </w:rPr>
              <w:t xml:space="preserve">(СЭС), рублей </w:t>
            </w:r>
            <w:hyperlink w:history="0" w:anchor="P379" w:tooltip="&lt;8&gt; Указывается значение ставки экологического сбора (СЭС), определяемое как произведение значений БСЭС (графа 7) и КЭ (графа 8). Строка заполняется автоматически при использовании интерактивных форм отчетности электронного сервиса &quot;личный кабинет&quot;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quot;Единый портал государственных и муниципальных услуг (функций)&quot;, или электронного сервиса, представленного ...">
              <w:r>
                <w:rPr>
                  <w:sz w:val="24"/>
                  <w:color w:val="0000ff"/>
                </w:rPr>
                <w:t xml:space="preserve">&lt;8&gt;</w:t>
              </w:r>
            </w:hyperlink>
          </w:p>
        </w:tc>
        <w:tc>
          <w:tcPr>
            <w:tcW w:w="978" w:type="dxa"/>
          </w:tcPr>
          <w:p>
            <w:pPr>
              <w:pStyle w:val="0"/>
              <w:jc w:val="center"/>
            </w:pPr>
            <w:r>
              <w:rPr>
                <w:sz w:val="24"/>
              </w:rPr>
              <w:t xml:space="preserve">Сумма экологического сбора, подлежащая уплате, рублей </w:t>
            </w:r>
            <w:hyperlink w:history="0" w:anchor="P380" w:tooltip="&lt;9&gt; Указывается сумма подлежащего уплате экологического сбора, определяемая как произведение значений СЭС (графа 9) и Мэс.т. (графа 6), деленное на 1000. Строка заполняется автоматически при использовании интерактивных форм отчетности.">
              <w:r>
                <w:rPr>
                  <w:sz w:val="24"/>
                  <w:color w:val="0000ff"/>
                </w:rPr>
                <w:t xml:space="preserve">&lt;9&gt;</w:t>
              </w:r>
            </w:hyperlink>
          </w:p>
        </w:tc>
        <w:tc>
          <w:tcPr>
            <w:tcW w:w="816" w:type="dxa"/>
          </w:tcPr>
          <w:p>
            <w:pPr>
              <w:pStyle w:val="0"/>
              <w:jc w:val="center"/>
            </w:pPr>
            <w:r>
              <w:rPr>
                <w:sz w:val="24"/>
              </w:rPr>
              <w:t xml:space="preserve">Примечание </w:t>
            </w:r>
            <w:hyperlink w:history="0" w:anchor="P381" w:tooltip="&lt;10&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&lt;10&gt;</w:t>
              </w:r>
            </w:hyperlink>
          </w:p>
        </w:tc>
      </w:tr>
      <w:tr>
        <w:tc>
          <w:tcPr>
            <w:tcW w:w="555" w:type="dxa"/>
          </w:tcPr>
          <w:p>
            <w:pPr>
              <w:pStyle w:val="0"/>
              <w:jc w:val="center"/>
            </w:pPr>
            <w:r>
              <w:rPr>
                <w:sz w:val="24"/>
              </w:rPr>
              <w:t xml:space="preserve">1</w:t>
            </w:r>
          </w:p>
        </w:tc>
        <w:tc>
          <w:tcPr>
            <w:tcW w:w="915" w:type="dxa"/>
          </w:tcPr>
          <w:bookmarkStart w:id="194" w:name="P194"/>
          <w:bookmarkEnd w:id="194"/>
          <w:p>
            <w:pPr>
              <w:pStyle w:val="0"/>
              <w:jc w:val="center"/>
            </w:pPr>
            <w:r>
              <w:rPr>
                <w:sz w:val="24"/>
              </w:rPr>
              <w:t xml:space="preserve">2</w:t>
            </w:r>
          </w:p>
        </w:tc>
        <w:tc>
          <w:tcPr>
            <w:tcW w:w="1845" w:type="dxa"/>
          </w:tcPr>
          <w:p>
            <w:pPr>
              <w:pStyle w:val="0"/>
              <w:jc w:val="center"/>
            </w:pPr>
            <w:r>
              <w:rPr>
                <w:sz w:val="24"/>
              </w:rPr>
              <w:t xml:space="preserve">3</w:t>
            </w:r>
          </w:p>
        </w:tc>
        <w:tc>
          <w:tcPr>
            <w:tcW w:w="2040" w:type="dxa"/>
          </w:tcPr>
          <w:p>
            <w:pPr>
              <w:pStyle w:val="0"/>
              <w:jc w:val="center"/>
            </w:pPr>
            <w:r>
              <w:rPr>
                <w:sz w:val="24"/>
              </w:rPr>
              <w:t xml:space="preserve">4</w:t>
            </w:r>
          </w:p>
        </w:tc>
        <w:tc>
          <w:tcPr>
            <w:tcW w:w="1704" w:type="dxa"/>
          </w:tcPr>
          <w:bookmarkStart w:id="197" w:name="P197"/>
          <w:bookmarkEnd w:id="197"/>
          <w:p>
            <w:pPr>
              <w:pStyle w:val="0"/>
              <w:jc w:val="center"/>
            </w:pPr>
            <w:r>
              <w:rPr>
                <w:sz w:val="24"/>
              </w:rPr>
              <w:t xml:space="preserve">5</w:t>
            </w:r>
          </w:p>
        </w:tc>
        <w:tc>
          <w:tcPr>
            <w:tcW w:w="1326" w:type="dxa"/>
          </w:tcPr>
          <w:bookmarkStart w:id="198" w:name="P198"/>
          <w:bookmarkEnd w:id="198"/>
          <w:p>
            <w:pPr>
              <w:pStyle w:val="0"/>
              <w:jc w:val="center"/>
            </w:pPr>
            <w:r>
              <w:rPr>
                <w:sz w:val="24"/>
              </w:rPr>
              <w:t xml:space="preserve">6</w:t>
            </w:r>
          </w:p>
        </w:tc>
        <w:tc>
          <w:tcPr>
            <w:tcW w:w="1114" w:type="dxa"/>
          </w:tcPr>
          <w:bookmarkStart w:id="199" w:name="P199"/>
          <w:bookmarkEnd w:id="199"/>
          <w:p>
            <w:pPr>
              <w:pStyle w:val="0"/>
              <w:jc w:val="center"/>
            </w:pPr>
            <w:r>
              <w:rPr>
                <w:sz w:val="24"/>
              </w:rPr>
              <w:t xml:space="preserve">7</w:t>
            </w:r>
          </w:p>
        </w:tc>
        <w:tc>
          <w:tcPr>
            <w:tcW w:w="795" w:type="dxa"/>
          </w:tcPr>
          <w:bookmarkStart w:id="200" w:name="P200"/>
          <w:bookmarkEnd w:id="200"/>
          <w:p>
            <w:pPr>
              <w:pStyle w:val="0"/>
              <w:jc w:val="center"/>
            </w:pPr>
            <w:r>
              <w:rPr>
                <w:sz w:val="24"/>
              </w:rPr>
              <w:t xml:space="preserve">8</w:t>
            </w:r>
          </w:p>
        </w:tc>
        <w:tc>
          <w:tcPr>
            <w:tcW w:w="1512" w:type="dxa"/>
          </w:tcPr>
          <w:bookmarkStart w:id="201" w:name="P201"/>
          <w:bookmarkEnd w:id="201"/>
          <w:p>
            <w:pPr>
              <w:pStyle w:val="0"/>
              <w:jc w:val="center"/>
            </w:pPr>
            <w:r>
              <w:rPr>
                <w:sz w:val="24"/>
              </w:rPr>
              <w:t xml:space="preserve">9</w:t>
            </w:r>
          </w:p>
        </w:tc>
        <w:tc>
          <w:tcPr>
            <w:tcW w:w="978" w:type="dxa"/>
          </w:tcPr>
          <w:bookmarkStart w:id="202" w:name="P202"/>
          <w:bookmarkEnd w:id="202"/>
          <w:p>
            <w:pPr>
              <w:pStyle w:val="0"/>
              <w:jc w:val="center"/>
            </w:pPr>
            <w:r>
              <w:rPr>
                <w:sz w:val="24"/>
              </w:rPr>
              <w:t xml:space="preserve">10</w:t>
            </w:r>
          </w:p>
        </w:tc>
        <w:tc>
          <w:tcPr>
            <w:tcW w:w="816" w:type="dxa"/>
          </w:tcPr>
          <w:p>
            <w:pPr>
              <w:pStyle w:val="0"/>
              <w:jc w:val="center"/>
            </w:pPr>
            <w:r>
              <w:rPr>
                <w:sz w:val="24"/>
              </w:rPr>
              <w:t xml:space="preserve">11</w:t>
            </w:r>
          </w:p>
        </w:tc>
      </w:tr>
      <w:tr>
        <w:tc>
          <w:tcPr>
            <w:gridSpan w:val="11"/>
            <w:tcW w:w="13600" w:type="dxa"/>
            <w:vAlign w:val="bottom"/>
          </w:tcPr>
          <w:p>
            <w:pPr>
              <w:pStyle w:val="0"/>
              <w:jc w:val="center"/>
            </w:pPr>
            <w:r>
              <w:rPr>
                <w:sz w:val="24"/>
              </w:rPr>
              <w:t xml:space="preserve">группа N</w:t>
            </w:r>
          </w:p>
        </w:tc>
      </w:tr>
      <w:tr>
        <w:tc>
          <w:tcPr>
            <w:tcW w:w="555" w:type="dxa"/>
          </w:tcPr>
          <w:p>
            <w:pPr>
              <w:pStyle w:val="0"/>
              <w:jc w:val="center"/>
            </w:pPr>
            <w:r>
              <w:rPr>
                <w:sz w:val="24"/>
              </w:rPr>
            </w:r>
          </w:p>
        </w:tc>
        <w:tc>
          <w:tcPr>
            <w:tcW w:w="915" w:type="dxa"/>
          </w:tcPr>
          <w:p>
            <w:pPr>
              <w:pStyle w:val="0"/>
              <w:jc w:val="center"/>
            </w:pPr>
            <w:r>
              <w:rPr>
                <w:sz w:val="24"/>
              </w:rPr>
            </w:r>
          </w:p>
        </w:tc>
        <w:tc>
          <w:tcPr>
            <w:tcW w:w="1845" w:type="dxa"/>
          </w:tcPr>
          <w:p>
            <w:pPr>
              <w:pStyle w:val="0"/>
              <w:jc w:val="center"/>
            </w:pPr>
            <w:r>
              <w:rPr>
                <w:sz w:val="24"/>
              </w:rPr>
            </w:r>
          </w:p>
        </w:tc>
        <w:tc>
          <w:tcPr>
            <w:tcW w:w="2040" w:type="dxa"/>
          </w:tcPr>
          <w:p>
            <w:pPr>
              <w:pStyle w:val="0"/>
              <w:jc w:val="center"/>
            </w:pPr>
            <w:r>
              <w:rPr>
                <w:sz w:val="24"/>
              </w:rPr>
            </w:r>
          </w:p>
        </w:tc>
        <w:tc>
          <w:tcPr>
            <w:tcW w:w="1704" w:type="dxa"/>
          </w:tcPr>
          <w:p>
            <w:pPr>
              <w:pStyle w:val="0"/>
              <w:jc w:val="center"/>
            </w:pPr>
            <w:r>
              <w:rPr>
                <w:sz w:val="24"/>
              </w:rPr>
            </w:r>
          </w:p>
        </w:tc>
        <w:tc>
          <w:tcPr>
            <w:tcW w:w="1326" w:type="dxa"/>
          </w:tcPr>
          <w:p>
            <w:pPr>
              <w:pStyle w:val="0"/>
              <w:jc w:val="center"/>
            </w:pPr>
            <w:r>
              <w:rPr>
                <w:sz w:val="24"/>
              </w:rPr>
            </w:r>
          </w:p>
        </w:tc>
        <w:tc>
          <w:tcPr>
            <w:tcW w:w="1114" w:type="dxa"/>
          </w:tcPr>
          <w:p>
            <w:pPr>
              <w:pStyle w:val="0"/>
              <w:jc w:val="center"/>
            </w:pPr>
            <w:r>
              <w:rPr>
                <w:sz w:val="24"/>
              </w:rPr>
            </w:r>
          </w:p>
        </w:tc>
        <w:tc>
          <w:tcPr>
            <w:tcW w:w="795" w:type="dxa"/>
          </w:tcPr>
          <w:p>
            <w:pPr>
              <w:pStyle w:val="0"/>
              <w:jc w:val="center"/>
            </w:pPr>
            <w:r>
              <w:rPr>
                <w:sz w:val="24"/>
              </w:rPr>
            </w:r>
          </w:p>
        </w:tc>
        <w:tc>
          <w:tcPr>
            <w:tcW w:w="1512" w:type="dxa"/>
          </w:tcPr>
          <w:p>
            <w:pPr>
              <w:pStyle w:val="0"/>
              <w:jc w:val="center"/>
            </w:pPr>
            <w:r>
              <w:rPr>
                <w:sz w:val="24"/>
              </w:rPr>
            </w:r>
          </w:p>
        </w:tc>
        <w:tc>
          <w:tcPr>
            <w:tcW w:w="978" w:type="dxa"/>
          </w:tcPr>
          <w:p>
            <w:pPr>
              <w:pStyle w:val="0"/>
              <w:jc w:val="center"/>
            </w:pPr>
            <w:r>
              <w:rPr>
                <w:sz w:val="24"/>
              </w:rPr>
            </w:r>
          </w:p>
        </w:tc>
        <w:tc>
          <w:tcPr>
            <w:tcW w:w="816" w:type="dxa"/>
          </w:tcPr>
          <w:p>
            <w:pPr>
              <w:pStyle w:val="0"/>
              <w:jc w:val="center"/>
            </w:pPr>
            <w:r>
              <w:rPr>
                <w:sz w:val="24"/>
              </w:rPr>
            </w:r>
          </w:p>
        </w:tc>
      </w:tr>
    </w:tbl>
    <w:p>
      <w:pPr>
        <w:pStyle w:val="0"/>
        <w:ind w:firstLine="540"/>
        <w:jc w:val="both"/>
      </w:pPr>
      <w:r>
        <w:rPr>
          <w:sz w:val="24"/>
        </w:rPr>
      </w:r>
    </w:p>
    <w:bookmarkStart w:id="217" w:name="P217"/>
    <w:bookmarkEnd w:id="217"/>
    <w:p>
      <w:pPr>
        <w:pStyle w:val="1"/>
        <w:jc w:val="both"/>
      </w:pPr>
      <w:r>
        <w:rPr>
          <w:sz w:val="20"/>
        </w:rPr>
        <w:t xml:space="preserve">    1.1.  Сумма  излишне  уплаченного (взысканного) экологического сбора, в</w:t>
      </w:r>
    </w:p>
    <w:p>
      <w:pPr>
        <w:pStyle w:val="1"/>
        <w:jc w:val="both"/>
      </w:pPr>
      <w:r>
        <w:rPr>
          <w:sz w:val="20"/>
        </w:rPr>
        <w:t xml:space="preserve">отношении  которой  принято решение о зачете в счет предстоящих платежей по</w:t>
      </w:r>
    </w:p>
    <w:p>
      <w:pPr>
        <w:pStyle w:val="1"/>
        <w:jc w:val="both"/>
      </w:pPr>
      <w:r>
        <w:rPr>
          <w:sz w:val="20"/>
        </w:rPr>
        <w:t xml:space="preserve">экологическому сбору, рублей </w:t>
      </w:r>
      <w:hyperlink w:history="0" w:anchor="P383" w:tooltip="&lt;11&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суммы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
        <w:r>
          <w:rPr>
            <w:sz w:val="20"/>
            <w:color w:val="0000ff"/>
          </w:rPr>
          <w:t xml:space="preserve">&lt;11&gt;</w:t>
        </w:r>
      </w:hyperlink>
      <w:r>
        <w:rPr>
          <w:sz w:val="20"/>
        </w:rPr>
        <w:t xml:space="preserve"> _________________________________________</w:t>
      </w:r>
    </w:p>
    <w:p>
      <w:pPr>
        <w:pStyle w:val="1"/>
        <w:jc w:val="both"/>
      </w:pPr>
      <w:r>
        <w:rPr>
          <w:sz w:val="20"/>
        </w:rPr>
        <w:t xml:space="preserve">    1.2.  Реквизиты  решения  о  зачете  излишне  уплаченного (взысканного)</w:t>
      </w:r>
    </w:p>
    <w:p>
      <w:pPr>
        <w:pStyle w:val="1"/>
        <w:jc w:val="both"/>
      </w:pPr>
      <w:r>
        <w:rPr>
          <w:sz w:val="20"/>
        </w:rPr>
        <w:t xml:space="preserve">экологического сбора </w:t>
      </w:r>
      <w:hyperlink w:history="0" w:anchor="P384" w:tooltip="&lt;12&gt; Указываются реквизиты решения Федеральной службы по надзору в сфере природопользования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2024 г. N 1990 &quot;О порядке взимания экологического сбора&quot;, сумма указывается одно...">
        <w:r>
          <w:rPr>
            <w:sz w:val="20"/>
            <w:color w:val="0000ff"/>
          </w:rPr>
          <w:t xml:space="preserve">&lt;12&gt;</w:t>
        </w:r>
      </w:hyperlink>
      <w:r>
        <w:rPr>
          <w:sz w:val="20"/>
        </w:rPr>
        <w:t xml:space="preserve"> _________________________________________________</w:t>
      </w:r>
    </w:p>
    <w:bookmarkStart w:id="222" w:name="P222"/>
    <w:bookmarkEnd w:id="222"/>
    <w:p>
      <w:pPr>
        <w:pStyle w:val="1"/>
        <w:jc w:val="both"/>
      </w:pPr>
      <w:r>
        <w:rPr>
          <w:sz w:val="20"/>
        </w:rPr>
        <w:t xml:space="preserve">    1.3.  Итоговая  сумма  экологического  сбора, подлежащая уплате, рублей</w:t>
      </w:r>
    </w:p>
    <w:p>
      <w:pPr>
        <w:pStyle w:val="1"/>
        <w:jc w:val="both"/>
      </w:pPr>
      <w:hyperlink w:history="0" w:anchor="P385" w:tooltip="&lt;13&gt; Указывается значение, определяемое как разность всех сумм экологического сбора, подлежащая уплате (строки графы 10),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пункт 1.1). Пункт 1.3 заполняется автоматически при использовании интерактивных форм отчетности.">
        <w:r>
          <w:rPr>
            <w:sz w:val="20"/>
            <w:color w:val="0000ff"/>
          </w:rPr>
          <w:t xml:space="preserve">&lt;13&gt;</w:t>
        </w:r>
      </w:hyperlink>
      <w:r>
        <w:rPr>
          <w:sz w:val="20"/>
        </w:rPr>
        <w:t xml:space="preserve"> ______________________________________________________________________</w:t>
      </w:r>
    </w:p>
    <w:p>
      <w:pPr>
        <w:pStyle w:val="1"/>
        <w:jc w:val="both"/>
      </w:pPr>
      <w:r>
        <w:rPr>
          <w:sz w:val="20"/>
        </w:rPr>
      </w:r>
    </w:p>
    <w:p>
      <w:pPr>
        <w:pStyle w:val="1"/>
        <w:jc w:val="both"/>
      </w:pPr>
      <w:r>
        <w:rPr>
          <w:sz w:val="20"/>
        </w:rPr>
        <w:t xml:space="preserve">         2. Расчет суммы экологического сбора в отношении товаров,</w:t>
      </w:r>
    </w:p>
    <w:p>
      <w:pPr>
        <w:pStyle w:val="1"/>
        <w:jc w:val="both"/>
      </w:pPr>
      <w:r>
        <w:rPr>
          <w:sz w:val="20"/>
        </w:rPr>
        <w:t xml:space="preserve">        упаковки, произведенных на территории Российской Федерации,</w:t>
      </w:r>
    </w:p>
    <w:p>
      <w:pPr>
        <w:pStyle w:val="1"/>
        <w:jc w:val="both"/>
      </w:pPr>
      <w:r>
        <w:rPr>
          <w:sz w:val="20"/>
        </w:rPr>
        <w:t xml:space="preserve">         при производстве которых использовалось вторичное сырье,</w:t>
      </w:r>
    </w:p>
    <w:p>
      <w:pPr>
        <w:pStyle w:val="1"/>
        <w:jc w:val="both"/>
      </w:pPr>
      <w:r>
        <w:rPr>
          <w:sz w:val="20"/>
        </w:rPr>
        <w:t xml:space="preserve">        произведенное на территории Российской Федерации </w:t>
      </w:r>
      <w:hyperlink w:history="0" w:anchor="P371" w:tooltip="&lt;2&gt; При заполнении таблицы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я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ки,...">
        <w:r>
          <w:rPr>
            <w:sz w:val="20"/>
            <w:color w:val="0000ff"/>
          </w:rPr>
          <w:t xml:space="preserve">&lt;2&gt;</w:t>
        </w:r>
      </w:hyperlink>
      <w:r>
        <w:rPr>
          <w:sz w:val="20"/>
        </w:rPr>
        <w:t xml:space="preserve">, </w:t>
      </w:r>
      <w:hyperlink w:history="0" w:anchor="P386" w:tooltip="&lt;14&gt; Заполняется для товаров, упаковки, произведенных на территории Российской Федерации, при производстве которых использовалось вторичное сырье, произведенное на территории Российской Федерации, при наличии подтверждения, полученного в порядке, утверждаемом Правительством Российской Федерации в соответствии с пунктом 15 статьи 24.2-1 Федерального закона &quot;Об отходах производства и потребления&quot;, и в случае заполнения граф 8 - 10 таблицы 1 раздела II приложения N 1 к Правилам представления отчетности о ма...">
        <w:r>
          <w:rPr>
            <w:sz w:val="20"/>
            <w:color w:val="0000ff"/>
          </w:rPr>
          <w:t xml:space="preserve">&lt;14&gt;</w:t>
        </w:r>
      </w:hyperlink>
    </w:p>
    <w:p>
      <w:pPr>
        <w:pStyle w:val="1"/>
        <w:jc w:val="both"/>
      </w:pPr>
      <w:r>
        <w:rPr>
          <w:sz w:val="20"/>
        </w:rPr>
      </w:r>
    </w:p>
    <w:p>
      <w:pPr>
        <w:pStyle w:val="1"/>
        <w:jc w:val="both"/>
      </w:pPr>
      <w:r>
        <w:rPr>
          <w:sz w:val="20"/>
        </w:rPr>
        <w:t xml:space="preserve">                                                                  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
        <w:gridCol w:w="705"/>
        <w:gridCol w:w="1435"/>
        <w:gridCol w:w="1286"/>
        <w:gridCol w:w="789"/>
        <w:gridCol w:w="1004"/>
        <w:gridCol w:w="1248"/>
        <w:gridCol w:w="651"/>
        <w:gridCol w:w="1862"/>
        <w:gridCol w:w="1589"/>
        <w:gridCol w:w="972"/>
        <w:gridCol w:w="789"/>
        <w:gridCol w:w="660"/>
      </w:tblGrid>
      <w:tr>
        <w:tc>
          <w:tcPr>
            <w:tcW w:w="570" w:type="dxa"/>
          </w:tcPr>
          <w:p>
            <w:pPr>
              <w:pStyle w:val="0"/>
              <w:jc w:val="center"/>
            </w:pPr>
            <w:r>
              <w:rPr>
                <w:sz w:val="24"/>
              </w:rPr>
              <w:t xml:space="preserve">N п/п</w:t>
            </w:r>
          </w:p>
        </w:tc>
        <w:tc>
          <w:tcPr>
            <w:tcW w:w="705" w:type="dxa"/>
          </w:tcPr>
          <w:p>
            <w:pPr>
              <w:pStyle w:val="0"/>
              <w:jc w:val="center"/>
            </w:pPr>
            <w:r>
              <w:rPr>
                <w:sz w:val="24"/>
              </w:rPr>
              <w:t xml:space="preserve">Наименование товара, упаковки </w:t>
            </w:r>
            <w:hyperlink w:history="0" w:anchor="P373" w:tooltip="&lt;3&gt; Наименование и код по каждому товару, упаковке указываются по Общероссийскому классификатору продукции по видам экономической деятельности ОК 034-2014 (КПЕС 2008). Заполняется для товаров, упаковки, произведенных на территории Российской Федерации.">
              <w:r>
                <w:rPr>
                  <w:sz w:val="24"/>
                  <w:color w:val="0000ff"/>
                </w:rPr>
                <w:t xml:space="preserve">&lt;3&gt;</w:t>
              </w:r>
            </w:hyperlink>
          </w:p>
        </w:tc>
        <w:tc>
          <w:tcPr>
            <w:tcW w:w="1435" w:type="dxa"/>
          </w:tcPr>
          <w:p>
            <w:pPr>
              <w:pStyle w:val="0"/>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 </w:t>
            </w:r>
            <w:hyperlink w:history="0" w:anchor="P373" w:tooltip="&lt;3&gt; Наименование и код по каждому товару, упаковке указываются по Общероссийскому классификатору продукции по видам экономической деятельности ОК 034-2014 (КПЕС 2008). Заполняется для товаров, упаковки, произведенных на территории Российской Федерации.">
              <w:r>
                <w:rPr>
                  <w:sz w:val="24"/>
                  <w:color w:val="0000ff"/>
                </w:rPr>
                <w:t xml:space="preserve">&lt;3&gt;</w:t>
              </w:r>
            </w:hyperlink>
          </w:p>
        </w:tc>
        <w:tc>
          <w:tcPr>
            <w:tcW w:w="1286" w:type="dxa"/>
          </w:tcPr>
          <w:p>
            <w:pPr>
              <w:pStyle w:val="0"/>
              <w:jc w:val="center"/>
            </w:pPr>
            <w:r>
              <w:rPr>
                <w:sz w:val="24"/>
              </w:rPr>
              <w:t xml:space="preserve">Масса товара, произведенного с использованием вторичного сырья (без учета норматива утилизации)</w:t>
            </w:r>
          </w:p>
          <w:p>
            <w:pPr>
              <w:pStyle w:val="0"/>
              <w:jc w:val="center"/>
            </w:pPr>
            <w:r>
              <w:rPr>
                <w:sz w:val="24"/>
              </w:rPr>
              <w:t xml:space="preserve">(М</w:t>
            </w:r>
            <w:r>
              <w:rPr>
                <w:sz w:val="24"/>
                <w:vertAlign w:val="subscript"/>
              </w:rPr>
              <w:t xml:space="preserve">вс</w:t>
            </w:r>
            <w:r>
              <w:rPr>
                <w:sz w:val="24"/>
              </w:rPr>
              <w:t xml:space="preserve">), кг </w:t>
            </w:r>
            <w:hyperlink w:history="0" w:anchor="P387" w:tooltip="&lt;15&gt; Масса указывается для каждого наименования товара, упаковки в килограммах, округленных до целого числа по математическим правилам округления. Указывается масса товара, произведенного с использованием вторичного сырья (без учета норматива утилизации) (Мвс), в отношении которой подтверждено производство с использованием вторичного сырья в порядке, утверждаемом Правительством Российской Федерации в соответствии с пунктом 15 статьи 24.2-1 Федерального закона &quot;Об отходах производства и потребления&quot;, кото...">
              <w:r>
                <w:rPr>
                  <w:sz w:val="24"/>
                  <w:color w:val="0000ff"/>
                </w:rPr>
                <w:t xml:space="preserve">&lt;15&gt;</w:t>
              </w:r>
            </w:hyperlink>
          </w:p>
        </w:tc>
        <w:tc>
          <w:tcPr>
            <w:tcW w:w="789" w:type="dxa"/>
          </w:tcPr>
          <w:p>
            <w:pPr>
              <w:pStyle w:val="0"/>
              <w:jc w:val="center"/>
            </w:pPr>
            <w:r>
              <w:rPr>
                <w:sz w:val="24"/>
              </w:rPr>
              <w:t xml:space="preserve">Норматив утилизации (N) </w:t>
            </w:r>
            <w:hyperlink w:history="0" w:anchor="P388" w:tooltip="&lt;16&gt; Указывается норматив утилизации отходов от использования товаров, установленный Правительством Российской Федерации в соответствии с пунктом 2 статьи 24.2 Федерального закона &quot;Об отходах производства или потребления&quot;, и (или) процент массы упаковки, отходы от использования которой подлежат утилизации в размере, установленном частью 5 статьи 7 Федерального закона от 4 августа 2023 г. N 451-ФЗ &quot;О внесении изменений в Федеральный закон &quot;Об отходах производства или потребления&quot; и отдельные законодательн...">
              <w:r>
                <w:rPr>
                  <w:sz w:val="24"/>
                  <w:color w:val="0000ff"/>
                </w:rPr>
                <w:t xml:space="preserve">&lt;16&gt;</w:t>
              </w:r>
            </w:hyperlink>
          </w:p>
        </w:tc>
        <w:tc>
          <w:tcPr>
            <w:tcW w:w="1004" w:type="dxa"/>
          </w:tcPr>
          <w:p>
            <w:pPr>
              <w:pStyle w:val="0"/>
              <w:jc w:val="center"/>
            </w:pPr>
            <w:r>
              <w:rPr>
                <w:sz w:val="24"/>
              </w:rPr>
              <w:t xml:space="preserve">Доля вторичного сырья, использованного при производстве товара, упаковки </w:t>
            </w:r>
            <w:hyperlink w:history="0" w:anchor="P389" w:tooltip="&lt;17&gt; Указывается доля вторичного сырья, использованного при производстве товаров, упаковки, соответствующая требованиям, предусмотренным в правилах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 утверждаемых Правительством Российской Федерации в соответствии с пунктом 15 статьи 24.2-1 Федерального закона &quot;Об отходах производства и потребления&quot;, и подтвержденная в поря...">
              <w:r>
                <w:rPr>
                  <w:sz w:val="24"/>
                  <w:color w:val="0000ff"/>
                </w:rPr>
                <w:t xml:space="preserve">&lt;17&gt;</w:t>
              </w:r>
            </w:hyperlink>
          </w:p>
        </w:tc>
        <w:tc>
          <w:tcPr>
            <w:tcW w:w="1248" w:type="dxa"/>
          </w:tcPr>
          <w:p>
            <w:pPr>
              <w:pStyle w:val="0"/>
              <w:jc w:val="center"/>
            </w:pPr>
            <w:r>
              <w:rPr>
                <w:sz w:val="24"/>
              </w:rPr>
              <w:t xml:space="preserve">Реквизиты решения о подтверждении производства продукции с использованием вторичного сырья </w:t>
            </w:r>
            <w:hyperlink w:history="0" w:anchor="P390" w:tooltip="&lt;18&gt; Указываются реквизиты решения о подтверждении производства продукции с использованием вторичного сырья, принятого в порядке, утверждаемом Правительством Российской Федерации в соответствии с пунктом 15 статьи 24.2-1 Федерального закона &quot;Об отходах производства и потребления&quot;.">
              <w:r>
                <w:rPr>
                  <w:sz w:val="24"/>
                  <w:color w:val="0000ff"/>
                </w:rPr>
                <w:t xml:space="preserve">&lt;18&gt;</w:t>
              </w:r>
            </w:hyperlink>
          </w:p>
        </w:tc>
        <w:tc>
          <w:tcPr>
            <w:tcW w:w="651" w:type="dxa"/>
          </w:tcPr>
          <w:p>
            <w:pPr>
              <w:pStyle w:val="0"/>
              <w:jc w:val="center"/>
            </w:pPr>
            <w:r>
              <w:rPr>
                <w:sz w:val="24"/>
              </w:rPr>
              <w:t xml:space="preserve">Понижающий коэффициент </w:t>
            </w:r>
            <w:hyperlink w:history="0" w:anchor="P391" w:tooltip="&lt;19&gt; Указывается размер понижающего коэффициента в относительных единицах, рассчитанного в соответствии с правилами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 утверждаемыми Правительством Российской Федерации в соответствии с пунктом 15 статьи 24.2-1 Федерального закона &quot;Об отходах производства и потребления&quot;.">
              <w:r>
                <w:rPr>
                  <w:sz w:val="24"/>
                  <w:color w:val="0000ff"/>
                </w:rPr>
                <w:t xml:space="preserve">&lt;19&gt;</w:t>
              </w:r>
            </w:hyperlink>
          </w:p>
        </w:tc>
        <w:tc>
          <w:tcPr>
            <w:tcW w:w="1862" w:type="dxa"/>
          </w:tcPr>
          <w:p>
            <w:pPr>
              <w:pStyle w:val="0"/>
              <w:jc w:val="center"/>
            </w:pPr>
            <w:r>
              <w:rPr>
                <w:sz w:val="24"/>
              </w:rPr>
              <w:t xml:space="preserve">Масса отходов от использования товаров, подлежащих утилизации в отчетном периоде (с учетом норматива утилизации и понижающего коэффициента)</w:t>
            </w:r>
          </w:p>
          <w:p>
            <w:pPr>
              <w:pStyle w:val="0"/>
              <w:jc w:val="center"/>
            </w:pPr>
            <w:r>
              <w:rPr>
                <w:sz w:val="24"/>
              </w:rPr>
              <w:t xml:space="preserve">(М</w:t>
            </w:r>
            <w:r>
              <w:rPr>
                <w:sz w:val="24"/>
                <w:vertAlign w:val="subscript"/>
              </w:rPr>
              <w:t xml:space="preserve">подл.ут.</w:t>
            </w:r>
            <w:r>
              <w:rPr>
                <w:sz w:val="24"/>
              </w:rPr>
              <w:t xml:space="preserve">), кг </w:t>
            </w:r>
            <w:hyperlink w:history="0" w:anchor="P392" w:tooltip="&lt;20&gt; Масса отходов от использования товаров, подлежащих утилизации в отчетном периоде (с учетом норматива утилизации и понижающего коэффициента), определяется как произведение массы товара, произведенного с использованием вторичного сырья (без учета норматива утилизации) (Мвс) (строка графы 4), норматива утилизации (N) (строка графы 5) и понижающего коэффициента (строка графы 8). Строка графы заполняется автоматически при использовании интерактивных форм расчета.">
              <w:r>
                <w:rPr>
                  <w:sz w:val="24"/>
                  <w:color w:val="0000ff"/>
                </w:rPr>
                <w:t xml:space="preserve">&lt;20&gt;</w:t>
              </w:r>
            </w:hyperlink>
          </w:p>
        </w:tc>
        <w:tc>
          <w:tcPr>
            <w:tcW w:w="1589" w:type="dxa"/>
          </w:tcPr>
          <w:p>
            <w:pPr>
              <w:pStyle w:val="0"/>
              <w:jc w:val="center"/>
            </w:pPr>
            <w:r>
              <w:rPr>
                <w:sz w:val="24"/>
              </w:rPr>
              <w:t xml:space="preserve">Масса утилизированных отходов, засчитываемая в счет выполнения самостоятельной утилизации в отчетном периоде</w:t>
            </w:r>
          </w:p>
          <w:p>
            <w:pPr>
              <w:pStyle w:val="0"/>
              <w:jc w:val="center"/>
            </w:pPr>
            <w:r>
              <w:rPr>
                <w:sz w:val="24"/>
              </w:rPr>
              <w:t xml:space="preserve">(М</w:t>
            </w:r>
            <w:r>
              <w:rPr>
                <w:sz w:val="24"/>
                <w:vertAlign w:val="subscript"/>
              </w:rPr>
              <w:t xml:space="preserve">засч.уп.</w:t>
            </w:r>
            <w:r>
              <w:rPr>
                <w:sz w:val="24"/>
              </w:rPr>
              <w:t xml:space="preserve">), кг </w:t>
            </w:r>
            <w:hyperlink w:history="0" w:anchor="P393" w:tooltip="&lt;21&gt; Масса утилизированных отходов, засчитываемая в счет выполнения самостоятельной утилизации в отчетном периоде (Мзасч.уп.), указывается в соответствии с данными, представленными производителем товара, упаковки в строке графы 25 таблицы 2 раздела II приложения N 1 к Правилам представления отчетности о выполнении самостоятельной утилизации, в случае выполнения самостоятельной утилизации отходов от использования товаров и представления отчетности о выполнении самостоятельной утилизации. С 1 января 2026 г...">
              <w:r>
                <w:rPr>
                  <w:sz w:val="24"/>
                  <w:color w:val="0000ff"/>
                </w:rPr>
                <w:t xml:space="preserve">&lt;21&gt;</w:t>
              </w:r>
            </w:hyperlink>
          </w:p>
        </w:tc>
        <w:tc>
          <w:tcPr>
            <w:tcW w:w="972" w:type="dxa"/>
          </w:tcPr>
          <w:p>
            <w:pPr>
              <w:pStyle w:val="0"/>
              <w:jc w:val="center"/>
            </w:pPr>
            <w:r>
              <w:rPr>
                <w:sz w:val="24"/>
              </w:rPr>
              <w:t xml:space="preserve">Масса отходов, за которые необходимо уплатить экологический сбор</w:t>
            </w:r>
          </w:p>
          <w:p>
            <w:pPr>
              <w:pStyle w:val="0"/>
              <w:jc w:val="center"/>
            </w:pPr>
            <w:r>
              <w:rPr>
                <w:sz w:val="24"/>
              </w:rPr>
              <w:t xml:space="preserve">(М</w:t>
            </w:r>
            <w:r>
              <w:rPr>
                <w:sz w:val="24"/>
                <w:vertAlign w:val="subscript"/>
              </w:rPr>
              <w:t xml:space="preserve">эс</w:t>
            </w:r>
            <w:r>
              <w:rPr>
                <w:sz w:val="24"/>
              </w:rPr>
              <w:t xml:space="preserve">), кг </w:t>
            </w:r>
            <w:hyperlink w:history="0" w:anchor="P394" w:tooltip="&lt;22&gt; Масса отходов, за которые необходимо уплатить экологический сбор (Мэс), определяется как разница массы отходов от использования товаров, подлежащих утилизации в отчетном периоде (с учетом норматива утилизации и понижающего коэффициента) (графа 9), и массы утилизированных отходов, засчитываемой в счет выполнения самостоятельной утилизации в отчетном периоде (Мзасч.уп.) (графа 10). Строка заполняется автоматически при использовании интерактивных форм расчета.">
              <w:r>
                <w:rPr>
                  <w:sz w:val="24"/>
                  <w:color w:val="0000ff"/>
                </w:rPr>
                <w:t xml:space="preserve">&lt;22&gt;</w:t>
              </w:r>
            </w:hyperlink>
          </w:p>
        </w:tc>
        <w:tc>
          <w:tcPr>
            <w:tcW w:w="789" w:type="dxa"/>
          </w:tcPr>
          <w:p>
            <w:pPr>
              <w:pStyle w:val="0"/>
              <w:jc w:val="center"/>
            </w:pPr>
            <w:r>
              <w:rPr>
                <w:sz w:val="24"/>
              </w:rPr>
              <w:t xml:space="preserve">Базовая ставка экологического сбора (БСЭС), рублей </w:t>
            </w:r>
            <w:hyperlink w:history="0" w:anchor="P377" w:tooltip="&lt;6&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&lt;6&gt;</w:t>
              </w:r>
            </w:hyperlink>
          </w:p>
        </w:tc>
        <w:tc>
          <w:tcPr>
            <w:tcW w:w="660" w:type="dxa"/>
          </w:tcPr>
          <w:p>
            <w:pPr>
              <w:pStyle w:val="0"/>
              <w:jc w:val="center"/>
            </w:pPr>
            <w:r>
              <w:rPr>
                <w:sz w:val="24"/>
              </w:rPr>
              <w:t xml:space="preserve">Значение коэффициента (КЭ) </w:t>
            </w:r>
            <w:hyperlink w:history="0" w:anchor="P378" w:tooltip="&lt;7&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
              <w:r>
                <w:rPr>
                  <w:sz w:val="24"/>
                  <w:color w:val="0000ff"/>
                </w:rPr>
                <w:t xml:space="preserve">&lt;7&gt;</w:t>
              </w:r>
            </w:hyperlink>
          </w:p>
        </w:tc>
      </w:tr>
      <w:tr>
        <w:tc>
          <w:tcPr>
            <w:tcW w:w="570" w:type="dxa"/>
          </w:tcPr>
          <w:p>
            <w:pPr>
              <w:pStyle w:val="0"/>
              <w:jc w:val="center"/>
            </w:pPr>
            <w:r>
              <w:rPr>
                <w:sz w:val="24"/>
              </w:rPr>
              <w:t xml:space="preserve">1</w:t>
            </w:r>
          </w:p>
        </w:tc>
        <w:tc>
          <w:tcPr>
            <w:tcW w:w="705" w:type="dxa"/>
          </w:tcPr>
          <w:p>
            <w:pPr>
              <w:pStyle w:val="0"/>
              <w:jc w:val="center"/>
            </w:pPr>
            <w:r>
              <w:rPr>
                <w:sz w:val="24"/>
              </w:rPr>
              <w:t xml:space="preserve">2</w:t>
            </w:r>
          </w:p>
        </w:tc>
        <w:tc>
          <w:tcPr>
            <w:tcW w:w="1435" w:type="dxa"/>
          </w:tcPr>
          <w:p>
            <w:pPr>
              <w:pStyle w:val="0"/>
              <w:jc w:val="center"/>
            </w:pPr>
            <w:r>
              <w:rPr>
                <w:sz w:val="24"/>
              </w:rPr>
              <w:t xml:space="preserve">3</w:t>
            </w:r>
          </w:p>
        </w:tc>
        <w:tc>
          <w:tcPr>
            <w:tcW w:w="1286" w:type="dxa"/>
          </w:tcPr>
          <w:bookmarkStart w:id="252" w:name="P252"/>
          <w:bookmarkEnd w:id="252"/>
          <w:p>
            <w:pPr>
              <w:pStyle w:val="0"/>
              <w:jc w:val="center"/>
            </w:pPr>
            <w:r>
              <w:rPr>
                <w:sz w:val="24"/>
              </w:rPr>
              <w:t xml:space="preserve">4</w:t>
            </w:r>
          </w:p>
        </w:tc>
        <w:tc>
          <w:tcPr>
            <w:tcW w:w="789" w:type="dxa"/>
          </w:tcPr>
          <w:bookmarkStart w:id="253" w:name="P253"/>
          <w:bookmarkEnd w:id="253"/>
          <w:p>
            <w:pPr>
              <w:pStyle w:val="0"/>
              <w:jc w:val="center"/>
            </w:pPr>
            <w:r>
              <w:rPr>
                <w:sz w:val="24"/>
              </w:rPr>
              <w:t xml:space="preserve">5</w:t>
            </w:r>
          </w:p>
        </w:tc>
        <w:tc>
          <w:tcPr>
            <w:tcW w:w="1004" w:type="dxa"/>
          </w:tcPr>
          <w:p>
            <w:pPr>
              <w:pStyle w:val="0"/>
              <w:jc w:val="center"/>
            </w:pPr>
            <w:r>
              <w:rPr>
                <w:sz w:val="24"/>
              </w:rPr>
              <w:t xml:space="preserve">6</w:t>
            </w:r>
          </w:p>
        </w:tc>
        <w:tc>
          <w:tcPr>
            <w:tcW w:w="1248" w:type="dxa"/>
          </w:tcPr>
          <w:p>
            <w:pPr>
              <w:pStyle w:val="0"/>
              <w:jc w:val="center"/>
            </w:pPr>
            <w:r>
              <w:rPr>
                <w:sz w:val="24"/>
              </w:rPr>
              <w:t xml:space="preserve">7</w:t>
            </w:r>
          </w:p>
        </w:tc>
        <w:tc>
          <w:tcPr>
            <w:tcW w:w="651" w:type="dxa"/>
          </w:tcPr>
          <w:bookmarkStart w:id="256" w:name="P256"/>
          <w:bookmarkEnd w:id="256"/>
          <w:p>
            <w:pPr>
              <w:pStyle w:val="0"/>
              <w:jc w:val="center"/>
            </w:pPr>
            <w:r>
              <w:rPr>
                <w:sz w:val="24"/>
              </w:rPr>
              <w:t xml:space="preserve">8</w:t>
            </w:r>
          </w:p>
        </w:tc>
        <w:tc>
          <w:tcPr>
            <w:tcW w:w="1862" w:type="dxa"/>
          </w:tcPr>
          <w:bookmarkStart w:id="257" w:name="P257"/>
          <w:bookmarkEnd w:id="257"/>
          <w:p>
            <w:pPr>
              <w:pStyle w:val="0"/>
              <w:jc w:val="center"/>
            </w:pPr>
            <w:r>
              <w:rPr>
                <w:sz w:val="24"/>
              </w:rPr>
              <w:t xml:space="preserve">9</w:t>
            </w:r>
          </w:p>
        </w:tc>
        <w:tc>
          <w:tcPr>
            <w:tcW w:w="1589" w:type="dxa"/>
          </w:tcPr>
          <w:bookmarkStart w:id="258" w:name="P258"/>
          <w:bookmarkEnd w:id="258"/>
          <w:p>
            <w:pPr>
              <w:pStyle w:val="0"/>
              <w:jc w:val="center"/>
            </w:pPr>
            <w:r>
              <w:rPr>
                <w:sz w:val="24"/>
              </w:rPr>
              <w:t xml:space="preserve">10</w:t>
            </w:r>
          </w:p>
        </w:tc>
        <w:tc>
          <w:tcPr>
            <w:tcW w:w="972" w:type="dxa"/>
          </w:tcPr>
          <w:bookmarkStart w:id="259" w:name="P259"/>
          <w:bookmarkEnd w:id="259"/>
          <w:p>
            <w:pPr>
              <w:pStyle w:val="0"/>
              <w:jc w:val="center"/>
            </w:pPr>
            <w:r>
              <w:rPr>
                <w:sz w:val="24"/>
              </w:rPr>
              <w:t xml:space="preserve">11</w:t>
            </w:r>
          </w:p>
        </w:tc>
        <w:tc>
          <w:tcPr>
            <w:tcW w:w="789" w:type="dxa"/>
          </w:tcPr>
          <w:bookmarkStart w:id="260" w:name="P260"/>
          <w:bookmarkEnd w:id="260"/>
          <w:p>
            <w:pPr>
              <w:pStyle w:val="0"/>
              <w:jc w:val="center"/>
            </w:pPr>
            <w:r>
              <w:rPr>
                <w:sz w:val="24"/>
              </w:rPr>
              <w:t xml:space="preserve">12</w:t>
            </w:r>
          </w:p>
        </w:tc>
        <w:tc>
          <w:tcPr>
            <w:tcW w:w="660" w:type="dxa"/>
          </w:tcPr>
          <w:bookmarkStart w:id="261" w:name="P261"/>
          <w:bookmarkEnd w:id="261"/>
          <w:p>
            <w:pPr>
              <w:pStyle w:val="0"/>
              <w:jc w:val="center"/>
            </w:pPr>
            <w:r>
              <w:rPr>
                <w:sz w:val="24"/>
              </w:rPr>
              <w:t xml:space="preserve">13</w:t>
            </w:r>
          </w:p>
        </w:tc>
      </w:tr>
      <w:tr>
        <w:tc>
          <w:tcPr>
            <w:gridSpan w:val="13"/>
            <w:tcW w:w="13560" w:type="dxa"/>
            <w:vAlign w:val="bottom"/>
          </w:tcPr>
          <w:p>
            <w:pPr>
              <w:pStyle w:val="0"/>
              <w:jc w:val="center"/>
            </w:pPr>
            <w:r>
              <w:rPr>
                <w:sz w:val="24"/>
              </w:rPr>
              <w:t xml:space="preserve">группа N</w:t>
            </w:r>
          </w:p>
        </w:tc>
      </w:tr>
      <w:tr>
        <w:tc>
          <w:tcPr>
            <w:tcW w:w="570" w:type="dxa"/>
          </w:tcPr>
          <w:p>
            <w:pPr>
              <w:pStyle w:val="0"/>
              <w:jc w:val="center"/>
            </w:pPr>
            <w:r>
              <w:rPr>
                <w:sz w:val="24"/>
              </w:rPr>
            </w:r>
          </w:p>
        </w:tc>
        <w:tc>
          <w:tcPr>
            <w:tcW w:w="705" w:type="dxa"/>
          </w:tcPr>
          <w:p>
            <w:pPr>
              <w:pStyle w:val="0"/>
              <w:jc w:val="center"/>
            </w:pPr>
            <w:r>
              <w:rPr>
                <w:sz w:val="24"/>
              </w:rPr>
            </w:r>
          </w:p>
        </w:tc>
        <w:tc>
          <w:tcPr>
            <w:tcW w:w="1435" w:type="dxa"/>
          </w:tcPr>
          <w:p>
            <w:pPr>
              <w:pStyle w:val="0"/>
              <w:jc w:val="center"/>
            </w:pPr>
            <w:r>
              <w:rPr>
                <w:sz w:val="24"/>
              </w:rPr>
            </w:r>
          </w:p>
        </w:tc>
        <w:tc>
          <w:tcPr>
            <w:tcW w:w="1286" w:type="dxa"/>
          </w:tcPr>
          <w:p>
            <w:pPr>
              <w:pStyle w:val="0"/>
              <w:jc w:val="center"/>
            </w:pPr>
            <w:r>
              <w:rPr>
                <w:sz w:val="24"/>
              </w:rPr>
            </w:r>
          </w:p>
        </w:tc>
        <w:tc>
          <w:tcPr>
            <w:tcW w:w="789" w:type="dxa"/>
          </w:tcPr>
          <w:p>
            <w:pPr>
              <w:pStyle w:val="0"/>
              <w:jc w:val="center"/>
            </w:pPr>
            <w:r>
              <w:rPr>
                <w:sz w:val="24"/>
              </w:rPr>
            </w:r>
          </w:p>
        </w:tc>
        <w:tc>
          <w:tcPr>
            <w:tcW w:w="1004" w:type="dxa"/>
          </w:tcPr>
          <w:p>
            <w:pPr>
              <w:pStyle w:val="0"/>
              <w:jc w:val="center"/>
            </w:pPr>
            <w:r>
              <w:rPr>
                <w:sz w:val="24"/>
              </w:rPr>
            </w:r>
          </w:p>
        </w:tc>
        <w:tc>
          <w:tcPr>
            <w:tcW w:w="1248" w:type="dxa"/>
          </w:tcPr>
          <w:p>
            <w:pPr>
              <w:pStyle w:val="0"/>
              <w:jc w:val="center"/>
            </w:pPr>
            <w:r>
              <w:rPr>
                <w:sz w:val="24"/>
              </w:rPr>
            </w:r>
          </w:p>
        </w:tc>
        <w:tc>
          <w:tcPr>
            <w:tcW w:w="651" w:type="dxa"/>
          </w:tcPr>
          <w:p>
            <w:pPr>
              <w:pStyle w:val="0"/>
              <w:jc w:val="center"/>
            </w:pPr>
            <w:r>
              <w:rPr>
                <w:sz w:val="24"/>
              </w:rPr>
            </w:r>
          </w:p>
        </w:tc>
        <w:tc>
          <w:tcPr>
            <w:tcW w:w="1862" w:type="dxa"/>
          </w:tcPr>
          <w:p>
            <w:pPr>
              <w:pStyle w:val="0"/>
              <w:jc w:val="center"/>
            </w:pPr>
            <w:r>
              <w:rPr>
                <w:sz w:val="24"/>
              </w:rPr>
            </w:r>
          </w:p>
        </w:tc>
        <w:tc>
          <w:tcPr>
            <w:tcW w:w="1589" w:type="dxa"/>
          </w:tcPr>
          <w:p>
            <w:pPr>
              <w:pStyle w:val="0"/>
              <w:jc w:val="center"/>
            </w:pPr>
            <w:r>
              <w:rPr>
                <w:sz w:val="24"/>
              </w:rPr>
            </w:r>
          </w:p>
        </w:tc>
        <w:tc>
          <w:tcPr>
            <w:tcW w:w="972" w:type="dxa"/>
          </w:tcPr>
          <w:p>
            <w:pPr>
              <w:pStyle w:val="0"/>
              <w:jc w:val="center"/>
            </w:pPr>
            <w:r>
              <w:rPr>
                <w:sz w:val="24"/>
              </w:rPr>
            </w:r>
          </w:p>
        </w:tc>
        <w:tc>
          <w:tcPr>
            <w:tcW w:w="789" w:type="dxa"/>
          </w:tcPr>
          <w:p>
            <w:pPr>
              <w:pStyle w:val="0"/>
              <w:jc w:val="center"/>
            </w:pPr>
            <w:r>
              <w:rPr>
                <w:sz w:val="24"/>
              </w:rPr>
            </w:r>
          </w:p>
        </w:tc>
        <w:tc>
          <w:tcPr>
            <w:tcW w:w="660" w:type="dxa"/>
          </w:tcPr>
          <w:p>
            <w:pPr>
              <w:pStyle w:val="0"/>
              <w:jc w:val="center"/>
            </w:pPr>
            <w:r>
              <w:rPr>
                <w:sz w:val="24"/>
              </w:rPr>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                                                      Продолжение таблицы 2</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25"/>
        <w:gridCol w:w="3690"/>
        <w:gridCol w:w="1230"/>
      </w:tblGrid>
      <w:tr>
        <w:tc>
          <w:tcPr>
            <w:tcW w:w="4125" w:type="dxa"/>
          </w:tcPr>
          <w:p>
            <w:pPr>
              <w:pStyle w:val="0"/>
              <w:jc w:val="center"/>
            </w:pPr>
            <w:r>
              <w:rPr>
                <w:sz w:val="24"/>
              </w:rPr>
              <w:t xml:space="preserve">Ставка экологического сбора с учетом коэффициента (СЭС), рублей </w:t>
            </w:r>
            <w:hyperlink w:history="0" w:anchor="P395" w:tooltip="&lt;23&gt; Указывается значение ставки экологического сбора (СЭС), определяемое как произведение значений БСЭС (графа 12) и КЭ (графа 13). Строка заполняется автоматически при использовании интерактивных форм отчетности.">
              <w:r>
                <w:rPr>
                  <w:sz w:val="24"/>
                  <w:color w:val="0000ff"/>
                </w:rPr>
                <w:t xml:space="preserve">&lt;23&gt;</w:t>
              </w:r>
            </w:hyperlink>
          </w:p>
        </w:tc>
        <w:tc>
          <w:tcPr>
            <w:tcW w:w="3690" w:type="dxa"/>
          </w:tcPr>
          <w:p>
            <w:pPr>
              <w:pStyle w:val="0"/>
              <w:jc w:val="center"/>
            </w:pPr>
            <w:r>
              <w:rPr>
                <w:sz w:val="24"/>
              </w:rPr>
              <w:t xml:space="preserve">Сумма экологического сбора, подлежащая уплате, рублей </w:t>
            </w:r>
            <w:hyperlink w:history="0" w:anchor="P396" w:tooltip="&lt;24&gt; Указывается сумма подлежащего уплате экологического сбора, определяемая как произведение значений СЭС (графа 14) и Мэс. (графа 11), деленное на 1000. Строка заполняется автоматически при использовании интерактивных форм отчетности.">
              <w:r>
                <w:rPr>
                  <w:sz w:val="24"/>
                  <w:color w:val="0000ff"/>
                </w:rPr>
                <w:t xml:space="preserve">&lt;24&gt;</w:t>
              </w:r>
            </w:hyperlink>
          </w:p>
        </w:tc>
        <w:tc>
          <w:tcPr>
            <w:tcW w:w="1230" w:type="dxa"/>
          </w:tcPr>
          <w:p>
            <w:pPr>
              <w:pStyle w:val="0"/>
              <w:jc w:val="center"/>
            </w:pPr>
            <w:r>
              <w:rPr>
                <w:sz w:val="24"/>
              </w:rPr>
              <w:t xml:space="preserve">Примечание </w:t>
            </w:r>
            <w:hyperlink w:history="0" w:anchor="P381" w:tooltip="&lt;10&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&lt;10&gt;</w:t>
              </w:r>
            </w:hyperlink>
          </w:p>
        </w:tc>
      </w:tr>
      <w:tr>
        <w:tc>
          <w:tcPr>
            <w:tcW w:w="4125" w:type="dxa"/>
          </w:tcPr>
          <w:bookmarkStart w:id="282" w:name="P282"/>
          <w:bookmarkEnd w:id="282"/>
          <w:p>
            <w:pPr>
              <w:pStyle w:val="0"/>
              <w:jc w:val="center"/>
            </w:pPr>
            <w:r>
              <w:rPr>
                <w:sz w:val="24"/>
              </w:rPr>
              <w:t xml:space="preserve">14</w:t>
            </w:r>
          </w:p>
        </w:tc>
        <w:tc>
          <w:tcPr>
            <w:tcW w:w="3690" w:type="dxa"/>
          </w:tcPr>
          <w:bookmarkStart w:id="283" w:name="P283"/>
          <w:bookmarkEnd w:id="283"/>
          <w:p>
            <w:pPr>
              <w:pStyle w:val="0"/>
              <w:jc w:val="center"/>
            </w:pPr>
            <w:r>
              <w:rPr>
                <w:sz w:val="24"/>
              </w:rPr>
              <w:t xml:space="preserve">15</w:t>
            </w:r>
          </w:p>
        </w:tc>
        <w:tc>
          <w:tcPr>
            <w:tcW w:w="1230" w:type="dxa"/>
          </w:tcPr>
          <w:p>
            <w:pPr>
              <w:pStyle w:val="0"/>
              <w:jc w:val="center"/>
            </w:pPr>
            <w:r>
              <w:rPr>
                <w:sz w:val="24"/>
              </w:rPr>
              <w:t xml:space="preserve">16</w:t>
            </w:r>
          </w:p>
        </w:tc>
      </w:tr>
      <w:tr>
        <w:tc>
          <w:tcPr>
            <w:gridSpan w:val="3"/>
            <w:tcW w:w="9045" w:type="dxa"/>
          </w:tcPr>
          <w:p>
            <w:pPr>
              <w:pStyle w:val="0"/>
            </w:pPr>
            <w:r>
              <w:rPr>
                <w:sz w:val="24"/>
              </w:rPr>
            </w:r>
          </w:p>
        </w:tc>
      </w:tr>
      <w:tr>
        <w:tc>
          <w:tcPr>
            <w:tcW w:w="4125" w:type="dxa"/>
          </w:tcPr>
          <w:p>
            <w:pPr>
              <w:pStyle w:val="0"/>
            </w:pPr>
            <w:r>
              <w:rPr>
                <w:sz w:val="24"/>
              </w:rPr>
            </w:r>
          </w:p>
        </w:tc>
        <w:tc>
          <w:tcPr>
            <w:tcW w:w="3690" w:type="dxa"/>
          </w:tcPr>
          <w:p>
            <w:pPr>
              <w:pStyle w:val="0"/>
              <w:jc w:val="both"/>
            </w:pPr>
            <w:r>
              <w:rPr>
                <w:sz w:val="24"/>
              </w:rPr>
            </w:r>
          </w:p>
        </w:tc>
        <w:tc>
          <w:tcPr>
            <w:tcW w:w="1230" w:type="dxa"/>
          </w:tcPr>
          <w:p>
            <w:pPr>
              <w:pStyle w:val="0"/>
              <w:jc w:val="both"/>
            </w:pPr>
            <w:r>
              <w:rPr>
                <w:sz w:val="24"/>
              </w:rPr>
            </w:r>
          </w:p>
        </w:tc>
      </w:tr>
    </w:tbl>
    <w:p>
      <w:pPr>
        <w:pStyle w:val="0"/>
        <w:ind w:firstLine="540"/>
        <w:jc w:val="both"/>
      </w:pPr>
      <w:r>
        <w:rPr>
          <w:sz w:val="24"/>
        </w:rPr>
      </w:r>
    </w:p>
    <w:bookmarkStart w:id="290" w:name="P290"/>
    <w:bookmarkEnd w:id="290"/>
    <w:p>
      <w:pPr>
        <w:pStyle w:val="1"/>
        <w:jc w:val="both"/>
      </w:pPr>
      <w:r>
        <w:rPr>
          <w:sz w:val="20"/>
        </w:rPr>
        <w:t xml:space="preserve">    2.1.  Сумма  излишне  уплаченного (взысканного) экологического сбора, в</w:t>
      </w:r>
    </w:p>
    <w:p>
      <w:pPr>
        <w:pStyle w:val="1"/>
        <w:jc w:val="both"/>
      </w:pPr>
      <w:r>
        <w:rPr>
          <w:sz w:val="20"/>
        </w:rPr>
        <w:t xml:space="preserve">отношении  которой  принято решение о зачете в счет предстоящих платежей по</w:t>
      </w:r>
    </w:p>
    <w:p>
      <w:pPr>
        <w:pStyle w:val="1"/>
        <w:jc w:val="both"/>
      </w:pPr>
      <w:r>
        <w:rPr>
          <w:sz w:val="20"/>
        </w:rPr>
        <w:t xml:space="preserve">экологическому сбору, рублей </w:t>
      </w:r>
      <w:hyperlink w:history="0" w:anchor="P383" w:tooltip="&lt;11&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суммы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
        <w:r>
          <w:rPr>
            <w:sz w:val="20"/>
            <w:color w:val="0000ff"/>
          </w:rPr>
          <w:t xml:space="preserve">&lt;11&gt;</w:t>
        </w:r>
      </w:hyperlink>
      <w:r>
        <w:rPr>
          <w:sz w:val="20"/>
        </w:rPr>
        <w:t xml:space="preserve"> _________________________________________</w:t>
      </w:r>
    </w:p>
    <w:p>
      <w:pPr>
        <w:pStyle w:val="1"/>
        <w:jc w:val="both"/>
      </w:pPr>
      <w:r>
        <w:rPr>
          <w:sz w:val="20"/>
        </w:rPr>
        <w:t xml:space="preserve">    2.2.  Реквизиты  решения  о  зачете  излишне  уплаченного (взысканного)</w:t>
      </w:r>
    </w:p>
    <w:p>
      <w:pPr>
        <w:pStyle w:val="1"/>
        <w:jc w:val="both"/>
      </w:pPr>
      <w:r>
        <w:rPr>
          <w:sz w:val="20"/>
        </w:rPr>
        <w:t xml:space="preserve">экологического сбора </w:t>
      </w:r>
      <w:hyperlink w:history="0" w:anchor="P384" w:tooltip="&lt;12&gt; Указываются реквизиты решения Федеральной службы по надзору в сфере природопользования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2024 г. N 1990 &quot;О порядке взимания экологического сбора&quot;, сумма указывается одно...">
        <w:r>
          <w:rPr>
            <w:sz w:val="20"/>
            <w:color w:val="0000ff"/>
          </w:rPr>
          <w:t xml:space="preserve">&lt;12&gt;</w:t>
        </w:r>
      </w:hyperlink>
      <w:r>
        <w:rPr>
          <w:sz w:val="20"/>
        </w:rPr>
        <w:t xml:space="preserve"> _________________________________________________</w:t>
      </w:r>
    </w:p>
    <w:bookmarkStart w:id="295" w:name="P295"/>
    <w:bookmarkEnd w:id="295"/>
    <w:p>
      <w:pPr>
        <w:pStyle w:val="1"/>
        <w:jc w:val="both"/>
      </w:pPr>
      <w:r>
        <w:rPr>
          <w:sz w:val="20"/>
        </w:rPr>
        <w:t xml:space="preserve">    2.3.  Итоговая  сумма  экологического  сбора, подлежащая уплате, рублей</w:t>
      </w:r>
    </w:p>
    <w:p>
      <w:pPr>
        <w:pStyle w:val="1"/>
        <w:jc w:val="both"/>
      </w:pPr>
      <w:hyperlink w:history="0" w:anchor="P397" w:tooltip="&lt;25&gt; Указывается значение, определяемое как разность всех сумм экологического сбора, подлежащая уплате (строки графы 15),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пункт 2.1). Пункт 2.3 заполняется автоматически при использовании интерактивных форм отчетности.">
        <w:r>
          <w:rPr>
            <w:sz w:val="20"/>
            <w:color w:val="0000ff"/>
          </w:rPr>
          <w:t xml:space="preserve">&lt;25&gt;</w:t>
        </w:r>
      </w:hyperlink>
      <w:r>
        <w:rPr>
          <w:sz w:val="20"/>
        </w:rPr>
        <w:t xml:space="preserve"> ______________________________________________________________________</w:t>
      </w:r>
    </w:p>
    <w:p>
      <w:pPr>
        <w:pStyle w:val="1"/>
        <w:jc w:val="both"/>
      </w:pPr>
      <w:r>
        <w:rPr>
          <w:sz w:val="20"/>
        </w:rPr>
      </w:r>
    </w:p>
    <w:p>
      <w:pPr>
        <w:pStyle w:val="1"/>
        <w:jc w:val="both"/>
      </w:pPr>
      <w:r>
        <w:rPr>
          <w:sz w:val="20"/>
        </w:rPr>
        <w:t xml:space="preserve">             3. Расчет суммы экологического сбора в отношении</w:t>
      </w:r>
    </w:p>
    <w:p>
      <w:pPr>
        <w:pStyle w:val="1"/>
        <w:jc w:val="both"/>
      </w:pPr>
      <w:r>
        <w:rPr>
          <w:sz w:val="20"/>
        </w:rPr>
        <w:t xml:space="preserve">      упаковки товаров, ввезенных на территорию Российской Федерации</w:t>
      </w:r>
    </w:p>
    <w:p>
      <w:pPr>
        <w:pStyle w:val="1"/>
        <w:jc w:val="both"/>
      </w:pPr>
      <w:r>
        <w:rPr>
          <w:sz w:val="20"/>
        </w:rPr>
        <w:t xml:space="preserve">       из государств - членов Евразийского экономического союза </w:t>
      </w:r>
      <w:hyperlink w:history="0" w:anchor="P398" w:tooltip="&lt;26&gt; При заполнении таблицы 3 в начале указывается номер и наименование группы упаковки товаров в соответствии с разделом III перечней товаров, упаковки, а затем построчно указываются позиции по упаковке товара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
        <w:r>
          <w:rPr>
            <w:sz w:val="20"/>
            <w:color w:val="0000ff"/>
          </w:rPr>
          <w:t xml:space="preserve">&lt;26&gt;</w:t>
        </w:r>
      </w:hyperlink>
    </w:p>
    <w:p>
      <w:pPr>
        <w:pStyle w:val="1"/>
        <w:jc w:val="both"/>
      </w:pPr>
      <w:r>
        <w:rPr>
          <w:sz w:val="20"/>
        </w:rPr>
      </w:r>
    </w:p>
    <w:bookmarkStart w:id="302" w:name="P302"/>
    <w:bookmarkEnd w:id="302"/>
    <w:p>
      <w:pPr>
        <w:pStyle w:val="1"/>
        <w:jc w:val="both"/>
      </w:pPr>
      <w:r>
        <w:rPr>
          <w:sz w:val="20"/>
        </w:rPr>
        <w:t xml:space="preserve">                                                                  Таблица 3</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0"/>
        <w:gridCol w:w="859"/>
        <w:gridCol w:w="1706"/>
        <w:gridCol w:w="1591"/>
        <w:gridCol w:w="1574"/>
        <w:gridCol w:w="1651"/>
        <w:gridCol w:w="1169"/>
        <w:gridCol w:w="930"/>
        <w:gridCol w:w="892"/>
        <w:gridCol w:w="975"/>
        <w:gridCol w:w="994"/>
        <w:gridCol w:w="640"/>
      </w:tblGrid>
      <w:tr>
        <w:tc>
          <w:tcPr>
            <w:tcW w:w="570" w:type="dxa"/>
          </w:tcPr>
          <w:p>
            <w:pPr>
              <w:pStyle w:val="0"/>
              <w:jc w:val="center"/>
            </w:pPr>
            <w:r>
              <w:rPr>
                <w:sz w:val="24"/>
              </w:rPr>
              <w:t xml:space="preserve">N п/п</w:t>
            </w:r>
          </w:p>
        </w:tc>
        <w:tc>
          <w:tcPr>
            <w:tcW w:w="859" w:type="dxa"/>
          </w:tcPr>
          <w:p>
            <w:pPr>
              <w:pStyle w:val="0"/>
              <w:jc w:val="center"/>
            </w:pPr>
            <w:r>
              <w:rPr>
                <w:sz w:val="24"/>
              </w:rPr>
              <w:t xml:space="preserve">Наименование упаковки </w:t>
            </w:r>
            <w:hyperlink w:history="0" w:anchor="P398" w:tooltip="&lt;26&gt; При заполнении таблицы 3 в начале указывается номер и наименование группы упаковки товаров в соответствии с разделом III перечней товаров, упаковки, а затем построчно указываются позиции по упаковке товара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
              <w:r>
                <w:rPr>
                  <w:sz w:val="24"/>
                  <w:color w:val="0000ff"/>
                </w:rPr>
                <w:t xml:space="preserve">&lt;26&gt;</w:t>
              </w:r>
            </w:hyperlink>
          </w:p>
        </w:tc>
        <w:tc>
          <w:tcPr>
            <w:tcW w:w="1706" w:type="dxa"/>
          </w:tcPr>
          <w:p>
            <w:pPr>
              <w:pStyle w:val="0"/>
              <w:jc w:val="center"/>
            </w:pPr>
            <w:r>
              <w:rPr>
                <w:sz w:val="24"/>
              </w:rPr>
              <w:t xml:space="preserve">Буквенное обозначение с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399" w:tooltip="&lt;27&gt; Строки граф 3 - 6 таблицы 3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Общероссийского классификатора продукции по видам экономической деятельности ОК 034-2014 (КПЕС 2008), и (или) по коду единой Товарной номенклатуры внешнеэкономической д...">
              <w:r>
                <w:rPr>
                  <w:sz w:val="24"/>
                  <w:color w:val="0000ff"/>
                </w:rPr>
                <w:t xml:space="preserve">&lt;27&gt;</w:t>
              </w:r>
            </w:hyperlink>
          </w:p>
        </w:tc>
        <w:tc>
          <w:tcPr>
            <w:tcW w:w="1591" w:type="dxa"/>
          </w:tcPr>
          <w:p>
            <w:pPr>
              <w:pStyle w:val="0"/>
              <w:jc w:val="center"/>
            </w:pPr>
            <w:r>
              <w:rPr>
                <w:sz w:val="24"/>
              </w:rPr>
              <w:t xml:space="preserve">Цифровой код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399" w:tooltip="&lt;27&gt; Строки граф 3 - 6 таблицы 3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Общероссийского классификатора продукции по видам экономической деятельности ОК 034-2014 (КПЕС 2008), и (или) по коду единой Товарной номенклатуры внешнеэкономической д...">
              <w:r>
                <w:rPr>
                  <w:sz w:val="24"/>
                  <w:color w:val="0000ff"/>
                </w:rPr>
                <w:t xml:space="preserve">&lt;27&gt;</w:t>
              </w:r>
            </w:hyperlink>
          </w:p>
        </w:tc>
        <w:tc>
          <w:tcPr>
            <w:tcW w:w="1574" w:type="dxa"/>
          </w:tcPr>
          <w:p>
            <w:pPr>
              <w:pStyle w:val="0"/>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399" w:tooltip="&lt;27&gt; Строки граф 3 - 6 таблицы 3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Общероссийского классификатора продукции по видам экономической деятельности ОК 034-2014 (КПЕС 2008), и (или) по коду единой Товарной номенклатуры внешнеэкономической д...">
              <w:r>
                <w:rPr>
                  <w:sz w:val="24"/>
                  <w:color w:val="0000ff"/>
                </w:rPr>
                <w:t xml:space="preserve">&lt;27&gt;</w:t>
              </w:r>
            </w:hyperlink>
          </w:p>
        </w:tc>
        <w:tc>
          <w:tcPr>
            <w:tcW w:w="1651" w:type="dxa"/>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399" w:tooltip="&lt;27&gt; Строки граф 3 - 6 таблицы 3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Общероссийского классификатора продукции по видам экономической деятельности ОК 034-2014 (КПЕС 2008), и (или) по коду единой Товарной номенклатуры внешнеэкономической д...">
              <w:r>
                <w:rPr>
                  <w:sz w:val="24"/>
                  <w:color w:val="0000ff"/>
                </w:rPr>
                <w:t xml:space="preserve">&lt;27&gt;</w:t>
              </w:r>
            </w:hyperlink>
          </w:p>
        </w:tc>
        <w:tc>
          <w:tcPr>
            <w:tcW w:w="1169" w:type="dxa"/>
          </w:tcPr>
          <w:p>
            <w:pPr>
              <w:pStyle w:val="0"/>
              <w:jc w:val="center"/>
            </w:pPr>
            <w:r>
              <w:rPr>
                <w:sz w:val="24"/>
              </w:rPr>
              <w:t xml:space="preserve">Масса отходов, за которые необходимо уплатить экологический сбор</w:t>
            </w:r>
          </w:p>
          <w:p>
            <w:pPr>
              <w:pStyle w:val="0"/>
              <w:jc w:val="center"/>
            </w:pPr>
            <w:r>
              <w:rPr>
                <w:sz w:val="24"/>
              </w:rPr>
              <w:t xml:space="preserve">(М</w:t>
            </w:r>
            <w:r>
              <w:rPr>
                <w:sz w:val="24"/>
                <w:vertAlign w:val="subscript"/>
              </w:rPr>
              <w:t xml:space="preserve">эс.т.</w:t>
            </w:r>
            <w:r>
              <w:rPr>
                <w:sz w:val="24"/>
              </w:rPr>
              <w:t xml:space="preserve">), кг </w:t>
            </w:r>
            <w:hyperlink w:history="0" w:anchor="P400" w:tooltip="&lt;28&gt; Масса указывается для каждого наименования товара, упаковки в килограммах, округленных до целого числа по математическим правилам округления. Масса отходов, за которые необходимо уплатить экологический сбор (Мэс.т.), указывается в соответствии с данными строки графы 14 таблицы 2 раздела II приложения N 1 к Правилам представления отчетности о массе товаров, упаковки в случае отсутствия выполнения самостоятельной утилизации отходов от использования товаров и представленной отчетности о выполнении само...">
              <w:r>
                <w:rPr>
                  <w:sz w:val="24"/>
                  <w:color w:val="0000ff"/>
                </w:rPr>
                <w:t xml:space="preserve">&lt;28&gt;</w:t>
              </w:r>
            </w:hyperlink>
          </w:p>
        </w:tc>
        <w:tc>
          <w:tcPr>
            <w:tcW w:w="930" w:type="dxa"/>
          </w:tcPr>
          <w:p>
            <w:pPr>
              <w:pStyle w:val="0"/>
              <w:jc w:val="center"/>
            </w:pPr>
            <w:r>
              <w:rPr>
                <w:sz w:val="24"/>
              </w:rPr>
              <w:t xml:space="preserve">Базовая ставка экологического сбора (БСЭС), рублей </w:t>
            </w:r>
            <w:hyperlink w:history="0" w:anchor="P377" w:tooltip="&lt;6&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&lt;6&gt;</w:t>
              </w:r>
            </w:hyperlink>
          </w:p>
        </w:tc>
        <w:tc>
          <w:tcPr>
            <w:tcW w:w="892" w:type="dxa"/>
          </w:tcPr>
          <w:p>
            <w:pPr>
              <w:pStyle w:val="0"/>
              <w:jc w:val="center"/>
            </w:pPr>
            <w:r>
              <w:rPr>
                <w:sz w:val="24"/>
              </w:rPr>
              <w:t xml:space="preserve">Значение коэффициента (КЭ) </w:t>
            </w:r>
            <w:hyperlink w:history="0" w:anchor="P378" w:tooltip="&lt;7&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
              <w:r>
                <w:rPr>
                  <w:sz w:val="24"/>
                  <w:color w:val="0000ff"/>
                </w:rPr>
                <w:t xml:space="preserve">&lt;7&gt;</w:t>
              </w:r>
            </w:hyperlink>
          </w:p>
        </w:tc>
        <w:tc>
          <w:tcPr>
            <w:tcW w:w="975" w:type="dxa"/>
          </w:tcPr>
          <w:p>
            <w:pPr>
              <w:pStyle w:val="0"/>
              <w:jc w:val="center"/>
            </w:pPr>
            <w:r>
              <w:rPr>
                <w:sz w:val="24"/>
              </w:rPr>
              <w:t xml:space="preserve">Ставка экологического сбора с учетом коэффициента (СЭС), рублей </w:t>
            </w:r>
            <w:hyperlink w:history="0" w:anchor="P401" w:tooltip="&lt;29&gt; Указывается значение ставки экологического сбора (СЭС), определяемое как произведение значений БСЭС (графа 8) и КЭ (графа 9). Строка заполняется автоматически при использовании интерактивных форм отчетности.">
              <w:r>
                <w:rPr>
                  <w:sz w:val="24"/>
                  <w:color w:val="0000ff"/>
                </w:rPr>
                <w:t xml:space="preserve">&lt;29&gt;</w:t>
              </w:r>
            </w:hyperlink>
          </w:p>
        </w:tc>
        <w:tc>
          <w:tcPr>
            <w:tcW w:w="994" w:type="dxa"/>
          </w:tcPr>
          <w:p>
            <w:pPr>
              <w:pStyle w:val="0"/>
              <w:jc w:val="center"/>
            </w:pPr>
            <w:r>
              <w:rPr>
                <w:sz w:val="24"/>
              </w:rPr>
              <w:t xml:space="preserve">Сумма экологического сбора, подлежащая уплате, рублей </w:t>
            </w:r>
            <w:hyperlink w:history="0" w:anchor="P402" w:tooltip="&lt;30&gt; Указывается сумма подлежащего уплате экологического сбора, определяемая как произведение значений СЭС (графа 10) и Мэс.т. (графа 7), деленное на 1000. Строка заполняется автоматически при использовании интерактивных форм отчетности.">
              <w:r>
                <w:rPr>
                  <w:sz w:val="24"/>
                  <w:color w:val="0000ff"/>
                </w:rPr>
                <w:t xml:space="preserve">&lt;30&gt;</w:t>
              </w:r>
            </w:hyperlink>
          </w:p>
        </w:tc>
        <w:tc>
          <w:tcPr>
            <w:tcW w:w="640" w:type="dxa"/>
          </w:tcPr>
          <w:p>
            <w:pPr>
              <w:pStyle w:val="0"/>
              <w:jc w:val="center"/>
            </w:pPr>
            <w:r>
              <w:rPr>
                <w:sz w:val="24"/>
              </w:rPr>
              <w:t xml:space="preserve">Примечание </w:t>
            </w:r>
            <w:hyperlink w:history="0" w:anchor="P381" w:tooltip="&lt;10&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&lt;10&gt;</w:t>
              </w:r>
            </w:hyperlink>
          </w:p>
        </w:tc>
      </w:tr>
      <w:tr>
        <w:tc>
          <w:tcPr>
            <w:tcW w:w="570" w:type="dxa"/>
          </w:tcPr>
          <w:p>
            <w:pPr>
              <w:pStyle w:val="0"/>
              <w:jc w:val="center"/>
            </w:pPr>
            <w:r>
              <w:rPr>
                <w:sz w:val="24"/>
              </w:rPr>
              <w:t xml:space="preserve">1</w:t>
            </w:r>
          </w:p>
        </w:tc>
        <w:tc>
          <w:tcPr>
            <w:tcW w:w="859" w:type="dxa"/>
          </w:tcPr>
          <w:p>
            <w:pPr>
              <w:pStyle w:val="0"/>
              <w:jc w:val="center"/>
            </w:pPr>
            <w:r>
              <w:rPr>
                <w:sz w:val="24"/>
              </w:rPr>
              <w:t xml:space="preserve">2</w:t>
            </w:r>
          </w:p>
        </w:tc>
        <w:tc>
          <w:tcPr>
            <w:tcW w:w="1706" w:type="dxa"/>
          </w:tcPr>
          <w:bookmarkStart w:id="323" w:name="P323"/>
          <w:bookmarkEnd w:id="323"/>
          <w:p>
            <w:pPr>
              <w:pStyle w:val="0"/>
              <w:jc w:val="center"/>
            </w:pPr>
            <w:r>
              <w:rPr>
                <w:sz w:val="24"/>
              </w:rPr>
              <w:t xml:space="preserve">3</w:t>
            </w:r>
          </w:p>
        </w:tc>
        <w:tc>
          <w:tcPr>
            <w:tcW w:w="1591" w:type="dxa"/>
          </w:tcPr>
          <w:p>
            <w:pPr>
              <w:pStyle w:val="0"/>
              <w:jc w:val="center"/>
            </w:pPr>
            <w:r>
              <w:rPr>
                <w:sz w:val="24"/>
              </w:rPr>
              <w:t xml:space="preserve">4</w:t>
            </w:r>
          </w:p>
        </w:tc>
        <w:tc>
          <w:tcPr>
            <w:tcW w:w="1574" w:type="dxa"/>
          </w:tcPr>
          <w:p>
            <w:pPr>
              <w:pStyle w:val="0"/>
              <w:jc w:val="center"/>
            </w:pPr>
            <w:r>
              <w:rPr>
                <w:sz w:val="24"/>
              </w:rPr>
              <w:t xml:space="preserve">5</w:t>
            </w:r>
          </w:p>
        </w:tc>
        <w:tc>
          <w:tcPr>
            <w:tcW w:w="1651" w:type="dxa"/>
          </w:tcPr>
          <w:bookmarkStart w:id="326" w:name="P326"/>
          <w:bookmarkEnd w:id="326"/>
          <w:p>
            <w:pPr>
              <w:pStyle w:val="0"/>
              <w:jc w:val="center"/>
            </w:pPr>
            <w:r>
              <w:rPr>
                <w:sz w:val="24"/>
              </w:rPr>
              <w:t xml:space="preserve">6</w:t>
            </w:r>
          </w:p>
        </w:tc>
        <w:tc>
          <w:tcPr>
            <w:tcW w:w="1169" w:type="dxa"/>
          </w:tcPr>
          <w:bookmarkStart w:id="327" w:name="P327"/>
          <w:bookmarkEnd w:id="327"/>
          <w:p>
            <w:pPr>
              <w:pStyle w:val="0"/>
              <w:jc w:val="center"/>
            </w:pPr>
            <w:r>
              <w:rPr>
                <w:sz w:val="24"/>
              </w:rPr>
              <w:t xml:space="preserve">7</w:t>
            </w:r>
          </w:p>
        </w:tc>
        <w:tc>
          <w:tcPr>
            <w:tcW w:w="930" w:type="dxa"/>
          </w:tcPr>
          <w:bookmarkStart w:id="328" w:name="P328"/>
          <w:bookmarkEnd w:id="328"/>
          <w:p>
            <w:pPr>
              <w:pStyle w:val="0"/>
              <w:jc w:val="center"/>
            </w:pPr>
            <w:r>
              <w:rPr>
                <w:sz w:val="24"/>
              </w:rPr>
              <w:t xml:space="preserve">8</w:t>
            </w:r>
          </w:p>
        </w:tc>
        <w:tc>
          <w:tcPr>
            <w:tcW w:w="892" w:type="dxa"/>
          </w:tcPr>
          <w:bookmarkStart w:id="329" w:name="P329"/>
          <w:bookmarkEnd w:id="329"/>
          <w:p>
            <w:pPr>
              <w:pStyle w:val="0"/>
              <w:jc w:val="center"/>
            </w:pPr>
            <w:r>
              <w:rPr>
                <w:sz w:val="24"/>
              </w:rPr>
              <w:t xml:space="preserve">9</w:t>
            </w:r>
          </w:p>
        </w:tc>
        <w:tc>
          <w:tcPr>
            <w:tcW w:w="975" w:type="dxa"/>
          </w:tcPr>
          <w:bookmarkStart w:id="330" w:name="P330"/>
          <w:bookmarkEnd w:id="330"/>
          <w:p>
            <w:pPr>
              <w:pStyle w:val="0"/>
              <w:jc w:val="center"/>
            </w:pPr>
            <w:r>
              <w:rPr>
                <w:sz w:val="24"/>
              </w:rPr>
              <w:t xml:space="preserve">10</w:t>
            </w:r>
          </w:p>
        </w:tc>
        <w:tc>
          <w:tcPr>
            <w:tcW w:w="994" w:type="dxa"/>
          </w:tcPr>
          <w:bookmarkStart w:id="331" w:name="P331"/>
          <w:bookmarkEnd w:id="331"/>
          <w:p>
            <w:pPr>
              <w:pStyle w:val="0"/>
              <w:jc w:val="center"/>
            </w:pPr>
            <w:r>
              <w:rPr>
                <w:sz w:val="24"/>
              </w:rPr>
              <w:t xml:space="preserve">11</w:t>
            </w:r>
          </w:p>
        </w:tc>
        <w:tc>
          <w:tcPr>
            <w:tcW w:w="640" w:type="dxa"/>
          </w:tcPr>
          <w:p>
            <w:pPr>
              <w:pStyle w:val="0"/>
              <w:jc w:val="center"/>
            </w:pPr>
            <w:r>
              <w:rPr>
                <w:sz w:val="24"/>
              </w:rPr>
              <w:t xml:space="preserve">12</w:t>
            </w:r>
          </w:p>
        </w:tc>
      </w:tr>
      <w:tr>
        <w:tc>
          <w:tcPr>
            <w:gridSpan w:val="12"/>
            <w:tcW w:w="13551" w:type="dxa"/>
            <w:vAlign w:val="bottom"/>
          </w:tcPr>
          <w:p>
            <w:pPr>
              <w:pStyle w:val="0"/>
              <w:jc w:val="center"/>
            </w:pPr>
            <w:r>
              <w:rPr>
                <w:sz w:val="24"/>
              </w:rPr>
              <w:t xml:space="preserve">группа N</w:t>
            </w:r>
          </w:p>
        </w:tc>
      </w:tr>
      <w:tr>
        <w:tc>
          <w:tcPr>
            <w:tcW w:w="570" w:type="dxa"/>
          </w:tcPr>
          <w:p>
            <w:pPr>
              <w:pStyle w:val="0"/>
              <w:jc w:val="center"/>
            </w:pPr>
            <w:r>
              <w:rPr>
                <w:sz w:val="24"/>
              </w:rPr>
            </w:r>
          </w:p>
        </w:tc>
        <w:tc>
          <w:tcPr>
            <w:tcW w:w="859" w:type="dxa"/>
          </w:tcPr>
          <w:p>
            <w:pPr>
              <w:pStyle w:val="0"/>
              <w:jc w:val="center"/>
            </w:pPr>
            <w:r>
              <w:rPr>
                <w:sz w:val="24"/>
              </w:rPr>
            </w:r>
          </w:p>
        </w:tc>
        <w:tc>
          <w:tcPr>
            <w:tcW w:w="1706" w:type="dxa"/>
          </w:tcPr>
          <w:p>
            <w:pPr>
              <w:pStyle w:val="0"/>
              <w:jc w:val="center"/>
            </w:pPr>
            <w:r>
              <w:rPr>
                <w:sz w:val="24"/>
              </w:rPr>
            </w:r>
          </w:p>
        </w:tc>
        <w:tc>
          <w:tcPr>
            <w:tcW w:w="1591" w:type="dxa"/>
          </w:tcPr>
          <w:p>
            <w:pPr>
              <w:pStyle w:val="0"/>
              <w:jc w:val="center"/>
            </w:pPr>
            <w:r>
              <w:rPr>
                <w:sz w:val="24"/>
              </w:rPr>
            </w:r>
          </w:p>
        </w:tc>
        <w:tc>
          <w:tcPr>
            <w:tcW w:w="1574" w:type="dxa"/>
          </w:tcPr>
          <w:p>
            <w:pPr>
              <w:pStyle w:val="0"/>
              <w:jc w:val="center"/>
            </w:pPr>
            <w:r>
              <w:rPr>
                <w:sz w:val="24"/>
              </w:rPr>
            </w:r>
          </w:p>
        </w:tc>
        <w:tc>
          <w:tcPr>
            <w:tcW w:w="1651" w:type="dxa"/>
          </w:tcPr>
          <w:p>
            <w:pPr>
              <w:pStyle w:val="0"/>
              <w:jc w:val="center"/>
            </w:pPr>
            <w:r>
              <w:rPr>
                <w:sz w:val="24"/>
              </w:rPr>
            </w:r>
          </w:p>
        </w:tc>
        <w:tc>
          <w:tcPr>
            <w:tcW w:w="1169" w:type="dxa"/>
          </w:tcPr>
          <w:p>
            <w:pPr>
              <w:pStyle w:val="0"/>
              <w:jc w:val="center"/>
            </w:pPr>
            <w:r>
              <w:rPr>
                <w:sz w:val="24"/>
              </w:rPr>
            </w:r>
          </w:p>
        </w:tc>
        <w:tc>
          <w:tcPr>
            <w:tcW w:w="930" w:type="dxa"/>
          </w:tcPr>
          <w:p>
            <w:pPr>
              <w:pStyle w:val="0"/>
              <w:jc w:val="center"/>
            </w:pPr>
            <w:r>
              <w:rPr>
                <w:sz w:val="24"/>
              </w:rPr>
            </w:r>
          </w:p>
        </w:tc>
        <w:tc>
          <w:tcPr>
            <w:tcW w:w="892" w:type="dxa"/>
          </w:tcPr>
          <w:p>
            <w:pPr>
              <w:pStyle w:val="0"/>
              <w:jc w:val="center"/>
            </w:pPr>
            <w:r>
              <w:rPr>
                <w:sz w:val="24"/>
              </w:rPr>
            </w:r>
          </w:p>
        </w:tc>
        <w:tc>
          <w:tcPr>
            <w:tcW w:w="975" w:type="dxa"/>
          </w:tcPr>
          <w:p>
            <w:pPr>
              <w:pStyle w:val="0"/>
              <w:jc w:val="center"/>
            </w:pPr>
            <w:r>
              <w:rPr>
                <w:sz w:val="24"/>
              </w:rPr>
            </w:r>
          </w:p>
        </w:tc>
        <w:tc>
          <w:tcPr>
            <w:tcW w:w="994" w:type="dxa"/>
          </w:tcPr>
          <w:p>
            <w:pPr>
              <w:pStyle w:val="0"/>
              <w:jc w:val="center"/>
            </w:pPr>
            <w:r>
              <w:rPr>
                <w:sz w:val="24"/>
              </w:rPr>
            </w:r>
          </w:p>
        </w:tc>
        <w:tc>
          <w:tcPr>
            <w:tcW w:w="640" w:type="dxa"/>
          </w:tcPr>
          <w:p>
            <w:pPr>
              <w:pStyle w:val="0"/>
              <w:jc w:val="center"/>
            </w:pPr>
            <w:r>
              <w:rPr>
                <w:sz w:val="24"/>
              </w:rPr>
            </w:r>
          </w:p>
        </w:tc>
      </w:tr>
    </w:tbl>
    <w:p>
      <w:pPr>
        <w:pStyle w:val="0"/>
        <w:ind w:firstLine="540"/>
        <w:jc w:val="both"/>
      </w:pPr>
      <w:r>
        <w:rPr>
          <w:sz w:val="24"/>
        </w:rPr>
      </w:r>
    </w:p>
    <w:bookmarkStart w:id="347" w:name="P347"/>
    <w:bookmarkEnd w:id="347"/>
    <w:p>
      <w:pPr>
        <w:pStyle w:val="1"/>
        <w:jc w:val="both"/>
      </w:pPr>
      <w:r>
        <w:rPr>
          <w:sz w:val="20"/>
        </w:rPr>
        <w:t xml:space="preserve">    3.1.  Сумма  излишне  уплаченного (взысканного) экологического сбора, в</w:t>
      </w:r>
    </w:p>
    <w:p>
      <w:pPr>
        <w:pStyle w:val="1"/>
        <w:jc w:val="both"/>
      </w:pPr>
      <w:r>
        <w:rPr>
          <w:sz w:val="20"/>
        </w:rPr>
        <w:t xml:space="preserve">отношении  которой  принято решение о зачете в счет предстоящих платежей по</w:t>
      </w:r>
    </w:p>
    <w:p>
      <w:pPr>
        <w:pStyle w:val="1"/>
        <w:jc w:val="both"/>
      </w:pPr>
      <w:r>
        <w:rPr>
          <w:sz w:val="20"/>
        </w:rPr>
        <w:t xml:space="preserve">экологическому сбору, рублей </w:t>
      </w:r>
      <w:hyperlink w:history="0" w:anchor="P383" w:tooltip="&lt;11&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суммы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
        <w:r>
          <w:rPr>
            <w:sz w:val="20"/>
            <w:color w:val="0000ff"/>
          </w:rPr>
          <w:t xml:space="preserve">&lt;11&gt;</w:t>
        </w:r>
      </w:hyperlink>
      <w:r>
        <w:rPr>
          <w:sz w:val="20"/>
        </w:rPr>
        <w:t xml:space="preserve"> _________________________________________</w:t>
      </w:r>
    </w:p>
    <w:p>
      <w:pPr>
        <w:pStyle w:val="1"/>
        <w:jc w:val="both"/>
      </w:pPr>
      <w:r>
        <w:rPr>
          <w:sz w:val="20"/>
        </w:rPr>
        <w:t xml:space="preserve">    3.2.  Реквизиты  решения  о  зачете  излишне  уплаченного (взысканного)</w:t>
      </w:r>
    </w:p>
    <w:p>
      <w:pPr>
        <w:pStyle w:val="1"/>
        <w:jc w:val="both"/>
      </w:pPr>
      <w:r>
        <w:rPr>
          <w:sz w:val="20"/>
        </w:rPr>
        <w:t xml:space="preserve">экологического сбора </w:t>
      </w:r>
      <w:hyperlink w:history="0" w:anchor="P384" w:tooltip="&lt;12&gt; Указываются реквизиты решения Федеральной службы по надзору в сфере природопользования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2024 г. N 1990 &quot;О порядке взимания экологического сбора&quot;, сумма указывается одно...">
        <w:r>
          <w:rPr>
            <w:sz w:val="20"/>
            <w:color w:val="0000ff"/>
          </w:rPr>
          <w:t xml:space="preserve">&lt;12&gt;</w:t>
        </w:r>
      </w:hyperlink>
      <w:r>
        <w:rPr>
          <w:sz w:val="20"/>
        </w:rPr>
        <w:t xml:space="preserve"> _________________________________________________</w:t>
      </w:r>
    </w:p>
    <w:bookmarkStart w:id="352" w:name="P352"/>
    <w:bookmarkEnd w:id="352"/>
    <w:p>
      <w:pPr>
        <w:pStyle w:val="1"/>
        <w:jc w:val="both"/>
      </w:pPr>
      <w:r>
        <w:rPr>
          <w:sz w:val="20"/>
        </w:rPr>
        <w:t xml:space="preserve">    3.3.  Итоговая  сумма  экологического  сбора, подлежащая уплате, рублей</w:t>
      </w:r>
    </w:p>
    <w:p>
      <w:pPr>
        <w:pStyle w:val="1"/>
        <w:jc w:val="both"/>
      </w:pPr>
      <w:hyperlink w:history="0" w:anchor="P403" w:tooltip="&lt;31&gt; Указывается значение, определяемое как разность всех сумм экологического сбора, подлежащего уплате (строки графы 11),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пункт 3.1). Пункт 3.3 заполняется автоматически при использовании интерактивных форм отчетности.">
        <w:r>
          <w:rPr>
            <w:sz w:val="20"/>
            <w:color w:val="0000ff"/>
          </w:rPr>
          <w:t xml:space="preserve">&lt;31&gt;</w:t>
        </w:r>
      </w:hyperlink>
      <w:r>
        <w:rPr>
          <w:sz w:val="20"/>
        </w:rPr>
        <w:t xml:space="preserve"> ______________________________________________________________________</w:t>
      </w:r>
    </w:p>
    <w:p>
      <w:pPr>
        <w:pStyle w:val="1"/>
        <w:jc w:val="both"/>
      </w:pPr>
      <w:r>
        <w:rPr>
          <w:sz w:val="20"/>
        </w:rPr>
      </w:r>
    </w:p>
    <w:p>
      <w:pPr>
        <w:pStyle w:val="1"/>
        <w:jc w:val="both"/>
      </w:pPr>
      <w:r>
        <w:rPr>
          <w:sz w:val="20"/>
        </w:rPr>
        <w:t xml:space="preserve">    Полноту  и достоверность сведений, представленных в настоящем расчете и</w:t>
      </w:r>
    </w:p>
    <w:p>
      <w:pPr>
        <w:pStyle w:val="1"/>
        <w:jc w:val="both"/>
      </w:pPr>
      <w:r>
        <w:rPr>
          <w:sz w:val="20"/>
        </w:rPr>
        <w:t xml:space="preserve">прилагаемых к нему документах, подтверждаю.</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6660"/>
        <w:gridCol w:w="340"/>
        <w:gridCol w:w="4603"/>
        <w:gridCol w:w="389"/>
        <w:gridCol w:w="1608"/>
      </w:tblGrid>
      <w:tr>
        <w:tc>
          <w:tcPr>
            <w:tcW w:w="6660" w:type="dxa"/>
            <w:vAlign w:val="bottom"/>
            <w:tcBorders>
              <w:top w:val="nil"/>
              <w:left w:val="nil"/>
              <w:bottom w:val="nil"/>
              <w:right w:val="nil"/>
            </w:tcBorders>
          </w:tcPr>
          <w:p>
            <w:pPr>
              <w:pStyle w:val="0"/>
            </w:pPr>
            <w:r>
              <w:rPr>
                <w:sz w:val="24"/>
              </w:rPr>
              <w:t xml:space="preserve">Должностное лицо, ответственное за представление расчета (руководитель юридического лица или лицо, уполномоченное на осуществление действий от имени юридического лица, либо индивидуальный предприниматель)</w:t>
            </w:r>
          </w:p>
        </w:tc>
        <w:tc>
          <w:tcPr>
            <w:tcW w:w="340" w:type="dxa"/>
            <w:tcBorders>
              <w:top w:val="nil"/>
              <w:left w:val="nil"/>
              <w:bottom w:val="nil"/>
              <w:right w:val="nil"/>
            </w:tcBorders>
          </w:tcPr>
          <w:p>
            <w:pPr>
              <w:pStyle w:val="0"/>
            </w:pPr>
            <w:r>
              <w:rPr>
                <w:sz w:val="24"/>
              </w:rPr>
            </w:r>
          </w:p>
        </w:tc>
        <w:tc>
          <w:tcPr>
            <w:tcW w:w="4603" w:type="dxa"/>
            <w:tcBorders>
              <w:top w:val="nil"/>
              <w:left w:val="nil"/>
              <w:bottom w:val="single" w:sz="4"/>
              <w:right w:val="nil"/>
            </w:tcBorders>
          </w:tcPr>
          <w:p>
            <w:pPr>
              <w:pStyle w:val="0"/>
            </w:pPr>
            <w:r>
              <w:rPr>
                <w:sz w:val="24"/>
              </w:rPr>
            </w:r>
          </w:p>
        </w:tc>
        <w:tc>
          <w:tcPr>
            <w:tcW w:w="389" w:type="dxa"/>
            <w:tcBorders>
              <w:top w:val="nil"/>
              <w:left w:val="nil"/>
              <w:bottom w:val="nil"/>
              <w:right w:val="nil"/>
            </w:tcBorders>
          </w:tcPr>
          <w:p>
            <w:pPr>
              <w:pStyle w:val="0"/>
            </w:pPr>
            <w:r>
              <w:rPr>
                <w:sz w:val="24"/>
              </w:rPr>
            </w:r>
          </w:p>
        </w:tc>
        <w:tc>
          <w:tcPr>
            <w:tcW w:w="1608" w:type="dxa"/>
            <w:tcBorders>
              <w:top w:val="nil"/>
              <w:left w:val="nil"/>
              <w:bottom w:val="single" w:sz="4"/>
              <w:right w:val="nil"/>
            </w:tcBorders>
          </w:tcPr>
          <w:p>
            <w:pPr>
              <w:pStyle w:val="0"/>
            </w:pPr>
            <w:r>
              <w:rPr>
                <w:sz w:val="24"/>
              </w:rPr>
            </w:r>
          </w:p>
        </w:tc>
      </w:tr>
      <w:tr>
        <w:tc>
          <w:tcPr>
            <w:tcW w:w="66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603" w:type="dxa"/>
            <w:tcBorders>
              <w:top w:val="single" w:sz="4"/>
              <w:left w:val="nil"/>
              <w:bottom w:val="nil"/>
              <w:right w:val="nil"/>
            </w:tcBorders>
          </w:tcPr>
          <w:p>
            <w:pPr>
              <w:pStyle w:val="0"/>
              <w:jc w:val="center"/>
            </w:pPr>
            <w:r>
              <w:rPr>
                <w:sz w:val="24"/>
              </w:rPr>
              <w:t xml:space="preserve">(фамилия, имя, отчество (при наличии)</w:t>
            </w:r>
          </w:p>
        </w:tc>
        <w:tc>
          <w:tcPr>
            <w:tcW w:w="389" w:type="dxa"/>
            <w:tcBorders>
              <w:top w:val="nil"/>
              <w:left w:val="nil"/>
              <w:bottom w:val="nil"/>
              <w:right w:val="nil"/>
            </w:tcBorders>
          </w:tcPr>
          <w:p>
            <w:pPr>
              <w:pStyle w:val="0"/>
              <w:jc w:val="center"/>
            </w:pPr>
            <w:r>
              <w:rPr>
                <w:sz w:val="24"/>
              </w:rPr>
            </w:r>
          </w:p>
        </w:tc>
        <w:tc>
          <w:tcPr>
            <w:tcW w:w="1608" w:type="dxa"/>
            <w:tcBorders>
              <w:top w:val="single" w:sz="4"/>
              <w:left w:val="nil"/>
              <w:bottom w:val="nil"/>
              <w:right w:val="nil"/>
            </w:tcBorders>
          </w:tcPr>
          <w:p>
            <w:pPr>
              <w:pStyle w:val="0"/>
              <w:jc w:val="center"/>
            </w:pPr>
            <w:r>
              <w:rPr>
                <w:sz w:val="24"/>
              </w:rPr>
              <w:t xml:space="preserve">(дата)</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370" w:name="P370"/>
    <w:bookmarkEnd w:id="370"/>
    <w:p>
      <w:pPr>
        <w:pStyle w:val="0"/>
        <w:spacing w:before="240" w:line-rule="auto"/>
        <w:ind w:firstLine="540"/>
        <w:jc w:val="both"/>
      </w:pPr>
      <w:r>
        <w:rPr>
          <w:sz w:val="24"/>
        </w:rPr>
        <w:t xml:space="preserve">&lt;1&gt;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представления государственных и муниципальных услуг в электронной форме".</w:t>
      </w:r>
    </w:p>
    <w:bookmarkStart w:id="371" w:name="P371"/>
    <w:bookmarkEnd w:id="371"/>
    <w:p>
      <w:pPr>
        <w:pStyle w:val="0"/>
        <w:spacing w:before="240" w:line-rule="auto"/>
        <w:ind w:firstLine="540"/>
        <w:jc w:val="both"/>
      </w:pPr>
      <w:r>
        <w:rPr>
          <w:sz w:val="24"/>
        </w:rPr>
        <w:t xml:space="preserve">&lt;2&gt; При заполнении таблицы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отходы от использования которых подлежат утилизации, на 2024 год и </w:t>
      </w:r>
      <w:r>
        <w:rPr>
          <w:sz w:val="24"/>
        </w:rPr>
        <w:t xml:space="preserve">перечня</w:t>
      </w:r>
      <w:r>
        <w:rPr>
          <w:sz w:val="24"/>
        </w:rPr>
        <w:t xml:space="preserve">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 (далее - перечни товаров, упаковки), а затем построчно указываются товарные позиции по товарам, упаковке из перечней товаров, упаковки.</w:t>
      </w:r>
    </w:p>
    <w:p>
      <w:pPr>
        <w:pStyle w:val="0"/>
        <w:spacing w:before="240" w:line-rule="auto"/>
        <w:ind w:firstLine="540"/>
        <w:jc w:val="both"/>
      </w:pPr>
      <w:r>
        <w:rPr>
          <w:sz w:val="24"/>
        </w:rPr>
        <w:t xml:space="preserve">Товарные позиции 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абзаце двадцать седьмом </w:t>
      </w:r>
      <w:r>
        <w:rPr>
          <w:sz w:val="24"/>
        </w:rPr>
        <w:t xml:space="preserve">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построчно по товарам, имеющим выданный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и по товарам, в отношении которых такой сертификат соответствия отсутствует.</w:t>
      </w:r>
    </w:p>
    <w:bookmarkStart w:id="373" w:name="P373"/>
    <w:bookmarkEnd w:id="373"/>
    <w:p>
      <w:pPr>
        <w:pStyle w:val="0"/>
        <w:spacing w:before="240" w:line-rule="auto"/>
        <w:ind w:firstLine="540"/>
        <w:jc w:val="both"/>
      </w:pPr>
      <w:r>
        <w:rPr>
          <w:sz w:val="24"/>
        </w:rPr>
        <w:t xml:space="preserve">&lt;3&gt; Наименование и код по каждому товару, упаковке указываются по Общероссийскому </w:t>
      </w:r>
      <w:r>
        <w:rPr>
          <w:sz w:val="24"/>
        </w:rPr>
        <w:t xml:space="preserve">классификатору</w:t>
      </w:r>
      <w:r>
        <w:rPr>
          <w:sz w:val="24"/>
        </w:rPr>
        <w:t xml:space="preserve"> продукции по видам экономической деятельности ОК 034-2014 (КПЕС 2008). Заполняется для товаров, упаковки, произведенных на территории Российской Федерации.</w:t>
      </w:r>
    </w:p>
    <w:bookmarkStart w:id="374" w:name="P374"/>
    <w:bookmarkEnd w:id="374"/>
    <w:p>
      <w:pPr>
        <w:pStyle w:val="0"/>
        <w:spacing w:before="240" w:line-rule="auto"/>
        <w:ind w:firstLine="540"/>
        <w:jc w:val="both"/>
      </w:pPr>
      <w:r>
        <w:rPr>
          <w:sz w:val="24"/>
        </w:rPr>
        <w:t xml:space="preserve">&lt;4&gt; Наименование и код по каждому товару, упаковке указываются по единой Товарной </w:t>
      </w:r>
      <w:r>
        <w:rPr>
          <w:sz w:val="24"/>
        </w:rPr>
        <w:t xml:space="preserve">номенклатуре</w:t>
      </w:r>
      <w:r>
        <w:rPr>
          <w:sz w:val="24"/>
        </w:rPr>
        <w:t xml:space="preserve"> внешнеэкономической деятельности Евразийского экономического союза (ТН ВЭД ЕАЭС). Заполняется для товаров, упаковки, ввезенных на территорию Российской Федерации. Юридическое лицо или индивидуальный предприниматель, являющиеся одновременно производителем товаров и импортером товаров, заполняют строки </w:t>
      </w:r>
      <w:hyperlink w:history="0" w:anchor="P194" w:tooltip="2">
        <w:r>
          <w:rPr>
            <w:sz w:val="24"/>
            <w:color w:val="0000ff"/>
          </w:rPr>
          <w:t xml:space="preserve">граф 2</w:t>
        </w:r>
      </w:hyperlink>
      <w:r>
        <w:rPr>
          <w:sz w:val="24"/>
        </w:rPr>
        <w:t xml:space="preserve"> - </w:t>
      </w:r>
      <w:hyperlink w:history="0" w:anchor="P197" w:tooltip="5">
        <w:r>
          <w:rPr>
            <w:sz w:val="24"/>
            <w:color w:val="0000ff"/>
          </w:rPr>
          <w:t xml:space="preserve">5</w:t>
        </w:r>
      </w:hyperlink>
      <w:r>
        <w:rPr>
          <w:sz w:val="24"/>
        </w:rPr>
        <w:t xml:space="preserve">.</w:t>
      </w:r>
    </w:p>
    <w:bookmarkStart w:id="375" w:name="P375"/>
    <w:bookmarkEnd w:id="375"/>
    <w:p>
      <w:pPr>
        <w:pStyle w:val="0"/>
        <w:spacing w:before="240" w:line-rule="auto"/>
        <w:ind w:firstLine="540"/>
        <w:jc w:val="both"/>
      </w:pPr>
      <w:r>
        <w:rPr>
          <w:sz w:val="24"/>
        </w:rPr>
        <w:t xml:space="preserve">&lt;5&gt; Масса указывается для каждого наименования товара, упаковки в килограммах, округленных до целого числа по математическим правилам округления. Масса отходов, за которые необходимо уплатить экологический сбор (М</w:t>
      </w:r>
      <w:r>
        <w:rPr>
          <w:sz w:val="24"/>
          <w:vertAlign w:val="subscript"/>
        </w:rPr>
        <w:t xml:space="preserve">эс.т.</w:t>
      </w:r>
      <w:r>
        <w:rPr>
          <w:sz w:val="24"/>
        </w:rPr>
        <w:t xml:space="preserve">), указывается в соответствии с данными строки </w:t>
      </w:r>
      <w:r>
        <w:rPr>
          <w:sz w:val="24"/>
        </w:rPr>
        <w:t xml:space="preserve">графы 33</w:t>
      </w:r>
      <w:r>
        <w:rPr>
          <w:sz w:val="24"/>
        </w:rPr>
        <w:t xml:space="preserve"> таблицы 1 раздела II приложения N 1 к Правилам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утвержденным постановлением Правительства Российской Федерации от 31 мая 2024 г. N 741 "Об утверждении Правил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(далее - Правила представления отчетности о массе товаров, упаковки), в отношении товаров, упаковки, произведенных на территории Российской Федерации, при производстве которых не использовалось вторичное сырье, произведенное на территории Российской Федерации, и (или) ввезенных на территорию Российской Федерации, в случае отсутствия выполнения самостоятельной утилизации отходов от использования товаров и представленной отчетности о выполнении самостоятельной утилизации, а в случае представления производителем товара, импортером товара отчетности о выполнении самостоятельной утилизации - с данными строки </w:t>
      </w:r>
      <w:r>
        <w:rPr>
          <w:sz w:val="24"/>
        </w:rPr>
        <w:t xml:space="preserve">графы 19</w:t>
      </w:r>
      <w:r>
        <w:rPr>
          <w:sz w:val="24"/>
        </w:rPr>
        <w:t xml:space="preserve"> таблицы 1 раздела II приложения N 1 к Правилам представления производителями товаров, импортерами товаров отчетности о выполнении самостоятельной утилизации отходов от использования товаров, утвержденным постановлением Правительства Российской Федерации от 31 мая 2024 г. N 742 "Об утверждении Правил представления производителями товаров, импортерами товаров отчетности о выполнении самостоятельной утилизации отходов от использования товаров" (далее - Правила представления отчетности о выполнении самостоятельной утилизации).</w:t>
      </w:r>
    </w:p>
    <w:p>
      <w:pPr>
        <w:pStyle w:val="0"/>
        <w:spacing w:before="240" w:line-rule="auto"/>
        <w:ind w:firstLine="540"/>
        <w:jc w:val="both"/>
      </w:pPr>
      <w:r>
        <w:rPr>
          <w:sz w:val="24"/>
        </w:rPr>
        <w:t xml:space="preserve">С 1 января 2026 г. строка </w:t>
      </w:r>
      <w:hyperlink w:history="0" w:anchor="P198" w:tooltip="6">
        <w:r>
          <w:rPr>
            <w:sz w:val="24"/>
            <w:color w:val="0000ff"/>
          </w:rPr>
          <w:t xml:space="preserve">графы 6</w:t>
        </w:r>
      </w:hyperlink>
      <w:r>
        <w:rPr>
          <w:sz w:val="24"/>
        </w:rPr>
        <w:t xml:space="preserve"> заполняется автоматически при использовании интерактивных форм расчета суммы экологического сбора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расчета).</w:t>
      </w:r>
    </w:p>
    <w:bookmarkStart w:id="377" w:name="P377"/>
    <w:bookmarkEnd w:id="377"/>
    <w:p>
      <w:pPr>
        <w:pStyle w:val="0"/>
        <w:spacing w:before="240" w:line-rule="auto"/>
        <w:ind w:firstLine="540"/>
        <w:jc w:val="both"/>
      </w:pPr>
      <w:r>
        <w:rPr>
          <w:sz w:val="24"/>
        </w:rPr>
        <w:t xml:space="preserve">&lt;6&gt; Указывается значение базовой ставки экологического сбора (БСЭС), установленной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378" w:name="P378"/>
    <w:bookmarkEnd w:id="378"/>
    <w:p>
      <w:pPr>
        <w:pStyle w:val="0"/>
        <w:spacing w:before="240" w:line-rule="auto"/>
        <w:ind w:firstLine="540"/>
        <w:jc w:val="both"/>
      </w:pPr>
      <w:r>
        <w:rPr>
          <w:sz w:val="24"/>
        </w:rPr>
        <w:t xml:space="preserve">&lt;7&gt;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379" w:name="P379"/>
    <w:bookmarkEnd w:id="379"/>
    <w:p>
      <w:pPr>
        <w:pStyle w:val="0"/>
        <w:spacing w:before="240" w:line-rule="auto"/>
        <w:ind w:firstLine="540"/>
        <w:jc w:val="both"/>
      </w:pPr>
      <w:r>
        <w:rPr>
          <w:sz w:val="24"/>
        </w:rPr>
        <w:t xml:space="preserve">&lt;8&gt; Указывается значение ставки экологического сбора (СЭС), определяемое как произведение значений БСЭС </w:t>
      </w:r>
      <w:hyperlink w:history="0" w:anchor="P199" w:tooltip="7">
        <w:r>
          <w:rPr>
            <w:sz w:val="24"/>
            <w:color w:val="0000ff"/>
          </w:rPr>
          <w:t xml:space="preserve">(графа 7)</w:t>
        </w:r>
      </w:hyperlink>
      <w:r>
        <w:rPr>
          <w:sz w:val="24"/>
        </w:rPr>
        <w:t xml:space="preserve"> и КЭ </w:t>
      </w:r>
      <w:hyperlink w:history="0" w:anchor="P200" w:tooltip="8">
        <w:r>
          <w:rPr>
            <w:sz w:val="24"/>
            <w:color w:val="0000ff"/>
          </w:rPr>
          <w:t xml:space="preserve">(графа 8)</w:t>
        </w:r>
      </w:hyperlink>
      <w:r>
        <w:rPr>
          <w:sz w:val="24"/>
        </w:rPr>
        <w:t xml:space="preserve">. Строка заполняется автоматически при использовании интерактивных форм отчетности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отчетности).</w:t>
      </w:r>
    </w:p>
    <w:bookmarkStart w:id="380" w:name="P380"/>
    <w:bookmarkEnd w:id="380"/>
    <w:p>
      <w:pPr>
        <w:pStyle w:val="0"/>
        <w:spacing w:before="240" w:line-rule="auto"/>
        <w:ind w:firstLine="540"/>
        <w:jc w:val="both"/>
      </w:pPr>
      <w:r>
        <w:rPr>
          <w:sz w:val="24"/>
        </w:rPr>
        <w:t xml:space="preserve">&lt;9&gt; Указывается сумма подлежащего уплате экологического сбора, определяемая как произведение значений СЭС </w:t>
      </w:r>
      <w:hyperlink w:history="0" w:anchor="P201" w:tooltip="9">
        <w:r>
          <w:rPr>
            <w:sz w:val="24"/>
            <w:color w:val="0000ff"/>
          </w:rPr>
          <w:t xml:space="preserve">(графа 9)</w:t>
        </w:r>
      </w:hyperlink>
      <w:r>
        <w:rPr>
          <w:sz w:val="24"/>
        </w:rPr>
        <w:t xml:space="preserve"> и М</w:t>
      </w:r>
      <w:r>
        <w:rPr>
          <w:sz w:val="24"/>
          <w:vertAlign w:val="subscript"/>
        </w:rPr>
        <w:t xml:space="preserve">эс.т.</w:t>
      </w:r>
      <w:r>
        <w:rPr>
          <w:sz w:val="24"/>
        </w:rPr>
        <w:t xml:space="preserve"> </w:t>
      </w:r>
      <w:hyperlink w:history="0" w:anchor="P198" w:tooltip="6">
        <w:r>
          <w:rPr>
            <w:sz w:val="24"/>
            <w:color w:val="0000ff"/>
          </w:rPr>
          <w:t xml:space="preserve">(графа 6)</w:t>
        </w:r>
      </w:hyperlink>
      <w:r>
        <w:rPr>
          <w:sz w:val="24"/>
        </w:rPr>
        <w:t xml:space="preserve">, деленное на 1000. Строка заполняется автоматически при использовании интерактивных форм отчетности.</w:t>
      </w:r>
    </w:p>
    <w:bookmarkStart w:id="381" w:name="P381"/>
    <w:bookmarkEnd w:id="381"/>
    <w:p>
      <w:pPr>
        <w:pStyle w:val="0"/>
        <w:spacing w:before="240" w:line-rule="auto"/>
        <w:ind w:firstLine="540"/>
        <w:jc w:val="both"/>
      </w:pPr>
      <w:r>
        <w:rPr>
          <w:sz w:val="24"/>
        </w:rPr>
        <w:t xml:space="preserve">&lt;10&gt;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w:t>
      </w:r>
    </w:p>
    <w:p>
      <w:pPr>
        <w:pStyle w:val="0"/>
        <w:spacing w:before="240" w:line-rule="auto"/>
        <w:ind w:firstLine="540"/>
        <w:jc w:val="both"/>
      </w:pPr>
      <w:r>
        <w:rPr>
          <w:sz w:val="24"/>
        </w:rPr>
        <w:t xml:space="preserve">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абзаце двадцать седьмом </w:t>
      </w:r>
      <w:r>
        <w:rPr>
          <w:sz w:val="24"/>
        </w:rPr>
        <w:t xml:space="preserve">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номер и дата выданного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сертификата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(при наличии).</w:t>
      </w:r>
    </w:p>
    <w:bookmarkStart w:id="383" w:name="P383"/>
    <w:bookmarkEnd w:id="383"/>
    <w:p>
      <w:pPr>
        <w:pStyle w:val="0"/>
        <w:spacing w:before="240" w:line-rule="auto"/>
        <w:ind w:firstLine="540"/>
        <w:jc w:val="both"/>
      </w:pPr>
      <w:r>
        <w:rPr>
          <w:sz w:val="24"/>
        </w:rPr>
        <w:t xml:space="preserve">&lt;11&gt;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суммы экологического сбора производится по нескольким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 </w:t>
      </w:r>
      <w:hyperlink w:history="0" w:anchor="P609" w:tooltip="РАСЧЕТ СУММЫ ЭКОЛОГИЧЕСКОГО СБОРА">
        <w:r>
          <w:rPr>
            <w:sz w:val="24"/>
            <w:color w:val="0000ff"/>
          </w:rPr>
          <w:t xml:space="preserve">3</w:t>
        </w:r>
      </w:hyperlink>
      <w:r>
        <w:rPr>
          <w:sz w:val="24"/>
        </w:rPr>
        <w:t xml:space="preserve"> к Правилам взимания экологического сбора, утвержденным постановлением Правительства Российской Федерации от 30 декабря 2024 г. N 1990 "О порядке взимания экологического сбора", сумма указывается однократно в любой из таких форм. В случае отсутствия такого решения или указания данной суммы в иной форме в </w:t>
      </w:r>
      <w:hyperlink w:history="0" w:anchor="P217" w:tooltip="    1.1.  Сумма  излишне  уплаченного (взысканного) экологического сбора, в">
        <w:r>
          <w:rPr>
            <w:sz w:val="24"/>
            <w:color w:val="0000ff"/>
          </w:rPr>
          <w:t xml:space="preserve">пунктах 1.1</w:t>
        </w:r>
      </w:hyperlink>
      <w:r>
        <w:rPr>
          <w:sz w:val="24"/>
        </w:rPr>
        <w:t xml:space="preserve">, </w:t>
      </w:r>
      <w:hyperlink w:history="0" w:anchor="P290" w:tooltip="    2.1.  Сумма  излишне  уплаченного (взысканного) экологического сбора, в">
        <w:r>
          <w:rPr>
            <w:sz w:val="24"/>
            <w:color w:val="0000ff"/>
          </w:rPr>
          <w:t xml:space="preserve">2.1</w:t>
        </w:r>
      </w:hyperlink>
      <w:r>
        <w:rPr>
          <w:sz w:val="24"/>
        </w:rPr>
        <w:t xml:space="preserve">, </w:t>
      </w:r>
      <w:hyperlink w:history="0" w:anchor="P347" w:tooltip="    3.1.  Сумма  излишне  уплаченного (взысканного) экологического сбора, в">
        <w:r>
          <w:rPr>
            <w:sz w:val="24"/>
            <w:color w:val="0000ff"/>
          </w:rPr>
          <w:t xml:space="preserve">3.1</w:t>
        </w:r>
      </w:hyperlink>
      <w:r>
        <w:rPr>
          <w:sz w:val="24"/>
        </w:rPr>
        <w:t xml:space="preserve"> ставится "0".</w:t>
      </w:r>
    </w:p>
    <w:bookmarkStart w:id="384" w:name="P384"/>
    <w:bookmarkEnd w:id="384"/>
    <w:p>
      <w:pPr>
        <w:pStyle w:val="0"/>
        <w:spacing w:before="240" w:line-rule="auto"/>
        <w:ind w:firstLine="540"/>
        <w:jc w:val="both"/>
      </w:pPr>
      <w:r>
        <w:rPr>
          <w:sz w:val="24"/>
        </w:rPr>
        <w:t xml:space="preserve">&lt;12&gt; Указываются реквизиты решения Федеральной службы по надзору в сфере природопользования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 </w:t>
      </w:r>
      <w:hyperlink w:history="0" w:anchor="P609" w:tooltip="РАСЧЕТ СУММЫ ЭКОЛОГИЧЕСКОГО СБОРА">
        <w:r>
          <w:rPr>
            <w:sz w:val="24"/>
            <w:color w:val="0000ff"/>
          </w:rPr>
          <w:t xml:space="preserve">3</w:t>
        </w:r>
      </w:hyperlink>
      <w:r>
        <w:rPr>
          <w:sz w:val="24"/>
        </w:rPr>
        <w:t xml:space="preserve"> к Правилам взимания экологического сбора, утвержденным постановлением Правительства Российской Федерации от 30 декабря 2024 г. N 1990 "О порядке взимания экологического сбора", сумма указывается однократно в любой из таких форм.</w:t>
      </w:r>
    </w:p>
    <w:bookmarkStart w:id="385" w:name="P385"/>
    <w:bookmarkEnd w:id="385"/>
    <w:p>
      <w:pPr>
        <w:pStyle w:val="0"/>
        <w:spacing w:before="240" w:line-rule="auto"/>
        <w:ind w:firstLine="540"/>
        <w:jc w:val="both"/>
      </w:pPr>
      <w:r>
        <w:rPr>
          <w:sz w:val="24"/>
        </w:rPr>
        <w:t xml:space="preserve">&lt;13&gt; Указывается значение, определяемое как разность всех сумм экологического сбора, подлежащая уплате (строки </w:t>
      </w:r>
      <w:hyperlink w:history="0" w:anchor="P202" w:tooltip="10">
        <w:r>
          <w:rPr>
            <w:sz w:val="24"/>
            <w:color w:val="0000ff"/>
          </w:rPr>
          <w:t xml:space="preserve">графы 10</w:t>
        </w:r>
      </w:hyperlink>
      <w:r>
        <w:rPr>
          <w:sz w:val="24"/>
        </w:rPr>
        <w:t xml:space="preserve">),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w:t>
      </w:r>
      <w:hyperlink w:history="0" w:anchor="P217" w:tooltip="    1.1.  Сумма  излишне  уплаченного (взысканного) экологического сбора, в">
        <w:r>
          <w:rPr>
            <w:sz w:val="24"/>
            <w:color w:val="0000ff"/>
          </w:rPr>
          <w:t xml:space="preserve">(пункт 1.1)</w:t>
        </w:r>
      </w:hyperlink>
      <w:r>
        <w:rPr>
          <w:sz w:val="24"/>
        </w:rPr>
        <w:t xml:space="preserve">. </w:t>
      </w:r>
      <w:hyperlink w:history="0" w:anchor="P222" w:tooltip="    1.3.  Итоговая  сумма  экологического  сбора, подлежащая уплате, рублей">
        <w:r>
          <w:rPr>
            <w:sz w:val="24"/>
            <w:color w:val="0000ff"/>
          </w:rPr>
          <w:t xml:space="preserve">Пункт 1.3</w:t>
        </w:r>
      </w:hyperlink>
      <w:r>
        <w:rPr>
          <w:sz w:val="24"/>
        </w:rPr>
        <w:t xml:space="preserve"> заполняется автоматически при использовании интерактивных форм отчетности.</w:t>
      </w:r>
    </w:p>
    <w:bookmarkStart w:id="386" w:name="P386"/>
    <w:bookmarkEnd w:id="386"/>
    <w:p>
      <w:pPr>
        <w:pStyle w:val="0"/>
        <w:spacing w:before="240" w:line-rule="auto"/>
        <w:ind w:firstLine="540"/>
        <w:jc w:val="both"/>
      </w:pPr>
      <w:r>
        <w:rPr>
          <w:sz w:val="24"/>
        </w:rPr>
        <w:t xml:space="preserve">&lt;14&gt; Заполняется для товаров, упаковки, произведенных на территории Российской Федерации, при производстве которых использовалось вторичное сырье, произведенное на территории Российской Федерации, при наличии подтверждения, полученного в порядке, утверждаемом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 и в случае заполнения </w:t>
      </w:r>
      <w:r>
        <w:rPr>
          <w:sz w:val="24"/>
        </w:rPr>
        <w:t xml:space="preserve">граф 8</w:t>
      </w:r>
      <w:r>
        <w:rPr>
          <w:sz w:val="24"/>
        </w:rPr>
        <w:t xml:space="preserve"> - </w:t>
      </w:r>
      <w:r>
        <w:rPr>
          <w:sz w:val="24"/>
        </w:rPr>
        <w:t xml:space="preserve">10</w:t>
      </w:r>
      <w:r>
        <w:rPr>
          <w:sz w:val="24"/>
        </w:rPr>
        <w:t xml:space="preserve"> таблицы 1 раздела II приложения N 1 к Правилам представления отчетности о массе товаров, упаковки.</w:t>
      </w:r>
    </w:p>
    <w:bookmarkStart w:id="387" w:name="P387"/>
    <w:bookmarkEnd w:id="387"/>
    <w:p>
      <w:pPr>
        <w:pStyle w:val="0"/>
        <w:spacing w:before="240" w:line-rule="auto"/>
        <w:ind w:firstLine="540"/>
        <w:jc w:val="both"/>
      </w:pPr>
      <w:r>
        <w:rPr>
          <w:sz w:val="24"/>
        </w:rPr>
        <w:t xml:space="preserve">&lt;15&gt; Масса указывается для каждого наименования товара, упаковки в килограммах, округленных до целого числа по математическим правилам округления. Указывается масса товара, произведенного с использованием вторичного сырья (без учета норматива утилизации) (М</w:t>
      </w:r>
      <w:r>
        <w:rPr>
          <w:sz w:val="24"/>
          <w:vertAlign w:val="subscript"/>
        </w:rPr>
        <w:t xml:space="preserve">вс</w:t>
      </w:r>
      <w:r>
        <w:rPr>
          <w:sz w:val="24"/>
        </w:rPr>
        <w:t xml:space="preserve">), в отношении которой подтверждено производство с использованием вторичного сырья в порядке, утверждаемом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 которая указана в строке </w:t>
      </w:r>
      <w:r>
        <w:rPr>
          <w:sz w:val="24"/>
        </w:rPr>
        <w:t xml:space="preserve">графы 31</w:t>
      </w:r>
      <w:r>
        <w:rPr>
          <w:sz w:val="24"/>
        </w:rPr>
        <w:t xml:space="preserve"> таблицы 1 раздела II приложения N 1 к Правилам представления отчетности о массе товаров, упаковки.</w:t>
      </w:r>
    </w:p>
    <w:bookmarkStart w:id="388" w:name="P388"/>
    <w:bookmarkEnd w:id="388"/>
    <w:p>
      <w:pPr>
        <w:pStyle w:val="0"/>
        <w:spacing w:before="240" w:line-rule="auto"/>
        <w:ind w:firstLine="540"/>
        <w:jc w:val="both"/>
      </w:pPr>
      <w:r>
        <w:rPr>
          <w:sz w:val="24"/>
        </w:rPr>
        <w:t xml:space="preserve">&lt;16&gt; Указывается норматив утилизации отходов от использования товаров, установленный Правительством Российской Федерации в соответствии с </w:t>
      </w:r>
      <w:r>
        <w:rPr>
          <w:sz w:val="24"/>
        </w:rPr>
        <w:t xml:space="preserve">пунктом 2 статьи 24.2</w:t>
      </w:r>
      <w:r>
        <w:rPr>
          <w:sz w:val="24"/>
        </w:rPr>
        <w:t xml:space="preserve"> Федерального закона "Об отходах производства или потребления", и (или) процент массы упаковки, отходы от использования которой подлежат утилизации в размере, установленном </w:t>
      </w:r>
      <w:r>
        <w:rPr>
          <w:sz w:val="24"/>
        </w:rPr>
        <w:t xml:space="preserve">частью 5 статьи 7</w:t>
      </w:r>
      <w:r>
        <w:rPr>
          <w:sz w:val="24"/>
        </w:rPr>
        <w:t xml:space="preserve"> Федерального закона от 4 августа 2023 г. N 451-ФЗ "О внесении изменений в Федеральный закон "Об отходах производства или потребления" и отдельные законодательные акты Российской Федерации", а с 1 января 2027 г. - в размере, установленном </w:t>
      </w:r>
      <w:r>
        <w:rPr>
          <w:sz w:val="24"/>
        </w:rPr>
        <w:t xml:space="preserve">пунктом 4 статьи 24.2</w:t>
      </w:r>
      <w:r>
        <w:rPr>
          <w:sz w:val="24"/>
        </w:rPr>
        <w:t xml:space="preserve"> Федерального закона "Об отходах производства или потребления" (N). Строка графы заполняется автоматически при использовании интерактивных форм расчета.</w:t>
      </w:r>
    </w:p>
    <w:bookmarkStart w:id="389" w:name="P389"/>
    <w:bookmarkEnd w:id="389"/>
    <w:p>
      <w:pPr>
        <w:pStyle w:val="0"/>
        <w:spacing w:before="240" w:line-rule="auto"/>
        <w:ind w:firstLine="540"/>
        <w:jc w:val="both"/>
      </w:pPr>
      <w:r>
        <w:rPr>
          <w:sz w:val="24"/>
        </w:rPr>
        <w:t xml:space="preserve">&lt;17&gt; Указывается доля вторичного сырья, использованного при производстве товаров, упаковки, соответствующая требованиям, предусмотренным в правилах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 утверждаемых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 и подтвержденная в порядке, утверждаемом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w:t>
      </w:r>
    </w:p>
    <w:bookmarkStart w:id="390" w:name="P390"/>
    <w:bookmarkEnd w:id="390"/>
    <w:p>
      <w:pPr>
        <w:pStyle w:val="0"/>
        <w:spacing w:before="240" w:line-rule="auto"/>
        <w:ind w:firstLine="540"/>
        <w:jc w:val="both"/>
      </w:pPr>
      <w:r>
        <w:rPr>
          <w:sz w:val="24"/>
        </w:rPr>
        <w:t xml:space="preserve">&lt;18&gt; Указываются реквизиты решения о подтверждении производства продукции с использованием вторичного сырья, принятого в порядке, утверждаемом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w:t>
      </w:r>
    </w:p>
    <w:bookmarkStart w:id="391" w:name="P391"/>
    <w:bookmarkEnd w:id="391"/>
    <w:p>
      <w:pPr>
        <w:pStyle w:val="0"/>
        <w:spacing w:before="240" w:line-rule="auto"/>
        <w:ind w:firstLine="540"/>
        <w:jc w:val="both"/>
      </w:pPr>
      <w:r>
        <w:rPr>
          <w:sz w:val="24"/>
        </w:rPr>
        <w:t xml:space="preserve">&lt;19&gt; Указывается размер понижающего коэффициента в относительных единицах, рассчитанного в соответствии с правилами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 утверждаемыми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w:t>
      </w:r>
    </w:p>
    <w:bookmarkStart w:id="392" w:name="P392"/>
    <w:bookmarkEnd w:id="392"/>
    <w:p>
      <w:pPr>
        <w:pStyle w:val="0"/>
        <w:spacing w:before="240" w:line-rule="auto"/>
        <w:ind w:firstLine="540"/>
        <w:jc w:val="both"/>
      </w:pPr>
      <w:r>
        <w:rPr>
          <w:sz w:val="24"/>
        </w:rPr>
        <w:t xml:space="preserve">&lt;20&gt; Масса отходов от использования товаров, подлежащих утилизации в отчетном периоде (с учетом норматива утилизации и понижающего коэффициента), определяется как произведение массы товара, произведенного с использованием вторичного сырья (без учета норматива утилизации) (М</w:t>
      </w:r>
      <w:r>
        <w:rPr>
          <w:sz w:val="24"/>
          <w:vertAlign w:val="subscript"/>
        </w:rPr>
        <w:t xml:space="preserve">вс</w:t>
      </w:r>
      <w:r>
        <w:rPr>
          <w:sz w:val="24"/>
        </w:rPr>
        <w:t xml:space="preserve">) (строка </w:t>
      </w:r>
      <w:hyperlink w:history="0" w:anchor="P252" w:tooltip="4">
        <w:r>
          <w:rPr>
            <w:sz w:val="24"/>
            <w:color w:val="0000ff"/>
          </w:rPr>
          <w:t xml:space="preserve">графы 4</w:t>
        </w:r>
      </w:hyperlink>
      <w:r>
        <w:rPr>
          <w:sz w:val="24"/>
        </w:rPr>
        <w:t xml:space="preserve">), норматива утилизации (N) (строка </w:t>
      </w:r>
      <w:hyperlink w:history="0" w:anchor="P253" w:tooltip="5">
        <w:r>
          <w:rPr>
            <w:sz w:val="24"/>
            <w:color w:val="0000ff"/>
          </w:rPr>
          <w:t xml:space="preserve">графы 5</w:t>
        </w:r>
      </w:hyperlink>
      <w:r>
        <w:rPr>
          <w:sz w:val="24"/>
        </w:rPr>
        <w:t xml:space="preserve">) и понижающего коэффициента (строка </w:t>
      </w:r>
      <w:hyperlink w:history="0" w:anchor="P256" w:tooltip="8">
        <w:r>
          <w:rPr>
            <w:sz w:val="24"/>
            <w:color w:val="0000ff"/>
          </w:rPr>
          <w:t xml:space="preserve">графы 8</w:t>
        </w:r>
      </w:hyperlink>
      <w:r>
        <w:rPr>
          <w:sz w:val="24"/>
        </w:rPr>
        <w:t xml:space="preserve">). Строка графы заполняется автоматически при использовании интерактивных форм расчета.</w:t>
      </w:r>
    </w:p>
    <w:bookmarkStart w:id="393" w:name="P393"/>
    <w:bookmarkEnd w:id="393"/>
    <w:p>
      <w:pPr>
        <w:pStyle w:val="0"/>
        <w:spacing w:before="240" w:line-rule="auto"/>
        <w:ind w:firstLine="540"/>
        <w:jc w:val="both"/>
      </w:pPr>
      <w:r>
        <w:rPr>
          <w:sz w:val="24"/>
        </w:rPr>
        <w:t xml:space="preserve">&lt;21&gt; Масса утилизированных отходов, засчитываемая в счет выполнения самостоятельной утилизации в отчетном периоде (М</w:t>
      </w:r>
      <w:r>
        <w:rPr>
          <w:sz w:val="24"/>
          <w:vertAlign w:val="subscript"/>
        </w:rPr>
        <w:t xml:space="preserve">засч.уп.</w:t>
      </w:r>
      <w:r>
        <w:rPr>
          <w:sz w:val="24"/>
        </w:rPr>
        <w:t xml:space="preserve">), указывается в соответствии с данными, представленными производителем товара, упаковки в строке </w:t>
      </w:r>
      <w:r>
        <w:rPr>
          <w:sz w:val="24"/>
        </w:rPr>
        <w:t xml:space="preserve">графы 25</w:t>
      </w:r>
      <w:r>
        <w:rPr>
          <w:sz w:val="24"/>
        </w:rPr>
        <w:t xml:space="preserve"> таблицы 2 раздела II приложения N 1 к Правилам представления отчетности о выполнении самостоятельной утилизации, в случае выполнения самостоятельной утилизации отходов от использования товаров и представления отчетности о выполнении самостоятельной утилизации. С 1 января 2026 г. строка заполняется автоматически при использовании интерактивных форм расчета. В случае непредставления отчетности о выполнении самостоятельной утилизации в строке </w:t>
      </w:r>
      <w:hyperlink w:history="0" w:anchor="P258" w:tooltip="10">
        <w:r>
          <w:rPr>
            <w:sz w:val="24"/>
            <w:color w:val="0000ff"/>
          </w:rPr>
          <w:t xml:space="preserve">графы 10</w:t>
        </w:r>
      </w:hyperlink>
      <w:r>
        <w:rPr>
          <w:sz w:val="24"/>
        </w:rPr>
        <w:t xml:space="preserve"> ставится "0".</w:t>
      </w:r>
    </w:p>
    <w:bookmarkStart w:id="394" w:name="P394"/>
    <w:bookmarkEnd w:id="394"/>
    <w:p>
      <w:pPr>
        <w:pStyle w:val="0"/>
        <w:spacing w:before="240" w:line-rule="auto"/>
        <w:ind w:firstLine="540"/>
        <w:jc w:val="both"/>
      </w:pPr>
      <w:r>
        <w:rPr>
          <w:sz w:val="24"/>
        </w:rPr>
        <w:t xml:space="preserve">&lt;22&gt; Масса отходов, за которые необходимо уплатить экологический сбор (М</w:t>
      </w:r>
      <w:r>
        <w:rPr>
          <w:sz w:val="24"/>
          <w:vertAlign w:val="subscript"/>
        </w:rPr>
        <w:t xml:space="preserve">эс</w:t>
      </w:r>
      <w:r>
        <w:rPr>
          <w:sz w:val="24"/>
        </w:rPr>
        <w:t xml:space="preserve">), определяется как разница массы отходов от использования товаров, подлежащих утилизации в отчетном периоде (с учетом норматива утилизации и понижающего коэффициента) </w:t>
      </w:r>
      <w:hyperlink w:history="0" w:anchor="P257" w:tooltip="9">
        <w:r>
          <w:rPr>
            <w:sz w:val="24"/>
            <w:color w:val="0000ff"/>
          </w:rPr>
          <w:t xml:space="preserve">(графа 9)</w:t>
        </w:r>
      </w:hyperlink>
      <w:r>
        <w:rPr>
          <w:sz w:val="24"/>
        </w:rPr>
        <w:t xml:space="preserve">, и массы утилизированных отходов, засчитываемой в счет выполнения самостоятельной утилизации в отчетном периоде (М</w:t>
      </w:r>
      <w:r>
        <w:rPr>
          <w:sz w:val="24"/>
          <w:vertAlign w:val="subscript"/>
        </w:rPr>
        <w:t xml:space="preserve">засч.уп.</w:t>
      </w:r>
      <w:r>
        <w:rPr>
          <w:sz w:val="24"/>
        </w:rPr>
        <w:t xml:space="preserve">) </w:t>
      </w:r>
      <w:hyperlink w:history="0" w:anchor="P258" w:tooltip="10">
        <w:r>
          <w:rPr>
            <w:sz w:val="24"/>
            <w:color w:val="0000ff"/>
          </w:rPr>
          <w:t xml:space="preserve">(графа 10)</w:t>
        </w:r>
      </w:hyperlink>
      <w:r>
        <w:rPr>
          <w:sz w:val="24"/>
        </w:rPr>
        <w:t xml:space="preserve">. Строка заполняется автоматически при использовании интерактивных форм расчета.</w:t>
      </w:r>
    </w:p>
    <w:bookmarkStart w:id="395" w:name="P395"/>
    <w:bookmarkEnd w:id="395"/>
    <w:p>
      <w:pPr>
        <w:pStyle w:val="0"/>
        <w:spacing w:before="240" w:line-rule="auto"/>
        <w:ind w:firstLine="540"/>
        <w:jc w:val="both"/>
      </w:pPr>
      <w:r>
        <w:rPr>
          <w:sz w:val="24"/>
        </w:rPr>
        <w:t xml:space="preserve">&lt;23&gt; Указывается значение ставки экологического сбора (СЭС), определяемое как произведение значений БСЭС </w:t>
      </w:r>
      <w:hyperlink w:history="0" w:anchor="P260" w:tooltip="12">
        <w:r>
          <w:rPr>
            <w:sz w:val="24"/>
            <w:color w:val="0000ff"/>
          </w:rPr>
          <w:t xml:space="preserve">(графа 12)</w:t>
        </w:r>
      </w:hyperlink>
      <w:r>
        <w:rPr>
          <w:sz w:val="24"/>
        </w:rPr>
        <w:t xml:space="preserve"> и КЭ </w:t>
      </w:r>
      <w:hyperlink w:history="0" w:anchor="P261" w:tooltip="13">
        <w:r>
          <w:rPr>
            <w:sz w:val="24"/>
            <w:color w:val="0000ff"/>
          </w:rPr>
          <w:t xml:space="preserve">(графа 13)</w:t>
        </w:r>
      </w:hyperlink>
      <w:r>
        <w:rPr>
          <w:sz w:val="24"/>
        </w:rPr>
        <w:t xml:space="preserve">. Строка заполняется автоматически при использовании интерактивных форм отчетности.</w:t>
      </w:r>
    </w:p>
    <w:bookmarkStart w:id="396" w:name="P396"/>
    <w:bookmarkEnd w:id="396"/>
    <w:p>
      <w:pPr>
        <w:pStyle w:val="0"/>
        <w:spacing w:before="240" w:line-rule="auto"/>
        <w:ind w:firstLine="540"/>
        <w:jc w:val="both"/>
      </w:pPr>
      <w:r>
        <w:rPr>
          <w:sz w:val="24"/>
        </w:rPr>
        <w:t xml:space="preserve">&lt;24&gt; Указывается сумма подлежащего уплате экологического сбора, определяемая как произведение значений СЭС </w:t>
      </w:r>
      <w:hyperlink w:history="0" w:anchor="P282" w:tooltip="14">
        <w:r>
          <w:rPr>
            <w:sz w:val="24"/>
            <w:color w:val="0000ff"/>
          </w:rPr>
          <w:t xml:space="preserve">(графа 14)</w:t>
        </w:r>
      </w:hyperlink>
      <w:r>
        <w:rPr>
          <w:sz w:val="24"/>
        </w:rPr>
        <w:t xml:space="preserve"> и М</w:t>
      </w:r>
      <w:r>
        <w:rPr>
          <w:sz w:val="24"/>
          <w:vertAlign w:val="subscript"/>
        </w:rPr>
        <w:t xml:space="preserve">эс.</w:t>
      </w:r>
      <w:r>
        <w:rPr>
          <w:sz w:val="24"/>
        </w:rPr>
        <w:t xml:space="preserve"> </w:t>
      </w:r>
      <w:hyperlink w:history="0" w:anchor="P259" w:tooltip="11">
        <w:r>
          <w:rPr>
            <w:sz w:val="24"/>
            <w:color w:val="0000ff"/>
          </w:rPr>
          <w:t xml:space="preserve">(графа 11)</w:t>
        </w:r>
      </w:hyperlink>
      <w:r>
        <w:rPr>
          <w:sz w:val="24"/>
        </w:rPr>
        <w:t xml:space="preserve">, деленное на 1000. Строка заполняется автоматически при использовании интерактивных форм отчетности.</w:t>
      </w:r>
    </w:p>
    <w:bookmarkStart w:id="397" w:name="P397"/>
    <w:bookmarkEnd w:id="397"/>
    <w:p>
      <w:pPr>
        <w:pStyle w:val="0"/>
        <w:spacing w:before="240" w:line-rule="auto"/>
        <w:ind w:firstLine="540"/>
        <w:jc w:val="both"/>
      </w:pPr>
      <w:r>
        <w:rPr>
          <w:sz w:val="24"/>
        </w:rPr>
        <w:t xml:space="preserve">&lt;25&gt; Указывается значение, определяемое как разность всех сумм экологического сбора, подлежащая уплате (строки </w:t>
      </w:r>
      <w:hyperlink w:history="0" w:anchor="P283" w:tooltip="15">
        <w:r>
          <w:rPr>
            <w:sz w:val="24"/>
            <w:color w:val="0000ff"/>
          </w:rPr>
          <w:t xml:space="preserve">графы 15</w:t>
        </w:r>
      </w:hyperlink>
      <w:r>
        <w:rPr>
          <w:sz w:val="24"/>
        </w:rPr>
        <w:t xml:space="preserve">),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w:t>
      </w:r>
      <w:hyperlink w:history="0" w:anchor="P290" w:tooltip="    2.1.  Сумма  излишне  уплаченного (взысканного) экологического сбора, в">
        <w:r>
          <w:rPr>
            <w:sz w:val="24"/>
            <w:color w:val="0000ff"/>
          </w:rPr>
          <w:t xml:space="preserve">(пункт 2.1)</w:t>
        </w:r>
      </w:hyperlink>
      <w:r>
        <w:rPr>
          <w:sz w:val="24"/>
        </w:rPr>
        <w:t xml:space="preserve">. </w:t>
      </w:r>
      <w:hyperlink w:history="0" w:anchor="P295" w:tooltip="    2.3.  Итоговая  сумма  экологического  сбора, подлежащая уплате, рублей">
        <w:r>
          <w:rPr>
            <w:sz w:val="24"/>
            <w:color w:val="0000ff"/>
          </w:rPr>
          <w:t xml:space="preserve">Пункт 2.3</w:t>
        </w:r>
      </w:hyperlink>
      <w:r>
        <w:rPr>
          <w:sz w:val="24"/>
        </w:rPr>
        <w:t xml:space="preserve"> заполняется автоматически при использовании интерактивных форм отчетности.</w:t>
      </w:r>
    </w:p>
    <w:bookmarkStart w:id="398" w:name="P398"/>
    <w:bookmarkEnd w:id="398"/>
    <w:p>
      <w:pPr>
        <w:pStyle w:val="0"/>
        <w:spacing w:before="240" w:line-rule="auto"/>
        <w:ind w:firstLine="540"/>
        <w:jc w:val="both"/>
      </w:pPr>
      <w:r>
        <w:rPr>
          <w:sz w:val="24"/>
        </w:rPr>
        <w:t xml:space="preserve">&lt;26&gt; При заполнении </w:t>
      </w:r>
      <w:hyperlink w:history="0" w:anchor="P302" w:tooltip="                                                                  Таблица 3">
        <w:r>
          <w:rPr>
            <w:sz w:val="24"/>
            <w:color w:val="0000ff"/>
          </w:rPr>
          <w:t xml:space="preserve">таблицы 3</w:t>
        </w:r>
      </w:hyperlink>
      <w:r>
        <w:rPr>
          <w:sz w:val="24"/>
        </w:rPr>
        <w:t xml:space="preserve"> в начале указывается номер и наименование группы упаковки товаров в соответствии с </w:t>
      </w:r>
      <w:r>
        <w:rPr>
          <w:sz w:val="24"/>
        </w:rPr>
        <w:t xml:space="preserve">разделом III</w:t>
      </w:r>
      <w:r>
        <w:rPr>
          <w:sz w:val="24"/>
        </w:rPr>
        <w:t xml:space="preserve"> перечней товаров, упаковки, а затем построчно указываются позиции по упаковке товара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Заполняется импортером товара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перечни товаров, упаковки.</w:t>
      </w:r>
    </w:p>
    <w:bookmarkStart w:id="399" w:name="P399"/>
    <w:bookmarkEnd w:id="399"/>
    <w:p>
      <w:pPr>
        <w:pStyle w:val="0"/>
        <w:spacing w:before="240" w:line-rule="auto"/>
        <w:ind w:firstLine="540"/>
        <w:jc w:val="both"/>
      </w:pPr>
      <w:r>
        <w:rPr>
          <w:sz w:val="24"/>
        </w:rPr>
        <w:t xml:space="preserve">&lt;27&gt; Строки </w:t>
      </w:r>
      <w:hyperlink w:history="0" w:anchor="P323" w:tooltip="3">
        <w:r>
          <w:rPr>
            <w:sz w:val="24"/>
            <w:color w:val="0000ff"/>
          </w:rPr>
          <w:t xml:space="preserve">граф 3</w:t>
        </w:r>
      </w:hyperlink>
      <w:r>
        <w:rPr>
          <w:sz w:val="24"/>
        </w:rPr>
        <w:t xml:space="preserve"> - </w:t>
      </w:r>
      <w:hyperlink w:history="0" w:anchor="P326" w:tooltip="6">
        <w:r>
          <w:rPr>
            <w:sz w:val="24"/>
            <w:color w:val="0000ff"/>
          </w:rPr>
          <w:t xml:space="preserve">6</w:t>
        </w:r>
      </w:hyperlink>
      <w:r>
        <w:rPr>
          <w:sz w:val="24"/>
        </w:rPr>
        <w:t xml:space="preserve"> таблицы 3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w:t>
      </w:r>
      <w:r>
        <w:rPr>
          <w:sz w:val="24"/>
        </w:rPr>
        <w:t xml:space="preserve">регламенту</w:t>
      </w:r>
      <w:r>
        <w:rPr>
          <w:sz w:val="24"/>
        </w:rPr>
        <w:t xml:space="preserve"> Таможенного союза "О безопасности упаковки" (ТР ТС 005/2011), и (или) по коду Общероссийского </w:t>
      </w:r>
      <w:r>
        <w:rPr>
          <w:sz w:val="24"/>
        </w:rPr>
        <w:t xml:space="preserve">классификатора</w:t>
      </w:r>
      <w:r>
        <w:rPr>
          <w:sz w:val="24"/>
        </w:rPr>
        <w:t xml:space="preserve"> продукции по видам экономической деятельности ОК 034-2014 (КПЕС 2008), и (или) по коду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w:t>
      </w:r>
    </w:p>
    <w:bookmarkStart w:id="400" w:name="P400"/>
    <w:bookmarkEnd w:id="400"/>
    <w:p>
      <w:pPr>
        <w:pStyle w:val="0"/>
        <w:spacing w:before="240" w:line-rule="auto"/>
        <w:ind w:firstLine="540"/>
        <w:jc w:val="both"/>
      </w:pPr>
      <w:r>
        <w:rPr>
          <w:sz w:val="24"/>
        </w:rPr>
        <w:t xml:space="preserve">&lt;28&gt; Масса указывается для каждого наименования товара, упаковки в килограммах, округленных до целого числа по математическим правилам округления. Масса отходов, за которые необходимо уплатить экологический сбор (М</w:t>
      </w:r>
      <w:r>
        <w:rPr>
          <w:sz w:val="24"/>
          <w:vertAlign w:val="subscript"/>
        </w:rPr>
        <w:t xml:space="preserve">эс.т.</w:t>
      </w:r>
      <w:r>
        <w:rPr>
          <w:sz w:val="24"/>
        </w:rPr>
        <w:t xml:space="preserve">), указывается в соответствии с данными строки </w:t>
      </w:r>
      <w:r>
        <w:rPr>
          <w:sz w:val="24"/>
        </w:rPr>
        <w:t xml:space="preserve">графы 14</w:t>
      </w:r>
      <w:r>
        <w:rPr>
          <w:sz w:val="24"/>
        </w:rPr>
        <w:t xml:space="preserve"> таблицы 2 раздела II приложения N 1 к Правилам представления отчетности о массе товаров, упаковки в случае отсутствия выполнения самостоятельной утилизации отходов от использования товаров и представленной отчетности о выполнении самостоятельной утилизации, а в случае представления импортером товара отчетности о выполнении самостоятельной утилизации - с данными строки </w:t>
      </w:r>
      <w:r>
        <w:rPr>
          <w:sz w:val="24"/>
        </w:rPr>
        <w:t xml:space="preserve">графы 20</w:t>
      </w:r>
      <w:r>
        <w:rPr>
          <w:sz w:val="24"/>
        </w:rPr>
        <w:t xml:space="preserve"> таблицы 3 раздела II приложения N 1 к Правилам представления отчетности о выполнении самостоятельной утилизации. С 1 января 2026 г. строка </w:t>
      </w:r>
      <w:hyperlink w:history="0" w:anchor="P327" w:tooltip="7">
        <w:r>
          <w:rPr>
            <w:sz w:val="24"/>
            <w:color w:val="0000ff"/>
          </w:rPr>
          <w:t xml:space="preserve">графы 7</w:t>
        </w:r>
      </w:hyperlink>
      <w:r>
        <w:rPr>
          <w:sz w:val="24"/>
        </w:rPr>
        <w:t xml:space="preserve"> заполняется автоматически при использовании интерактивных форм расчета.</w:t>
      </w:r>
    </w:p>
    <w:bookmarkStart w:id="401" w:name="P401"/>
    <w:bookmarkEnd w:id="401"/>
    <w:p>
      <w:pPr>
        <w:pStyle w:val="0"/>
        <w:spacing w:before="240" w:line-rule="auto"/>
        <w:ind w:firstLine="540"/>
        <w:jc w:val="both"/>
      </w:pPr>
      <w:r>
        <w:rPr>
          <w:sz w:val="24"/>
        </w:rPr>
        <w:t xml:space="preserve">&lt;29&gt; Указывается значение ставки экологического сбора (СЭС), определяемое как произведение значений БСЭС </w:t>
      </w:r>
      <w:hyperlink w:history="0" w:anchor="P328" w:tooltip="8">
        <w:r>
          <w:rPr>
            <w:sz w:val="24"/>
            <w:color w:val="0000ff"/>
          </w:rPr>
          <w:t xml:space="preserve">(графа 8)</w:t>
        </w:r>
      </w:hyperlink>
      <w:r>
        <w:rPr>
          <w:sz w:val="24"/>
        </w:rPr>
        <w:t xml:space="preserve"> и КЭ </w:t>
      </w:r>
      <w:hyperlink w:history="0" w:anchor="P329" w:tooltip="9">
        <w:r>
          <w:rPr>
            <w:sz w:val="24"/>
            <w:color w:val="0000ff"/>
          </w:rPr>
          <w:t xml:space="preserve">(графа 9)</w:t>
        </w:r>
      </w:hyperlink>
      <w:r>
        <w:rPr>
          <w:sz w:val="24"/>
        </w:rPr>
        <w:t xml:space="preserve">. Строка заполняется автоматически при использовании интерактивных форм отчетности.</w:t>
      </w:r>
    </w:p>
    <w:bookmarkStart w:id="402" w:name="P402"/>
    <w:bookmarkEnd w:id="402"/>
    <w:p>
      <w:pPr>
        <w:pStyle w:val="0"/>
        <w:spacing w:before="240" w:line-rule="auto"/>
        <w:ind w:firstLine="540"/>
        <w:jc w:val="both"/>
      </w:pPr>
      <w:r>
        <w:rPr>
          <w:sz w:val="24"/>
        </w:rPr>
        <w:t xml:space="preserve">&lt;30&gt; Указывается сумма подлежащего уплате экологического сбора, определяемая как произведение значений СЭС </w:t>
      </w:r>
      <w:hyperlink w:history="0" w:anchor="P330" w:tooltip="10">
        <w:r>
          <w:rPr>
            <w:sz w:val="24"/>
            <w:color w:val="0000ff"/>
          </w:rPr>
          <w:t xml:space="preserve">(графа 10)</w:t>
        </w:r>
      </w:hyperlink>
      <w:r>
        <w:rPr>
          <w:sz w:val="24"/>
        </w:rPr>
        <w:t xml:space="preserve"> и М</w:t>
      </w:r>
      <w:r>
        <w:rPr>
          <w:sz w:val="24"/>
          <w:vertAlign w:val="subscript"/>
        </w:rPr>
        <w:t xml:space="preserve">эс.т.</w:t>
      </w:r>
      <w:r>
        <w:rPr>
          <w:sz w:val="24"/>
        </w:rPr>
        <w:t xml:space="preserve"> </w:t>
      </w:r>
      <w:hyperlink w:history="0" w:anchor="P327" w:tooltip="7">
        <w:r>
          <w:rPr>
            <w:sz w:val="24"/>
            <w:color w:val="0000ff"/>
          </w:rPr>
          <w:t xml:space="preserve">(графа 7)</w:t>
        </w:r>
      </w:hyperlink>
      <w:r>
        <w:rPr>
          <w:sz w:val="24"/>
        </w:rPr>
        <w:t xml:space="preserve">, деленное на 1000. Строка заполняется автоматически при использовании интерактивных форм отчетности.</w:t>
      </w:r>
    </w:p>
    <w:bookmarkStart w:id="403" w:name="P403"/>
    <w:bookmarkEnd w:id="403"/>
    <w:p>
      <w:pPr>
        <w:pStyle w:val="0"/>
        <w:spacing w:before="240" w:line-rule="auto"/>
        <w:ind w:firstLine="540"/>
        <w:jc w:val="both"/>
      </w:pPr>
      <w:r>
        <w:rPr>
          <w:sz w:val="24"/>
        </w:rPr>
        <w:t xml:space="preserve">&lt;31&gt; Указывается значение, определяемое как разность всех сумм экологического сбора, подлежащего уплате (строки </w:t>
      </w:r>
      <w:hyperlink w:history="0" w:anchor="P331" w:tooltip="11">
        <w:r>
          <w:rPr>
            <w:sz w:val="24"/>
            <w:color w:val="0000ff"/>
          </w:rPr>
          <w:t xml:space="preserve">графы 11</w:t>
        </w:r>
      </w:hyperlink>
      <w:r>
        <w:rPr>
          <w:sz w:val="24"/>
        </w:rPr>
        <w:t xml:space="preserve">),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w:t>
      </w:r>
      <w:hyperlink w:history="0" w:anchor="P347" w:tooltip="    3.1.  Сумма  излишне  уплаченного (взысканного) экологического сбора, в">
        <w:r>
          <w:rPr>
            <w:sz w:val="24"/>
            <w:color w:val="0000ff"/>
          </w:rPr>
          <w:t xml:space="preserve">(пункт 3.1)</w:t>
        </w:r>
      </w:hyperlink>
      <w:r>
        <w:rPr>
          <w:sz w:val="24"/>
        </w:rPr>
        <w:t xml:space="preserve">. </w:t>
      </w:r>
      <w:hyperlink w:history="0" w:anchor="P352" w:tooltip="    3.3.  Итоговая  сумма  экологического  сбора, подлежащая уплате, рублей">
        <w:r>
          <w:rPr>
            <w:sz w:val="24"/>
            <w:color w:val="0000ff"/>
          </w:rPr>
          <w:t xml:space="preserve">Пункт 3.3</w:t>
        </w:r>
      </w:hyperlink>
      <w:r>
        <w:rPr>
          <w:sz w:val="24"/>
        </w:rPr>
        <w:t xml:space="preserve"> заполняется автоматически при использовании интерактивных форм отчетности.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взимания</w:t>
      </w:r>
    </w:p>
    <w:p>
      <w:pPr>
        <w:pStyle w:val="0"/>
        <w:jc w:val="right"/>
      </w:pPr>
      <w:r>
        <w:rPr>
          <w:sz w:val="24"/>
        </w:rPr>
        <w:t xml:space="preserve">экологического сбора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25.12.2025 N 2116)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bookmarkStart w:id="417" w:name="P417"/>
          <w:bookmarkEnd w:id="417"/>
          <w:p>
            <w:pPr>
              <w:pStyle w:val="0"/>
              <w:jc w:val="center"/>
            </w:pPr>
            <w:r>
              <w:rPr>
                <w:sz w:val="24"/>
              </w:rPr>
              <w:t xml:space="preserve">РАСЧЕТ СУММЫ ЭКОЛОГИЧЕСКОГО СБОРА</w:t>
            </w:r>
          </w:p>
          <w:p>
            <w:pPr>
              <w:pStyle w:val="0"/>
              <w:jc w:val="center"/>
            </w:pPr>
            <w:r>
              <w:rPr>
                <w:sz w:val="24"/>
              </w:rPr>
              <w:t xml:space="preserve">по товарам, упаковке, ввезенным из государств, не являющихся членами Евразийского экономического союза</w:t>
            </w:r>
          </w:p>
        </w:tc>
      </w:tr>
    </w:tbl>
    <w:p>
      <w:pPr>
        <w:pStyle w:val="0"/>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outlineLvl w:val="2"/>
              <w:jc w:val="center"/>
            </w:pPr>
            <w:r>
              <w:rPr>
                <w:sz w:val="24"/>
              </w:rPr>
              <w:t xml:space="preserve">Раздел I. Общие сведения об импортере товаров, упаковки, в том числе товаров в упаковке </w:t>
            </w:r>
            <w:hyperlink w:history="0" w:anchor="P575" w:tooltip="&lt;1&gt;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4"/>
                  <w:color w:val="0000ff"/>
                </w:rPr>
                <w:t xml:space="preserve">&lt;1&gt;</w:t>
              </w:r>
            </w:hyperlink>
          </w:p>
        </w:tc>
      </w:tr>
    </w:tbl>
    <w:p>
      <w:pPr>
        <w:pStyle w:val="0"/>
      </w:pPr>
      <w:r>
        <w:rPr>
          <w:sz w:val="24"/>
        </w:rPr>
      </w:r>
    </w:p>
    <w:tbl>
      <w:tblPr>
        <w:tblInd w:w="0" w:type="dxa"/>
        <w:tblLayout w:type="fixed"/>
        <w:tblCellMar>
          <w:top w:w="102" w:type="dxa"/>
          <w:left w:w="62" w:type="dxa"/>
          <w:bottom w:w="102" w:type="dxa"/>
          <w:right w:w="62" w:type="dxa"/>
        </w:tblCellMar>
      </w:tblPr>
      <w:tblGrid>
        <w:gridCol w:w="3346"/>
        <w:gridCol w:w="5704"/>
      </w:tblGrid>
      <w:tr>
        <w:tc>
          <w:tcPr>
            <w:gridSpan w:val="2"/>
            <w:tcW w:w="9050" w:type="dxa"/>
            <w:tcBorders>
              <w:top w:val="nil"/>
              <w:left w:val="nil"/>
              <w:bottom w:val="nil"/>
              <w:right w:val="nil"/>
            </w:tcBorders>
          </w:tcPr>
          <w:p>
            <w:pPr>
              <w:pStyle w:val="0"/>
              <w:ind w:firstLine="283"/>
              <w:jc w:val="both"/>
            </w:pPr>
            <w:r>
              <w:rPr>
                <w:sz w:val="24"/>
              </w:rPr>
              <w:t xml:space="preserve">1. Для юридического лица:</w:t>
            </w:r>
          </w:p>
          <w:p>
            <w:pPr>
              <w:pStyle w:val="0"/>
              <w:jc w:val="both"/>
            </w:pPr>
            <w:r>
              <w:rPr>
                <w:sz w:val="24"/>
              </w:rPr>
              <w:t xml:space="preserve">организационно-правовая форма юридического лица и его наименование __________________________________________________________________________</w:t>
            </w:r>
          </w:p>
          <w:p>
            <w:pPr>
              <w:pStyle w:val="0"/>
              <w:jc w:val="center"/>
            </w:pPr>
            <w:r>
              <w:rPr>
                <w:sz w:val="24"/>
              </w:rPr>
              <w:t xml:space="preserve">(полное, сокращенное (при наличии), фирменное наименования)</w:t>
            </w:r>
          </w:p>
          <w:p>
            <w:pPr>
              <w:pStyle w:val="0"/>
              <w:jc w:val="both"/>
            </w:pPr>
            <w:r>
              <w:rPr>
                <w:sz w:val="24"/>
              </w:rPr>
              <w:t xml:space="preserve">идентификационный номер налогоплательщика ________________________________</w:t>
            </w:r>
          </w:p>
          <w:p>
            <w:pPr>
              <w:pStyle w:val="0"/>
              <w:jc w:val="both"/>
            </w:pPr>
            <w:r>
              <w:rPr>
                <w:sz w:val="24"/>
              </w:rPr>
              <w:t xml:space="preserve">код причины постановки на учет _____________________________________________</w:t>
            </w:r>
          </w:p>
          <w:p>
            <w:pPr>
              <w:pStyle w:val="0"/>
              <w:jc w:val="both"/>
            </w:pPr>
            <w:r>
              <w:rPr>
                <w:sz w:val="24"/>
              </w:rPr>
              <w:t xml:space="preserve">адрес места нахождения юридического лица ___________________________________</w:t>
            </w:r>
          </w:p>
          <w:p>
            <w:pPr>
              <w:pStyle w:val="0"/>
              <w:jc w:val="both"/>
            </w:pPr>
            <w:r>
              <w:rPr>
                <w:sz w:val="24"/>
              </w:rPr>
              <w:t xml:space="preserve">основной государственный регистрационный номер ____________________________</w:t>
            </w:r>
          </w:p>
          <w:p>
            <w:pPr>
              <w:pStyle w:val="0"/>
              <w:jc w:val="both"/>
            </w:pPr>
            <w:r>
              <w:rPr>
                <w:sz w:val="24"/>
              </w:rPr>
              <w:t xml:space="preserve">реквизиты документа, подтверждающего факт внесения записи о юридическом лице в единый государственный реестр юридических лиц, __________________________________________________________________________</w:t>
            </w:r>
          </w:p>
          <w:p>
            <w:pPr>
              <w:pStyle w:val="0"/>
              <w:ind w:firstLine="283"/>
              <w:jc w:val="both"/>
            </w:pPr>
            <w:r>
              <w:rPr>
                <w:sz w:val="24"/>
              </w:rPr>
              <w:t xml:space="preserve">2. Для физического лица, зарегистрированного в качестве индивидуального предпринимателя (далее - индивидуальный предприниматель):</w:t>
            </w:r>
          </w:p>
          <w:p>
            <w:pPr>
              <w:pStyle w:val="0"/>
            </w:pPr>
            <w:r>
              <w:rPr>
                <w:sz w:val="24"/>
              </w:rPr>
              <w:t xml:space="preserve">фамилия, имя, отчество (при наличии) индивидуального предпринимателя __________________________________________________________________________</w:t>
            </w:r>
          </w:p>
          <w:p>
            <w:pPr>
              <w:pStyle w:val="0"/>
              <w:jc w:val="both"/>
            </w:pPr>
            <w:r>
              <w:rPr>
                <w:sz w:val="24"/>
              </w:rPr>
              <w:t xml:space="preserve">идентификационный номер налогоплательщика ________________________________</w:t>
            </w:r>
          </w:p>
          <w:p>
            <w:pPr>
              <w:pStyle w:val="0"/>
              <w:jc w:val="both"/>
            </w:pPr>
            <w:r>
              <w:rPr>
                <w:sz w:val="24"/>
              </w:rPr>
              <w:t xml:space="preserve">адрес индивидуального предпринимателя _____________________________________</w:t>
            </w:r>
          </w:p>
          <w:p>
            <w:pPr>
              <w:pStyle w:val="0"/>
              <w:jc w:val="both"/>
            </w:pPr>
            <w:r>
              <w:rPr>
                <w:sz w:val="24"/>
              </w:rPr>
              <w:t xml:space="preserve">основной государственный регистрационный номер ____________________________</w:t>
            </w:r>
          </w:p>
          <w:p>
            <w:pPr>
              <w:pStyle w:val="0"/>
              <w:jc w:val="both"/>
            </w:pPr>
            <w:r>
              <w:rPr>
                <w:sz w:val="24"/>
              </w:rPr>
              <w:t xml:space="preserve">реквизиты документа, подтверждающего факт внесения записи об индивидуальном предпринимателе в единый государственный реестр индивидуальных предпринимателей, ________________________________________________________</w:t>
            </w:r>
          </w:p>
          <w:p>
            <w:pPr>
              <w:pStyle w:val="0"/>
              <w:ind w:firstLine="283"/>
              <w:jc w:val="both"/>
            </w:pPr>
            <w:r>
              <w:rPr>
                <w:sz w:val="24"/>
              </w:rPr>
              <w:t xml:space="preserve">3. Код по Общероссийскому </w:t>
            </w:r>
            <w:r>
              <w:rPr>
                <w:sz w:val="24"/>
              </w:rPr>
              <w:t xml:space="preserve">классификатору</w:t>
            </w:r>
            <w:r>
              <w:rPr>
                <w:sz w:val="24"/>
              </w:rPr>
              <w:t xml:space="preserve"> видов экономической деятельности ОК 029-2014 (КДЕС Ред. 2) _________________________________________________</w:t>
            </w:r>
          </w:p>
          <w:p>
            <w:pPr>
              <w:pStyle w:val="0"/>
              <w:ind w:firstLine="283"/>
              <w:jc w:val="both"/>
            </w:pPr>
            <w:r>
              <w:rPr>
                <w:sz w:val="24"/>
              </w:rPr>
              <w:t xml:space="preserve">4. Код по Общероссийскому </w:t>
            </w:r>
            <w:r>
              <w:rPr>
                <w:sz w:val="24"/>
              </w:rPr>
              <w:t xml:space="preserve">классификатору</w:t>
            </w:r>
            <w:r>
              <w:rPr>
                <w:sz w:val="24"/>
              </w:rPr>
              <w:t xml:space="preserve"> объектов административно-территориального деления ОК 019-95 ________________________</w:t>
            </w:r>
          </w:p>
          <w:p>
            <w:pPr>
              <w:pStyle w:val="0"/>
              <w:ind w:firstLine="283"/>
              <w:jc w:val="both"/>
            </w:pPr>
            <w:r>
              <w:rPr>
                <w:sz w:val="24"/>
              </w:rPr>
              <w:t xml:space="preserve">5. Код по Общероссийскому </w:t>
            </w:r>
            <w:r>
              <w:rPr>
                <w:sz w:val="24"/>
              </w:rPr>
              <w:t xml:space="preserve">классификатору</w:t>
            </w:r>
            <w:r>
              <w:rPr>
                <w:sz w:val="24"/>
              </w:rPr>
              <w:t xml:space="preserve"> территорий муниципальных образований ОК 033-2013 __________________________________________________</w:t>
            </w:r>
          </w:p>
        </w:tc>
      </w:tr>
      <w:tr>
        <w:tc>
          <w:tcPr>
            <w:tcW w:w="3346" w:type="dxa"/>
            <w:vAlign w:val="bottom"/>
            <w:tcBorders>
              <w:top w:val="nil"/>
              <w:left w:val="nil"/>
              <w:bottom w:val="nil"/>
              <w:right w:val="nil"/>
            </w:tcBorders>
          </w:tcPr>
          <w:p>
            <w:pPr>
              <w:pStyle w:val="0"/>
              <w:ind w:firstLine="283"/>
              <w:jc w:val="both"/>
            </w:pPr>
            <w:r>
              <w:rPr>
                <w:sz w:val="24"/>
              </w:rPr>
              <w:t xml:space="preserve">6. Контактная информация</w:t>
            </w:r>
          </w:p>
        </w:tc>
        <w:tc>
          <w:tcPr>
            <w:tcW w:w="5704" w:type="dxa"/>
            <w:tcBorders>
              <w:top w:val="nil"/>
              <w:left w:val="nil"/>
              <w:bottom w:val="single" w:sz="4"/>
              <w:right w:val="nil"/>
            </w:tcBorders>
          </w:tcPr>
          <w:p>
            <w:pPr>
              <w:pStyle w:val="0"/>
              <w:jc w:val="both"/>
            </w:pPr>
            <w:r>
              <w:rPr>
                <w:sz w:val="24"/>
              </w:rPr>
            </w:r>
          </w:p>
        </w:tc>
      </w:tr>
      <w:tr>
        <w:tc>
          <w:tcPr>
            <w:tcW w:w="3346" w:type="dxa"/>
            <w:tcBorders>
              <w:top w:val="nil"/>
              <w:left w:val="nil"/>
              <w:bottom w:val="nil"/>
              <w:right w:val="nil"/>
            </w:tcBorders>
          </w:tcPr>
          <w:p>
            <w:pPr>
              <w:pStyle w:val="0"/>
              <w:ind w:firstLine="283"/>
              <w:jc w:val="both"/>
            </w:pPr>
            <w:r>
              <w:rPr>
                <w:sz w:val="24"/>
              </w:rPr>
            </w:r>
          </w:p>
        </w:tc>
        <w:tc>
          <w:tcPr>
            <w:tcW w:w="5704" w:type="dxa"/>
            <w:tcBorders>
              <w:top w:val="single" w:sz="4"/>
              <w:left w:val="nil"/>
              <w:bottom w:val="nil"/>
              <w:right w:val="nil"/>
            </w:tcBorders>
          </w:tcPr>
          <w:p>
            <w:pPr>
              <w:pStyle w:val="0"/>
              <w:jc w:val="center"/>
            </w:pPr>
            <w:r>
              <w:rPr>
                <w:sz w:val="24"/>
              </w:rPr>
              <w:t xml:space="preserve">(номера телефонов, адрес электронной почты (при наличии), должность и фамилия, имя, отчество (при наличии) лица, заполняющего расчет)</w:t>
            </w:r>
          </w:p>
        </w:tc>
      </w:tr>
    </w:tbl>
    <w:p>
      <w:pPr>
        <w:pStyle w:val="0"/>
        <w:jc w:val="right"/>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2"/>
              <w:jc w:val="center"/>
            </w:pPr>
            <w:r>
              <w:rPr>
                <w:sz w:val="24"/>
              </w:rPr>
              <w:t xml:space="preserve">Раздел II. Расчет суммы экологического сбора</w:t>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3"/>
              <w:jc w:val="center"/>
            </w:pPr>
            <w:r>
              <w:rPr>
                <w:sz w:val="24"/>
              </w:rPr>
              <w:t xml:space="preserve">1. Расчет суммы экологического сбора в отношении товаров, упаковки, ввезенных на территорию Российской Федерации из государств, не являющихся государствами - членами Евразийского экономического союза </w:t>
            </w:r>
            <w:hyperlink w:history="0" w:anchor="P576" w:tooltip="&lt;2&gt; При заполнении таблицы 1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ем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
              <w:r>
                <w:rPr>
                  <w:sz w:val="24"/>
                  <w:color w:val="0000ff"/>
                </w:rPr>
                <w:t xml:space="preserve">&lt;2&gt;</w:t>
              </w:r>
            </w:hyperlink>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448" w:name="P448"/>
          <w:bookmarkEnd w:id="448"/>
          <w:p>
            <w:pPr>
              <w:pStyle w:val="0"/>
              <w:outlineLvl w:val="4"/>
              <w:jc w:val="right"/>
            </w:pPr>
            <w:r>
              <w:rPr>
                <w:sz w:val="24"/>
              </w:rPr>
              <w:t xml:space="preserve">Таблица 1</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6"/>
        <w:gridCol w:w="763"/>
        <w:gridCol w:w="2170"/>
        <w:gridCol w:w="1848"/>
        <w:gridCol w:w="994"/>
        <w:gridCol w:w="979"/>
        <w:gridCol w:w="1065"/>
        <w:gridCol w:w="1277"/>
        <w:gridCol w:w="1168"/>
        <w:gridCol w:w="1095"/>
        <w:gridCol w:w="1065"/>
        <w:gridCol w:w="720"/>
      </w:tblGrid>
      <w:tr>
        <w:tc>
          <w:tcPr>
            <w:tcW w:w="446" w:type="dxa"/>
          </w:tcPr>
          <w:p>
            <w:pPr>
              <w:pStyle w:val="0"/>
              <w:jc w:val="center"/>
            </w:pPr>
            <w:r>
              <w:rPr>
                <w:sz w:val="24"/>
              </w:rPr>
              <w:t xml:space="preserve">N п/п</w:t>
            </w:r>
          </w:p>
        </w:tc>
        <w:tc>
          <w:tcPr>
            <w:tcW w:w="763" w:type="dxa"/>
          </w:tcPr>
          <w:p>
            <w:pPr>
              <w:pStyle w:val="0"/>
              <w:jc w:val="center"/>
            </w:pPr>
            <w:r>
              <w:rPr>
                <w:sz w:val="24"/>
              </w:rPr>
              <w:t xml:space="preserve">Наименование товара, упаковки </w:t>
            </w:r>
            <w:hyperlink w:history="0" w:anchor="P576" w:tooltip="&lt;2&gt; При заполнении таблицы 1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ем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
              <w:r>
                <w:rPr>
                  <w:sz w:val="24"/>
                  <w:color w:val="0000ff"/>
                </w:rPr>
                <w:t xml:space="preserve">&lt;2&gt;</w:t>
              </w:r>
            </w:hyperlink>
          </w:p>
        </w:tc>
        <w:tc>
          <w:tcPr>
            <w:tcW w:w="2170" w:type="dxa"/>
          </w:tcPr>
          <w:p>
            <w:pPr>
              <w:pStyle w:val="0"/>
              <w:jc w:val="center"/>
            </w:pPr>
            <w:r>
              <w:rPr>
                <w:sz w:val="24"/>
              </w:rPr>
              <w:t xml:space="preserve">Наименование позиции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578" w:tooltip="&lt;3&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w:r>
                <w:rPr>
                  <w:sz w:val="24"/>
                  <w:color w:val="0000ff"/>
                </w:rPr>
                <w:t xml:space="preserve">&lt;3&gt;</w:t>
              </w:r>
            </w:hyperlink>
          </w:p>
        </w:tc>
        <w:tc>
          <w:tcPr>
            <w:tcW w:w="1848" w:type="dxa"/>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578" w:tooltip="&lt;3&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w:r>
                <w:rPr>
                  <w:sz w:val="24"/>
                  <w:color w:val="0000ff"/>
                </w:rPr>
                <w:t xml:space="preserve">&lt;3&gt;</w:t>
              </w:r>
            </w:hyperlink>
          </w:p>
        </w:tc>
        <w:tc>
          <w:tcPr>
            <w:tcW w:w="994" w:type="dxa"/>
          </w:tcPr>
          <w:p>
            <w:pPr>
              <w:pStyle w:val="0"/>
              <w:jc w:val="center"/>
            </w:pPr>
            <w:r>
              <w:rPr>
                <w:sz w:val="24"/>
              </w:rPr>
              <w:t xml:space="preserve">Масса ввезенного товара, упаковки</w:t>
            </w:r>
          </w:p>
          <w:p>
            <w:pPr>
              <w:pStyle w:val="0"/>
              <w:jc w:val="center"/>
            </w:pPr>
            <w:r>
              <w:rPr>
                <w:sz w:val="24"/>
              </w:rPr>
              <w:t xml:space="preserve">(М), кг </w:t>
            </w:r>
            <w:hyperlink w:history="0" w:anchor="P579" w:tooltip="&lt;4&gt; Масса указывается для каждого наименования товара, упаковки в килограммах, округленных до целого числа по математическим правилам округления, в отношении которых наступили события, предусмотренные пунктом 2 статьи 24.2-1 Федерального закона &quot;Об отходах производства и потребления&quot;.">
              <w:r>
                <w:rPr>
                  <w:sz w:val="24"/>
                  <w:color w:val="0000ff"/>
                </w:rPr>
                <w:t xml:space="preserve">&lt;4&gt;</w:t>
              </w:r>
            </w:hyperlink>
          </w:p>
        </w:tc>
        <w:tc>
          <w:tcPr>
            <w:tcW w:w="979" w:type="dxa"/>
          </w:tcPr>
          <w:p>
            <w:pPr>
              <w:pStyle w:val="0"/>
              <w:jc w:val="center"/>
            </w:pPr>
            <w:r>
              <w:rPr>
                <w:sz w:val="24"/>
              </w:rPr>
              <w:t xml:space="preserve">Норматив утилизации (N) </w:t>
            </w:r>
            <w:hyperlink w:history="0" w:anchor="P580" w:tooltip="&lt;5&gt; Указывается норматив утилизации отходов от использования товаров, установленный Правительством Российской Федерации в соответствии с пунктом 2 статьи 24.2 Федерального закона &quot;Об отходах производства или потребления&quot;, и (или) процент массы упаковки, отходы от использования которой подлежат утилизации в размере, установленном частью 5 статьи 7 Федерального закона от 4 августа 2023 г. N 451-ФЗ &quot;О внесении изменений в Федеральный закон &quot;Об отходах производства или потребления&quot; и отдельные законодательны...">
              <w:r>
                <w:rPr>
                  <w:sz w:val="24"/>
                  <w:color w:val="0000ff"/>
                </w:rPr>
                <w:t xml:space="preserve">&lt;5&gt;</w:t>
              </w:r>
            </w:hyperlink>
          </w:p>
        </w:tc>
        <w:tc>
          <w:tcPr>
            <w:tcW w:w="1065" w:type="dxa"/>
          </w:tcPr>
          <w:p>
            <w:pPr>
              <w:pStyle w:val="0"/>
              <w:jc w:val="center"/>
            </w:pPr>
            <w:r>
              <w:rPr>
                <w:sz w:val="24"/>
              </w:rPr>
              <w:t xml:space="preserve">Масса отходов, подлежащих утилизации (М</w:t>
            </w:r>
            <w:r>
              <w:rPr>
                <w:sz w:val="24"/>
                <w:vertAlign w:val="subscript"/>
              </w:rPr>
              <w:t xml:space="preserve">эст</w:t>
            </w:r>
            <w:r>
              <w:rPr>
                <w:sz w:val="24"/>
              </w:rPr>
              <w:t xml:space="preserve">), кг </w:t>
            </w:r>
            <w:hyperlink w:history="0" w:anchor="P581" w:tooltip="&lt;6&gt; Масса отходов от использования товаров, подлежащих утилизации, определяется как произведение массы ввезенного товара, упаковки (графа 5) и норматива утилизации (графа 6). Строка заполняется автоматически при использовании интерактивных форм расчета.">
              <w:r>
                <w:rPr>
                  <w:sz w:val="24"/>
                  <w:color w:val="0000ff"/>
                </w:rPr>
                <w:t xml:space="preserve">&lt;6&gt;</w:t>
              </w:r>
            </w:hyperlink>
          </w:p>
        </w:tc>
        <w:tc>
          <w:tcPr>
            <w:tcW w:w="1277" w:type="dxa"/>
          </w:tcPr>
          <w:p>
            <w:pPr>
              <w:pStyle w:val="0"/>
              <w:jc w:val="center"/>
            </w:pPr>
            <w:r>
              <w:rPr>
                <w:sz w:val="24"/>
              </w:rPr>
              <w:t xml:space="preserve">Базовая ставка экологического сбора</w:t>
            </w:r>
          </w:p>
          <w:p>
            <w:pPr>
              <w:pStyle w:val="0"/>
              <w:jc w:val="center"/>
            </w:pPr>
            <w:r>
              <w:rPr>
                <w:sz w:val="24"/>
              </w:rPr>
              <w:t xml:space="preserve">(БСЭС), рублей </w:t>
            </w:r>
            <w:hyperlink w:history="0" w:anchor="P582" w:tooltip="&lt;7&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&lt;7&gt;</w:t>
              </w:r>
            </w:hyperlink>
          </w:p>
        </w:tc>
        <w:tc>
          <w:tcPr>
            <w:tcW w:w="1168" w:type="dxa"/>
          </w:tcPr>
          <w:p>
            <w:pPr>
              <w:pStyle w:val="0"/>
              <w:jc w:val="center"/>
            </w:pPr>
            <w:r>
              <w:rPr>
                <w:sz w:val="24"/>
              </w:rPr>
              <w:t xml:space="preserve">Значение коэффициента</w:t>
            </w:r>
          </w:p>
          <w:p>
            <w:pPr>
              <w:pStyle w:val="0"/>
              <w:jc w:val="center"/>
            </w:pPr>
            <w:r>
              <w:rPr>
                <w:sz w:val="24"/>
              </w:rPr>
              <w:t xml:space="preserve">(КЭ) </w:t>
            </w:r>
            <w:hyperlink w:history="0" w:anchor="P583" w:tooltip="&lt;8&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
              <w:r>
                <w:rPr>
                  <w:sz w:val="24"/>
                  <w:color w:val="0000ff"/>
                </w:rPr>
                <w:t xml:space="preserve">&lt;8&gt;</w:t>
              </w:r>
            </w:hyperlink>
          </w:p>
        </w:tc>
        <w:tc>
          <w:tcPr>
            <w:tcW w:w="1095" w:type="dxa"/>
          </w:tcPr>
          <w:p>
            <w:pPr>
              <w:pStyle w:val="0"/>
              <w:jc w:val="center"/>
            </w:pPr>
            <w:r>
              <w:rPr>
                <w:sz w:val="24"/>
              </w:rPr>
              <w:t xml:space="preserve">Ставка экологического сбора с учетом коэффициента</w:t>
            </w:r>
          </w:p>
          <w:p>
            <w:pPr>
              <w:pStyle w:val="0"/>
              <w:jc w:val="center"/>
            </w:pPr>
            <w:r>
              <w:rPr>
                <w:sz w:val="24"/>
              </w:rPr>
              <w:t xml:space="preserve">(СЭС), рублей </w:t>
            </w:r>
            <w:hyperlink w:history="0" w:anchor="P584" w:tooltip="&lt;9&gt; Указывается значение ставки экологического сбора (СЭС), определяемое как произведение значений БСЭС (графа 8) и КЭ (графа 9). Строка заполняется автоматически при использовании интерактивных форм отчетности электронного сервиса &quot;личный кабинет&quot;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quot;Единый портал государственных и муниципальных услуг (функций)&quot;, или электронного сервиса, представленного ...">
              <w:r>
                <w:rPr>
                  <w:sz w:val="24"/>
                  <w:color w:val="0000ff"/>
                </w:rPr>
                <w:t xml:space="preserve">&lt;9&gt;</w:t>
              </w:r>
            </w:hyperlink>
          </w:p>
        </w:tc>
        <w:tc>
          <w:tcPr>
            <w:tcW w:w="1065" w:type="dxa"/>
          </w:tcPr>
          <w:p>
            <w:pPr>
              <w:pStyle w:val="0"/>
              <w:jc w:val="center"/>
            </w:pPr>
            <w:r>
              <w:rPr>
                <w:sz w:val="24"/>
              </w:rPr>
              <w:t xml:space="preserve">Сумма экологического сбора, подлежащая уплате, рублей </w:t>
            </w:r>
            <w:hyperlink w:history="0" w:anchor="P585" w:tooltip="&lt;10&gt; Указывается сумма подлежащего уплате экологического сбора, определяемая как произведение значений СЭС (графа 10) и Мэст (графа 7), деленное на 1000. Строка заполняется автоматически при использовании интерактивных форм отчетности.">
              <w:r>
                <w:rPr>
                  <w:sz w:val="24"/>
                  <w:color w:val="0000ff"/>
                </w:rPr>
                <w:t xml:space="preserve">&lt;10&gt;</w:t>
              </w:r>
            </w:hyperlink>
          </w:p>
        </w:tc>
        <w:tc>
          <w:tcPr>
            <w:tcW w:w="720" w:type="dxa"/>
          </w:tcPr>
          <w:p>
            <w:pPr>
              <w:pStyle w:val="0"/>
              <w:jc w:val="center"/>
            </w:pPr>
            <w:r>
              <w:rPr>
                <w:sz w:val="24"/>
              </w:rPr>
              <w:t xml:space="preserve">Примечание </w:t>
            </w:r>
            <w:hyperlink w:history="0" w:anchor="P586" w:tooltip="&lt;1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&lt;11&gt;</w:t>
              </w:r>
            </w:hyperlink>
          </w:p>
        </w:tc>
      </w:tr>
      <w:tr>
        <w:tc>
          <w:tcPr>
            <w:tcW w:w="446" w:type="dxa"/>
          </w:tcPr>
          <w:p>
            <w:pPr>
              <w:pStyle w:val="0"/>
              <w:jc w:val="center"/>
            </w:pPr>
            <w:r>
              <w:rPr>
                <w:sz w:val="24"/>
              </w:rPr>
              <w:t xml:space="preserve">1</w:t>
            </w:r>
          </w:p>
        </w:tc>
        <w:tc>
          <w:tcPr>
            <w:tcW w:w="763" w:type="dxa"/>
          </w:tcPr>
          <w:p>
            <w:pPr>
              <w:pStyle w:val="0"/>
              <w:jc w:val="center"/>
            </w:pPr>
            <w:r>
              <w:rPr>
                <w:sz w:val="24"/>
              </w:rPr>
              <w:t xml:space="preserve">2</w:t>
            </w:r>
          </w:p>
        </w:tc>
        <w:tc>
          <w:tcPr>
            <w:tcW w:w="2170" w:type="dxa"/>
          </w:tcPr>
          <w:p>
            <w:pPr>
              <w:pStyle w:val="0"/>
              <w:jc w:val="center"/>
            </w:pPr>
            <w:r>
              <w:rPr>
                <w:sz w:val="24"/>
              </w:rPr>
              <w:t xml:space="preserve">3</w:t>
            </w:r>
          </w:p>
        </w:tc>
        <w:tc>
          <w:tcPr>
            <w:tcW w:w="1848" w:type="dxa"/>
          </w:tcPr>
          <w:p>
            <w:pPr>
              <w:pStyle w:val="0"/>
              <w:jc w:val="center"/>
            </w:pPr>
            <w:r>
              <w:rPr>
                <w:sz w:val="24"/>
              </w:rPr>
              <w:t xml:space="preserve">4</w:t>
            </w:r>
          </w:p>
        </w:tc>
        <w:tc>
          <w:tcPr>
            <w:tcW w:w="994" w:type="dxa"/>
          </w:tcPr>
          <w:bookmarkStart w:id="472" w:name="P472"/>
          <w:bookmarkEnd w:id="472"/>
          <w:p>
            <w:pPr>
              <w:pStyle w:val="0"/>
              <w:jc w:val="center"/>
            </w:pPr>
            <w:r>
              <w:rPr>
                <w:sz w:val="24"/>
              </w:rPr>
              <w:t xml:space="preserve">5</w:t>
            </w:r>
          </w:p>
        </w:tc>
        <w:tc>
          <w:tcPr>
            <w:tcW w:w="979" w:type="dxa"/>
          </w:tcPr>
          <w:bookmarkStart w:id="473" w:name="P473"/>
          <w:bookmarkEnd w:id="473"/>
          <w:p>
            <w:pPr>
              <w:pStyle w:val="0"/>
              <w:jc w:val="center"/>
            </w:pPr>
            <w:r>
              <w:rPr>
                <w:sz w:val="24"/>
              </w:rPr>
              <w:t xml:space="preserve">6</w:t>
            </w:r>
          </w:p>
        </w:tc>
        <w:tc>
          <w:tcPr>
            <w:tcW w:w="1065" w:type="dxa"/>
          </w:tcPr>
          <w:bookmarkStart w:id="474" w:name="P474"/>
          <w:bookmarkEnd w:id="474"/>
          <w:p>
            <w:pPr>
              <w:pStyle w:val="0"/>
              <w:jc w:val="center"/>
            </w:pPr>
            <w:r>
              <w:rPr>
                <w:sz w:val="24"/>
              </w:rPr>
              <w:t xml:space="preserve">7</w:t>
            </w:r>
          </w:p>
        </w:tc>
        <w:tc>
          <w:tcPr>
            <w:tcW w:w="1277" w:type="dxa"/>
          </w:tcPr>
          <w:bookmarkStart w:id="475" w:name="P475"/>
          <w:bookmarkEnd w:id="475"/>
          <w:p>
            <w:pPr>
              <w:pStyle w:val="0"/>
              <w:jc w:val="center"/>
            </w:pPr>
            <w:r>
              <w:rPr>
                <w:sz w:val="24"/>
              </w:rPr>
              <w:t xml:space="preserve">8</w:t>
            </w:r>
          </w:p>
        </w:tc>
        <w:tc>
          <w:tcPr>
            <w:tcW w:w="1168" w:type="dxa"/>
          </w:tcPr>
          <w:bookmarkStart w:id="476" w:name="P476"/>
          <w:bookmarkEnd w:id="476"/>
          <w:p>
            <w:pPr>
              <w:pStyle w:val="0"/>
              <w:jc w:val="center"/>
            </w:pPr>
            <w:r>
              <w:rPr>
                <w:sz w:val="24"/>
              </w:rPr>
              <w:t xml:space="preserve">9</w:t>
            </w:r>
          </w:p>
        </w:tc>
        <w:tc>
          <w:tcPr>
            <w:tcW w:w="1095" w:type="dxa"/>
          </w:tcPr>
          <w:bookmarkStart w:id="477" w:name="P477"/>
          <w:bookmarkEnd w:id="477"/>
          <w:p>
            <w:pPr>
              <w:pStyle w:val="0"/>
              <w:jc w:val="center"/>
            </w:pPr>
            <w:r>
              <w:rPr>
                <w:sz w:val="24"/>
              </w:rPr>
              <w:t xml:space="preserve">10</w:t>
            </w:r>
          </w:p>
        </w:tc>
        <w:tc>
          <w:tcPr>
            <w:tcW w:w="1065" w:type="dxa"/>
          </w:tcPr>
          <w:bookmarkStart w:id="478" w:name="P478"/>
          <w:bookmarkEnd w:id="478"/>
          <w:p>
            <w:pPr>
              <w:pStyle w:val="0"/>
              <w:jc w:val="center"/>
            </w:pPr>
            <w:r>
              <w:rPr>
                <w:sz w:val="24"/>
              </w:rPr>
              <w:t xml:space="preserve">11</w:t>
            </w:r>
          </w:p>
        </w:tc>
        <w:tc>
          <w:tcPr>
            <w:tcW w:w="720" w:type="dxa"/>
          </w:tcPr>
          <w:p>
            <w:pPr>
              <w:pStyle w:val="0"/>
              <w:jc w:val="center"/>
            </w:pPr>
            <w:r>
              <w:rPr>
                <w:sz w:val="24"/>
              </w:rPr>
              <w:t xml:space="preserve">12</w:t>
            </w:r>
          </w:p>
        </w:tc>
      </w:tr>
      <w:tr>
        <w:tc>
          <w:tcPr>
            <w:gridSpan w:val="12"/>
            <w:tcW w:w="13590" w:type="dxa"/>
            <w:vAlign w:val="bottom"/>
          </w:tcPr>
          <w:p>
            <w:pPr>
              <w:pStyle w:val="0"/>
              <w:jc w:val="center"/>
            </w:pPr>
            <w:r>
              <w:rPr>
                <w:sz w:val="24"/>
              </w:rPr>
              <w:t xml:space="preserve">группа N</w:t>
            </w:r>
          </w:p>
        </w:tc>
      </w:tr>
      <w:tr>
        <w:tc>
          <w:tcPr>
            <w:tcW w:w="446" w:type="dxa"/>
          </w:tcPr>
          <w:p>
            <w:pPr>
              <w:pStyle w:val="0"/>
              <w:jc w:val="center"/>
            </w:pPr>
            <w:r>
              <w:rPr>
                <w:sz w:val="24"/>
              </w:rPr>
            </w:r>
          </w:p>
        </w:tc>
        <w:tc>
          <w:tcPr>
            <w:tcW w:w="763" w:type="dxa"/>
          </w:tcPr>
          <w:p>
            <w:pPr>
              <w:pStyle w:val="0"/>
              <w:jc w:val="center"/>
            </w:pPr>
            <w:r>
              <w:rPr>
                <w:sz w:val="24"/>
              </w:rPr>
            </w:r>
          </w:p>
        </w:tc>
        <w:tc>
          <w:tcPr>
            <w:tcW w:w="2170" w:type="dxa"/>
          </w:tcPr>
          <w:p>
            <w:pPr>
              <w:pStyle w:val="0"/>
              <w:jc w:val="center"/>
            </w:pPr>
            <w:r>
              <w:rPr>
                <w:sz w:val="24"/>
              </w:rPr>
            </w:r>
          </w:p>
        </w:tc>
        <w:tc>
          <w:tcPr>
            <w:tcW w:w="1848" w:type="dxa"/>
          </w:tcPr>
          <w:p>
            <w:pPr>
              <w:pStyle w:val="0"/>
              <w:jc w:val="center"/>
            </w:pPr>
            <w:r>
              <w:rPr>
                <w:sz w:val="24"/>
              </w:rPr>
            </w:r>
          </w:p>
        </w:tc>
        <w:tc>
          <w:tcPr>
            <w:tcW w:w="994" w:type="dxa"/>
          </w:tcPr>
          <w:p>
            <w:pPr>
              <w:pStyle w:val="0"/>
              <w:jc w:val="center"/>
            </w:pPr>
            <w:r>
              <w:rPr>
                <w:sz w:val="24"/>
              </w:rPr>
            </w:r>
          </w:p>
        </w:tc>
        <w:tc>
          <w:tcPr>
            <w:tcW w:w="979" w:type="dxa"/>
          </w:tcPr>
          <w:p>
            <w:pPr>
              <w:pStyle w:val="0"/>
              <w:jc w:val="center"/>
            </w:pPr>
            <w:r>
              <w:rPr>
                <w:sz w:val="24"/>
              </w:rPr>
            </w:r>
          </w:p>
        </w:tc>
        <w:tc>
          <w:tcPr>
            <w:tcW w:w="1065" w:type="dxa"/>
          </w:tcPr>
          <w:p>
            <w:pPr>
              <w:pStyle w:val="0"/>
              <w:jc w:val="center"/>
            </w:pPr>
            <w:r>
              <w:rPr>
                <w:sz w:val="24"/>
              </w:rPr>
            </w:r>
          </w:p>
        </w:tc>
        <w:tc>
          <w:tcPr>
            <w:tcW w:w="1277" w:type="dxa"/>
          </w:tcPr>
          <w:p>
            <w:pPr>
              <w:pStyle w:val="0"/>
              <w:jc w:val="center"/>
            </w:pPr>
            <w:r>
              <w:rPr>
                <w:sz w:val="24"/>
              </w:rPr>
            </w:r>
          </w:p>
        </w:tc>
        <w:tc>
          <w:tcPr>
            <w:tcW w:w="1168" w:type="dxa"/>
          </w:tcPr>
          <w:p>
            <w:pPr>
              <w:pStyle w:val="0"/>
              <w:jc w:val="center"/>
            </w:pPr>
            <w:r>
              <w:rPr>
                <w:sz w:val="24"/>
              </w:rPr>
            </w:r>
          </w:p>
        </w:tc>
        <w:tc>
          <w:tcPr>
            <w:tcW w:w="1095" w:type="dxa"/>
          </w:tcPr>
          <w:p>
            <w:pPr>
              <w:pStyle w:val="0"/>
              <w:jc w:val="center"/>
            </w:pPr>
            <w:r>
              <w:rPr>
                <w:sz w:val="24"/>
              </w:rPr>
            </w:r>
          </w:p>
        </w:tc>
        <w:tc>
          <w:tcPr>
            <w:tcW w:w="1065" w:type="dxa"/>
          </w:tcPr>
          <w:p>
            <w:pPr>
              <w:pStyle w:val="0"/>
              <w:jc w:val="center"/>
            </w:pPr>
            <w:r>
              <w:rPr>
                <w:sz w:val="24"/>
              </w:rPr>
            </w:r>
          </w:p>
        </w:tc>
        <w:tc>
          <w:tcPr>
            <w:tcW w:w="720" w:type="dxa"/>
          </w:tcPr>
          <w:p>
            <w:pPr>
              <w:pStyle w:val="0"/>
              <w:jc w:val="center"/>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8674"/>
        <w:gridCol w:w="4876"/>
      </w:tblGrid>
      <w:tr>
        <w:tc>
          <w:tcPr>
            <w:tcW w:w="8674" w:type="dxa"/>
            <w:vAlign w:val="bottom"/>
            <w:tcBorders>
              <w:top w:val="nil"/>
              <w:left w:val="nil"/>
              <w:bottom w:val="nil"/>
              <w:right w:val="nil"/>
            </w:tcBorders>
          </w:tcPr>
          <w:p>
            <w:pPr>
              <w:pStyle w:val="0"/>
              <w:ind w:firstLine="283"/>
              <w:jc w:val="both"/>
            </w:pPr>
            <w:r>
              <w:rPr>
                <w:sz w:val="24"/>
              </w:rPr>
              <w:t xml:space="preserve">1.1. Итоговая сумма экологического сбора, подлежащая уплате, рублей </w:t>
            </w:r>
            <w:hyperlink w:history="0" w:anchor="P588" w:tooltip="&lt;12&gt; Указывается значение, определяемое как сумма всех сумм экологического сбора, подлежащая уплате (строки графы 11). Строка заполняется автоматически при использовании интерактивных форм отчетности.">
              <w:r>
                <w:rPr>
                  <w:sz w:val="24"/>
                  <w:color w:val="0000ff"/>
                </w:rPr>
                <w:t xml:space="preserve">&lt;12&gt;</w:t>
              </w:r>
            </w:hyperlink>
          </w:p>
        </w:tc>
        <w:tc>
          <w:tcPr>
            <w:tcW w:w="4876" w:type="dxa"/>
            <w:tcBorders>
              <w:top w:val="nil"/>
              <w:left w:val="nil"/>
              <w:bottom w:val="single" w:sz="4"/>
              <w:right w:val="nil"/>
            </w:tcBorders>
          </w:tcPr>
          <w:p>
            <w:pPr>
              <w:pStyle w:val="0"/>
              <w:jc w:val="both"/>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3"/>
              <w:jc w:val="center"/>
            </w:pPr>
            <w:r>
              <w:rPr>
                <w:sz w:val="24"/>
              </w:rPr>
              <w:t xml:space="preserve">2. Расчет суммы экологического сбора в отношении упаковки товаров, ввезенных на территорию Российской Федерации из государств, не являющихся членами Евразийского экономического союза </w:t>
            </w:r>
            <w:hyperlink w:history="0" w:anchor="P589" w:tooltip="&lt;13&gt; При заполнении таблицы 2 в начале указывается номер и наименование группы упаковки товаров в соответствии с разделом III перечней товаров, упаковки, а затем построчно указываются позиции по упаковке товара -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
              <w:r>
                <w:rPr>
                  <w:sz w:val="24"/>
                  <w:color w:val="0000ff"/>
                </w:rPr>
                <w:t xml:space="preserve">&lt;13&gt;</w:t>
              </w:r>
            </w:hyperlink>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499" w:name="P499"/>
          <w:bookmarkEnd w:id="499"/>
          <w:p>
            <w:pPr>
              <w:pStyle w:val="0"/>
              <w:outlineLvl w:val="4"/>
              <w:jc w:val="right"/>
            </w:pPr>
            <w:r>
              <w:rPr>
                <w:sz w:val="24"/>
              </w:rPr>
              <w:t xml:space="preserve">Таблица 2</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735"/>
        <w:gridCol w:w="1574"/>
        <w:gridCol w:w="1363"/>
        <w:gridCol w:w="1502"/>
        <w:gridCol w:w="1363"/>
        <w:gridCol w:w="816"/>
        <w:gridCol w:w="782"/>
        <w:gridCol w:w="790"/>
        <w:gridCol w:w="900"/>
        <w:gridCol w:w="816"/>
        <w:gridCol w:w="924"/>
        <w:gridCol w:w="795"/>
        <w:gridCol w:w="690"/>
      </w:tblGrid>
      <w:tr>
        <w:tc>
          <w:tcPr>
            <w:tcW w:w="540" w:type="dxa"/>
          </w:tcPr>
          <w:p>
            <w:pPr>
              <w:pStyle w:val="0"/>
              <w:jc w:val="center"/>
            </w:pPr>
            <w:r>
              <w:rPr>
                <w:sz w:val="24"/>
              </w:rPr>
              <w:t xml:space="preserve">N п/п</w:t>
            </w:r>
          </w:p>
        </w:tc>
        <w:tc>
          <w:tcPr>
            <w:tcW w:w="735" w:type="dxa"/>
          </w:tcPr>
          <w:p>
            <w:pPr>
              <w:pStyle w:val="0"/>
              <w:jc w:val="center"/>
            </w:pPr>
            <w:r>
              <w:rPr>
                <w:sz w:val="24"/>
              </w:rPr>
              <w:t xml:space="preserve">Наименование упаковки </w:t>
            </w:r>
            <w:hyperlink w:history="0" w:anchor="P589" w:tooltip="&lt;13&gt; При заполнении таблицы 2 в начале указывается номер и наименование группы упаковки товаров в соответствии с разделом III перечней товаров, упаковки, а затем построчно указываются позиции по упаковке товара -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
              <w:r>
                <w:rPr>
                  <w:sz w:val="24"/>
                  <w:color w:val="0000ff"/>
                </w:rPr>
                <w:t xml:space="preserve">&lt;13&gt;</w:t>
              </w:r>
            </w:hyperlink>
          </w:p>
        </w:tc>
        <w:tc>
          <w:tcPr>
            <w:tcW w:w="1574" w:type="dxa"/>
          </w:tcPr>
          <w:p>
            <w:pPr>
              <w:pStyle w:val="0"/>
              <w:jc w:val="center"/>
            </w:pPr>
            <w:r>
              <w:rPr>
                <w:sz w:val="24"/>
              </w:rPr>
              <w:t xml:space="preserve">Буквенное обозначение с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590" w:tooltip="&lt;14&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&lt;14&gt;</w:t>
              </w:r>
            </w:hyperlink>
          </w:p>
        </w:tc>
        <w:tc>
          <w:tcPr>
            <w:tcW w:w="1363" w:type="dxa"/>
          </w:tcPr>
          <w:p>
            <w:pPr>
              <w:pStyle w:val="0"/>
              <w:jc w:val="center"/>
            </w:pPr>
            <w:r>
              <w:rPr>
                <w:sz w:val="24"/>
              </w:rPr>
              <w:t xml:space="preserve">Цифровой код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590" w:tooltip="&lt;14&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&lt;14&gt;</w:t>
              </w:r>
            </w:hyperlink>
          </w:p>
        </w:tc>
        <w:tc>
          <w:tcPr>
            <w:tcW w:w="1502" w:type="dxa"/>
          </w:tcPr>
          <w:p>
            <w:pPr>
              <w:pStyle w:val="0"/>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590" w:tooltip="&lt;14&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&lt;14&gt;</w:t>
              </w:r>
            </w:hyperlink>
          </w:p>
        </w:tc>
        <w:tc>
          <w:tcPr>
            <w:tcW w:w="1363" w:type="dxa"/>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590" w:tooltip="&lt;14&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&lt;14&gt;</w:t>
              </w:r>
            </w:hyperlink>
          </w:p>
        </w:tc>
        <w:tc>
          <w:tcPr>
            <w:tcW w:w="816" w:type="dxa"/>
          </w:tcPr>
          <w:p>
            <w:pPr>
              <w:pStyle w:val="0"/>
              <w:jc w:val="center"/>
            </w:pPr>
            <w:r>
              <w:rPr>
                <w:sz w:val="24"/>
              </w:rPr>
              <w:t xml:space="preserve">Масса ввезенной упаковки (М), кг </w:t>
            </w:r>
            <w:hyperlink w:history="0" w:anchor="P591" w:tooltip="&lt;15&gt; Масса указывается для каждого наименования упаковки, в которую упакован ввезенный товар, в килограммах, округленных до целого числа по математическим правилам округления, в отношении которой наступили события, предусмотренные пунктом 2 статьи 24.2-1 Федерального закона &quot;Об отходах производства и потребления&quot;.">
              <w:r>
                <w:rPr>
                  <w:sz w:val="24"/>
                  <w:color w:val="0000ff"/>
                </w:rPr>
                <w:t xml:space="preserve">&lt;15&gt;</w:t>
              </w:r>
            </w:hyperlink>
          </w:p>
        </w:tc>
        <w:tc>
          <w:tcPr>
            <w:tcW w:w="782" w:type="dxa"/>
          </w:tcPr>
          <w:p>
            <w:pPr>
              <w:pStyle w:val="0"/>
              <w:jc w:val="center"/>
            </w:pPr>
            <w:r>
              <w:rPr>
                <w:sz w:val="24"/>
              </w:rPr>
              <w:t xml:space="preserve">Норматив утилизации (N) </w:t>
            </w:r>
            <w:hyperlink w:history="0" w:anchor="P580" w:tooltip="&lt;5&gt; Указывается норматив утилизации отходов от использования товаров, установленный Правительством Российской Федерации в соответствии с пунктом 2 статьи 24.2 Федерального закона &quot;Об отходах производства или потребления&quot;, и (или) процент массы упаковки, отходы от использования которой подлежат утилизации в размере, установленном частью 5 статьи 7 Федерального закона от 4 августа 2023 г. N 451-ФЗ &quot;О внесении изменений в Федеральный закон &quot;Об отходах производства или потребления&quot; и отдельные законодательны...">
              <w:r>
                <w:rPr>
                  <w:sz w:val="24"/>
                  <w:color w:val="0000ff"/>
                </w:rPr>
                <w:t xml:space="preserve">&lt;5&gt;</w:t>
              </w:r>
            </w:hyperlink>
          </w:p>
        </w:tc>
        <w:tc>
          <w:tcPr>
            <w:tcW w:w="790" w:type="dxa"/>
          </w:tcPr>
          <w:p>
            <w:pPr>
              <w:pStyle w:val="0"/>
              <w:jc w:val="center"/>
            </w:pPr>
            <w:r>
              <w:rPr>
                <w:sz w:val="24"/>
              </w:rPr>
              <w:t xml:space="preserve">Масса отходов, подлежащих утилизации</w:t>
            </w:r>
          </w:p>
          <w:p>
            <w:pPr>
              <w:pStyle w:val="0"/>
              <w:jc w:val="center"/>
            </w:pPr>
            <w:r>
              <w:rPr>
                <w:sz w:val="24"/>
              </w:rPr>
              <w:t xml:space="preserve">(М</w:t>
            </w:r>
            <w:r>
              <w:rPr>
                <w:sz w:val="24"/>
                <w:vertAlign w:val="subscript"/>
              </w:rPr>
              <w:t xml:space="preserve">эст</w:t>
            </w:r>
            <w:r>
              <w:rPr>
                <w:sz w:val="24"/>
              </w:rPr>
              <w:t xml:space="preserve">), кг </w:t>
            </w:r>
            <w:hyperlink w:history="0" w:anchor="P592" w:tooltip="&lt;16&gt; Масса отходов, подлежащих утилизации, определяется как произведение массы всей упаковки, в которую упакован ввезенный товар (графа 7), и норматива утилизации (графа 8). Строка заполняется автоматически при использовании интерактивных форм расчета.">
              <w:r>
                <w:rPr>
                  <w:sz w:val="24"/>
                  <w:color w:val="0000ff"/>
                </w:rPr>
                <w:t xml:space="preserve">&lt;16&gt;</w:t>
              </w:r>
            </w:hyperlink>
          </w:p>
        </w:tc>
        <w:tc>
          <w:tcPr>
            <w:tcW w:w="900" w:type="dxa"/>
          </w:tcPr>
          <w:p>
            <w:pPr>
              <w:pStyle w:val="0"/>
              <w:jc w:val="center"/>
            </w:pPr>
            <w:r>
              <w:rPr>
                <w:sz w:val="24"/>
              </w:rPr>
              <w:t xml:space="preserve">Базовая ставка экологического сбора</w:t>
            </w:r>
          </w:p>
          <w:p>
            <w:pPr>
              <w:pStyle w:val="0"/>
              <w:jc w:val="center"/>
            </w:pPr>
            <w:r>
              <w:rPr>
                <w:sz w:val="24"/>
              </w:rPr>
              <w:t xml:space="preserve">(БСЭС), рублей </w:t>
            </w:r>
            <w:hyperlink w:history="0" w:anchor="P582" w:tooltip="&lt;7&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&lt;7&gt;</w:t>
              </w:r>
            </w:hyperlink>
          </w:p>
        </w:tc>
        <w:tc>
          <w:tcPr>
            <w:tcW w:w="816" w:type="dxa"/>
          </w:tcPr>
          <w:p>
            <w:pPr>
              <w:pStyle w:val="0"/>
              <w:jc w:val="center"/>
            </w:pPr>
            <w:r>
              <w:rPr>
                <w:sz w:val="24"/>
              </w:rPr>
              <w:t xml:space="preserve">Значение коэффициента</w:t>
            </w:r>
          </w:p>
          <w:p>
            <w:pPr>
              <w:pStyle w:val="0"/>
              <w:jc w:val="center"/>
            </w:pPr>
            <w:r>
              <w:rPr>
                <w:sz w:val="24"/>
              </w:rPr>
              <w:t xml:space="preserve">(КЭ) </w:t>
            </w:r>
            <w:hyperlink w:history="0" w:anchor="P583" w:tooltip="&lt;8&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
              <w:r>
                <w:rPr>
                  <w:sz w:val="24"/>
                  <w:color w:val="0000ff"/>
                </w:rPr>
                <w:t xml:space="preserve">&lt;8&gt;</w:t>
              </w:r>
            </w:hyperlink>
          </w:p>
        </w:tc>
        <w:tc>
          <w:tcPr>
            <w:tcW w:w="924" w:type="dxa"/>
          </w:tcPr>
          <w:p>
            <w:pPr>
              <w:pStyle w:val="0"/>
              <w:jc w:val="center"/>
            </w:pPr>
            <w:r>
              <w:rPr>
                <w:sz w:val="24"/>
              </w:rPr>
              <w:t xml:space="preserve">Ставка экологического сбора с учетом коэффициента</w:t>
            </w:r>
          </w:p>
          <w:p>
            <w:pPr>
              <w:pStyle w:val="0"/>
              <w:jc w:val="center"/>
            </w:pPr>
            <w:r>
              <w:rPr>
                <w:sz w:val="24"/>
              </w:rPr>
              <w:t xml:space="preserve">(СЭС), рублей </w:t>
            </w:r>
            <w:hyperlink w:history="0" w:anchor="P593" w:tooltip="&lt;17&gt; Указывается значение ставки экологического сбора (СЭС), определяемое как произведение значений БСЭС (графа 10) и КЭ (графа 11). Строка заполняется автоматически при использовании интерактивных форм отчетности.">
              <w:r>
                <w:rPr>
                  <w:sz w:val="24"/>
                  <w:color w:val="0000ff"/>
                </w:rPr>
                <w:t xml:space="preserve">&lt;17&gt;</w:t>
              </w:r>
            </w:hyperlink>
          </w:p>
        </w:tc>
        <w:tc>
          <w:tcPr>
            <w:tcW w:w="795" w:type="dxa"/>
          </w:tcPr>
          <w:p>
            <w:pPr>
              <w:pStyle w:val="0"/>
              <w:jc w:val="center"/>
            </w:pPr>
            <w:r>
              <w:rPr>
                <w:sz w:val="24"/>
              </w:rPr>
              <w:t xml:space="preserve">Сумма экологического сбора, подлежащая уплате, рублей </w:t>
            </w:r>
            <w:hyperlink w:history="0" w:anchor="P594" w:tooltip="&lt;18&gt; Указывается сумма подлежащего уплате экологического сбора, определяемая как произведение значений СЭС (графа 12) и Мэст (графа 9), деленное на 1000. Строка заполняется автоматически при использовании интерактивных форм отчетности.">
              <w:r>
                <w:rPr>
                  <w:sz w:val="24"/>
                  <w:color w:val="0000ff"/>
                </w:rPr>
                <w:t xml:space="preserve">&lt;18&gt;</w:t>
              </w:r>
            </w:hyperlink>
          </w:p>
        </w:tc>
        <w:tc>
          <w:tcPr>
            <w:tcW w:w="690" w:type="dxa"/>
          </w:tcPr>
          <w:p>
            <w:pPr>
              <w:pStyle w:val="0"/>
              <w:jc w:val="center"/>
            </w:pPr>
            <w:r>
              <w:rPr>
                <w:sz w:val="24"/>
              </w:rPr>
              <w:t xml:space="preserve">Примечание </w:t>
            </w:r>
            <w:hyperlink w:history="0" w:anchor="P586" w:tooltip="&lt;1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&lt;11&gt;</w:t>
              </w:r>
            </w:hyperlink>
          </w:p>
        </w:tc>
      </w:tr>
      <w:tr>
        <w:tc>
          <w:tcPr>
            <w:tcW w:w="540" w:type="dxa"/>
          </w:tcPr>
          <w:p>
            <w:pPr>
              <w:pStyle w:val="0"/>
              <w:jc w:val="center"/>
            </w:pPr>
            <w:r>
              <w:rPr>
                <w:sz w:val="24"/>
              </w:rPr>
              <w:t xml:space="preserve">1</w:t>
            </w:r>
          </w:p>
        </w:tc>
        <w:tc>
          <w:tcPr>
            <w:tcW w:w="735" w:type="dxa"/>
          </w:tcPr>
          <w:p>
            <w:pPr>
              <w:pStyle w:val="0"/>
              <w:jc w:val="center"/>
            </w:pPr>
            <w:r>
              <w:rPr>
                <w:sz w:val="24"/>
              </w:rPr>
              <w:t xml:space="preserve">2</w:t>
            </w:r>
          </w:p>
        </w:tc>
        <w:tc>
          <w:tcPr>
            <w:tcW w:w="1574" w:type="dxa"/>
          </w:tcPr>
          <w:bookmarkStart w:id="525" w:name="P525"/>
          <w:bookmarkEnd w:id="525"/>
          <w:p>
            <w:pPr>
              <w:pStyle w:val="0"/>
              <w:jc w:val="center"/>
            </w:pPr>
            <w:r>
              <w:rPr>
                <w:sz w:val="24"/>
              </w:rPr>
              <w:t xml:space="preserve">3</w:t>
            </w:r>
          </w:p>
        </w:tc>
        <w:tc>
          <w:tcPr>
            <w:tcW w:w="1363" w:type="dxa"/>
          </w:tcPr>
          <w:p>
            <w:pPr>
              <w:pStyle w:val="0"/>
              <w:jc w:val="center"/>
            </w:pPr>
            <w:r>
              <w:rPr>
                <w:sz w:val="24"/>
              </w:rPr>
              <w:t xml:space="preserve">4</w:t>
            </w:r>
          </w:p>
        </w:tc>
        <w:tc>
          <w:tcPr>
            <w:tcW w:w="1502" w:type="dxa"/>
          </w:tcPr>
          <w:p>
            <w:pPr>
              <w:pStyle w:val="0"/>
              <w:jc w:val="center"/>
            </w:pPr>
            <w:r>
              <w:rPr>
                <w:sz w:val="24"/>
              </w:rPr>
              <w:t xml:space="preserve">5</w:t>
            </w:r>
          </w:p>
        </w:tc>
        <w:tc>
          <w:tcPr>
            <w:tcW w:w="1363" w:type="dxa"/>
          </w:tcPr>
          <w:bookmarkStart w:id="528" w:name="P528"/>
          <w:bookmarkEnd w:id="528"/>
          <w:p>
            <w:pPr>
              <w:pStyle w:val="0"/>
              <w:jc w:val="center"/>
            </w:pPr>
            <w:r>
              <w:rPr>
                <w:sz w:val="24"/>
              </w:rPr>
              <w:t xml:space="preserve">6</w:t>
            </w:r>
          </w:p>
        </w:tc>
        <w:tc>
          <w:tcPr>
            <w:tcW w:w="816" w:type="dxa"/>
          </w:tcPr>
          <w:bookmarkStart w:id="529" w:name="P529"/>
          <w:bookmarkEnd w:id="529"/>
          <w:p>
            <w:pPr>
              <w:pStyle w:val="0"/>
              <w:jc w:val="center"/>
            </w:pPr>
            <w:r>
              <w:rPr>
                <w:sz w:val="24"/>
              </w:rPr>
              <w:t xml:space="preserve">7</w:t>
            </w:r>
          </w:p>
        </w:tc>
        <w:tc>
          <w:tcPr>
            <w:tcW w:w="782" w:type="dxa"/>
          </w:tcPr>
          <w:bookmarkStart w:id="530" w:name="P530"/>
          <w:bookmarkEnd w:id="530"/>
          <w:p>
            <w:pPr>
              <w:pStyle w:val="0"/>
              <w:jc w:val="center"/>
            </w:pPr>
            <w:r>
              <w:rPr>
                <w:sz w:val="24"/>
              </w:rPr>
              <w:t xml:space="preserve">8</w:t>
            </w:r>
          </w:p>
        </w:tc>
        <w:tc>
          <w:tcPr>
            <w:tcW w:w="790" w:type="dxa"/>
          </w:tcPr>
          <w:bookmarkStart w:id="531" w:name="P531"/>
          <w:bookmarkEnd w:id="531"/>
          <w:p>
            <w:pPr>
              <w:pStyle w:val="0"/>
              <w:jc w:val="center"/>
            </w:pPr>
            <w:r>
              <w:rPr>
                <w:sz w:val="24"/>
              </w:rPr>
              <w:t xml:space="preserve">9</w:t>
            </w:r>
          </w:p>
        </w:tc>
        <w:tc>
          <w:tcPr>
            <w:tcW w:w="900" w:type="dxa"/>
          </w:tcPr>
          <w:bookmarkStart w:id="532" w:name="P532"/>
          <w:bookmarkEnd w:id="532"/>
          <w:p>
            <w:pPr>
              <w:pStyle w:val="0"/>
              <w:jc w:val="center"/>
            </w:pPr>
            <w:r>
              <w:rPr>
                <w:sz w:val="24"/>
              </w:rPr>
              <w:t xml:space="preserve">10</w:t>
            </w:r>
          </w:p>
        </w:tc>
        <w:tc>
          <w:tcPr>
            <w:tcW w:w="816" w:type="dxa"/>
          </w:tcPr>
          <w:bookmarkStart w:id="533" w:name="P533"/>
          <w:bookmarkEnd w:id="533"/>
          <w:p>
            <w:pPr>
              <w:pStyle w:val="0"/>
              <w:jc w:val="center"/>
            </w:pPr>
            <w:r>
              <w:rPr>
                <w:sz w:val="24"/>
              </w:rPr>
              <w:t xml:space="preserve">11</w:t>
            </w:r>
          </w:p>
        </w:tc>
        <w:tc>
          <w:tcPr>
            <w:tcW w:w="924" w:type="dxa"/>
          </w:tcPr>
          <w:bookmarkStart w:id="534" w:name="P534"/>
          <w:bookmarkEnd w:id="534"/>
          <w:p>
            <w:pPr>
              <w:pStyle w:val="0"/>
              <w:jc w:val="center"/>
            </w:pPr>
            <w:r>
              <w:rPr>
                <w:sz w:val="24"/>
              </w:rPr>
              <w:t xml:space="preserve">12</w:t>
            </w:r>
          </w:p>
        </w:tc>
        <w:tc>
          <w:tcPr>
            <w:tcW w:w="795" w:type="dxa"/>
          </w:tcPr>
          <w:bookmarkStart w:id="535" w:name="P535"/>
          <w:bookmarkEnd w:id="535"/>
          <w:p>
            <w:pPr>
              <w:pStyle w:val="0"/>
              <w:jc w:val="center"/>
            </w:pPr>
            <w:r>
              <w:rPr>
                <w:sz w:val="24"/>
              </w:rPr>
              <w:t xml:space="preserve">13</w:t>
            </w:r>
          </w:p>
        </w:tc>
        <w:tc>
          <w:tcPr>
            <w:tcW w:w="690" w:type="dxa"/>
          </w:tcPr>
          <w:p>
            <w:pPr>
              <w:pStyle w:val="0"/>
              <w:jc w:val="center"/>
            </w:pPr>
            <w:r>
              <w:rPr>
                <w:sz w:val="24"/>
              </w:rPr>
              <w:t xml:space="preserve">14</w:t>
            </w:r>
          </w:p>
        </w:tc>
      </w:tr>
      <w:tr>
        <w:tc>
          <w:tcPr>
            <w:gridSpan w:val="14"/>
            <w:tcW w:w="13590" w:type="dxa"/>
          </w:tcPr>
          <w:p>
            <w:pPr>
              <w:pStyle w:val="0"/>
              <w:jc w:val="center"/>
            </w:pPr>
            <w:r>
              <w:rPr>
                <w:sz w:val="24"/>
              </w:rPr>
              <w:t xml:space="preserve">группа N</w:t>
            </w:r>
          </w:p>
        </w:tc>
      </w:tr>
      <w:tr>
        <w:tc>
          <w:tcPr>
            <w:tcW w:w="540" w:type="dxa"/>
          </w:tcPr>
          <w:p>
            <w:pPr>
              <w:pStyle w:val="0"/>
              <w:jc w:val="center"/>
            </w:pPr>
            <w:r>
              <w:rPr>
                <w:sz w:val="24"/>
              </w:rPr>
            </w:r>
          </w:p>
        </w:tc>
        <w:tc>
          <w:tcPr>
            <w:tcW w:w="735" w:type="dxa"/>
          </w:tcPr>
          <w:p>
            <w:pPr>
              <w:pStyle w:val="0"/>
              <w:jc w:val="center"/>
            </w:pPr>
            <w:r>
              <w:rPr>
                <w:sz w:val="24"/>
              </w:rPr>
            </w:r>
          </w:p>
        </w:tc>
        <w:tc>
          <w:tcPr>
            <w:tcW w:w="1574" w:type="dxa"/>
          </w:tcPr>
          <w:p>
            <w:pPr>
              <w:pStyle w:val="0"/>
              <w:jc w:val="center"/>
            </w:pPr>
            <w:r>
              <w:rPr>
                <w:sz w:val="24"/>
              </w:rPr>
            </w:r>
          </w:p>
        </w:tc>
        <w:tc>
          <w:tcPr>
            <w:tcW w:w="1363" w:type="dxa"/>
          </w:tcPr>
          <w:p>
            <w:pPr>
              <w:pStyle w:val="0"/>
              <w:jc w:val="center"/>
            </w:pPr>
            <w:r>
              <w:rPr>
                <w:sz w:val="24"/>
              </w:rPr>
            </w:r>
          </w:p>
        </w:tc>
        <w:tc>
          <w:tcPr>
            <w:tcW w:w="1502" w:type="dxa"/>
          </w:tcPr>
          <w:p>
            <w:pPr>
              <w:pStyle w:val="0"/>
              <w:jc w:val="center"/>
            </w:pPr>
            <w:r>
              <w:rPr>
                <w:sz w:val="24"/>
              </w:rPr>
            </w:r>
          </w:p>
        </w:tc>
        <w:tc>
          <w:tcPr>
            <w:tcW w:w="1363" w:type="dxa"/>
          </w:tcPr>
          <w:p>
            <w:pPr>
              <w:pStyle w:val="0"/>
              <w:jc w:val="center"/>
            </w:pPr>
            <w:r>
              <w:rPr>
                <w:sz w:val="24"/>
              </w:rPr>
            </w:r>
          </w:p>
        </w:tc>
        <w:tc>
          <w:tcPr>
            <w:tcW w:w="816" w:type="dxa"/>
          </w:tcPr>
          <w:p>
            <w:pPr>
              <w:pStyle w:val="0"/>
              <w:jc w:val="center"/>
            </w:pPr>
            <w:r>
              <w:rPr>
                <w:sz w:val="24"/>
              </w:rPr>
            </w:r>
          </w:p>
        </w:tc>
        <w:tc>
          <w:tcPr>
            <w:tcW w:w="782" w:type="dxa"/>
          </w:tcPr>
          <w:p>
            <w:pPr>
              <w:pStyle w:val="0"/>
              <w:jc w:val="center"/>
            </w:pPr>
            <w:r>
              <w:rPr>
                <w:sz w:val="24"/>
              </w:rPr>
            </w:r>
          </w:p>
        </w:tc>
        <w:tc>
          <w:tcPr>
            <w:tcW w:w="790" w:type="dxa"/>
          </w:tcPr>
          <w:p>
            <w:pPr>
              <w:pStyle w:val="0"/>
              <w:jc w:val="center"/>
            </w:pPr>
            <w:r>
              <w:rPr>
                <w:sz w:val="24"/>
              </w:rPr>
            </w:r>
          </w:p>
        </w:tc>
        <w:tc>
          <w:tcPr>
            <w:tcW w:w="900" w:type="dxa"/>
          </w:tcPr>
          <w:p>
            <w:pPr>
              <w:pStyle w:val="0"/>
              <w:jc w:val="center"/>
            </w:pPr>
            <w:r>
              <w:rPr>
                <w:sz w:val="24"/>
              </w:rPr>
            </w:r>
          </w:p>
        </w:tc>
        <w:tc>
          <w:tcPr>
            <w:tcW w:w="816" w:type="dxa"/>
          </w:tcPr>
          <w:p>
            <w:pPr>
              <w:pStyle w:val="0"/>
              <w:jc w:val="center"/>
            </w:pPr>
            <w:r>
              <w:rPr>
                <w:sz w:val="24"/>
              </w:rPr>
            </w:r>
          </w:p>
        </w:tc>
        <w:tc>
          <w:tcPr>
            <w:tcW w:w="924" w:type="dxa"/>
          </w:tcPr>
          <w:p>
            <w:pPr>
              <w:pStyle w:val="0"/>
              <w:jc w:val="center"/>
            </w:pPr>
            <w:r>
              <w:rPr>
                <w:sz w:val="24"/>
              </w:rPr>
            </w:r>
          </w:p>
        </w:tc>
        <w:tc>
          <w:tcPr>
            <w:tcW w:w="795" w:type="dxa"/>
          </w:tcPr>
          <w:p>
            <w:pPr>
              <w:pStyle w:val="0"/>
              <w:jc w:val="center"/>
            </w:pPr>
            <w:r>
              <w:rPr>
                <w:sz w:val="24"/>
              </w:rPr>
            </w:r>
          </w:p>
        </w:tc>
        <w:tc>
          <w:tcPr>
            <w:tcW w:w="690" w:type="dxa"/>
          </w:tcPr>
          <w:p>
            <w:pPr>
              <w:pStyle w:val="0"/>
              <w:jc w:val="center"/>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8339"/>
        <w:gridCol w:w="5236"/>
      </w:tblGrid>
      <w:tr>
        <w:tc>
          <w:tcPr>
            <w:tcW w:w="8339" w:type="dxa"/>
            <w:vAlign w:val="bottom"/>
            <w:tcBorders>
              <w:top w:val="nil"/>
              <w:left w:val="nil"/>
              <w:bottom w:val="nil"/>
              <w:right w:val="nil"/>
            </w:tcBorders>
          </w:tcPr>
          <w:p>
            <w:pPr>
              <w:pStyle w:val="0"/>
              <w:ind w:firstLine="283"/>
              <w:jc w:val="both"/>
            </w:pPr>
            <w:r>
              <w:rPr>
                <w:sz w:val="24"/>
              </w:rPr>
              <w:t xml:space="preserve">2.1. Итоговая сумма экологического сбора, подлежащая уплате, рублей </w:t>
            </w:r>
            <w:hyperlink w:history="0" w:anchor="P595" w:tooltip="&lt;19&gt; Указывается значение, определяемое как сумма всех сумм экологического сбора, подлежащая уплате (строка графы 13). Строка заполняется автоматически при использовании интерактивных форм отчетности.">
              <w:r>
                <w:rPr>
                  <w:sz w:val="24"/>
                  <w:color w:val="0000ff"/>
                </w:rPr>
                <w:t xml:space="preserve">&lt;19&gt;</w:t>
              </w:r>
            </w:hyperlink>
          </w:p>
        </w:tc>
        <w:tc>
          <w:tcPr>
            <w:tcW w:w="5236" w:type="dxa"/>
            <w:tcBorders>
              <w:top w:val="nil"/>
              <w:left w:val="nil"/>
              <w:bottom w:val="single" w:sz="4"/>
              <w:right w:val="nil"/>
            </w:tcBorders>
          </w:tcPr>
          <w:p>
            <w:pPr>
              <w:pStyle w:val="0"/>
              <w:jc w:val="both"/>
            </w:pPr>
            <w:r>
              <w:rPr>
                <w:sz w:val="24"/>
              </w:rPr>
            </w:r>
          </w:p>
        </w:tc>
      </w:tr>
      <w:tr>
        <w:tc>
          <w:tcPr>
            <w:gridSpan w:val="2"/>
            <w:tcW w:w="13575" w:type="dxa"/>
            <w:tcBorders>
              <w:top w:val="nil"/>
              <w:left w:val="nil"/>
              <w:bottom w:val="nil"/>
              <w:right w:val="nil"/>
            </w:tcBorders>
          </w:tcPr>
          <w:p>
            <w:pPr>
              <w:pStyle w:val="0"/>
              <w:ind w:firstLine="283"/>
              <w:jc w:val="both"/>
            </w:pPr>
            <w:r>
              <w:rPr>
                <w:sz w:val="24"/>
              </w:rPr>
              <w:t xml:space="preserve">К настоящему расчету прилагаются следующие документы:</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83"/>
        <w:gridCol w:w="12692"/>
      </w:tblGrid>
      <w:tr>
        <w:tc>
          <w:tcPr>
            <w:gridSpan w:val="2"/>
            <w:tcW w:w="13575" w:type="dxa"/>
          </w:tcPr>
          <w:p>
            <w:pPr>
              <w:pStyle w:val="0"/>
              <w:jc w:val="center"/>
            </w:pPr>
            <w:r>
              <w:rPr>
                <w:sz w:val="24"/>
              </w:rPr>
              <w:t xml:space="preserve">Наименование прилагаемого документа</w:t>
            </w:r>
          </w:p>
        </w:tc>
      </w:tr>
      <w:tr>
        <w:tc>
          <w:tcPr>
            <w:tcW w:w="883" w:type="dxa"/>
          </w:tcPr>
          <w:p>
            <w:pPr>
              <w:pStyle w:val="0"/>
              <w:jc w:val="center"/>
            </w:pPr>
            <w:r>
              <w:rPr>
                <w:sz w:val="24"/>
              </w:rPr>
              <w:t xml:space="preserve">1.</w:t>
            </w:r>
          </w:p>
        </w:tc>
        <w:tc>
          <w:tcPr>
            <w:tcW w:w="12692" w:type="dxa"/>
          </w:tcPr>
          <w:p>
            <w:pPr>
              <w:pStyle w:val="0"/>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ind w:firstLine="283"/>
              <w:jc w:val="both"/>
            </w:pPr>
            <w:r>
              <w:rPr>
                <w:sz w:val="24"/>
              </w:rPr>
              <w:t xml:space="preserve">Полноту и достоверность сведений, представленных в настоящем расчете и прилагаемых к нему документах, подтверждаю.</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6660"/>
        <w:gridCol w:w="340"/>
        <w:gridCol w:w="4603"/>
        <w:gridCol w:w="389"/>
        <w:gridCol w:w="1608"/>
      </w:tblGrid>
      <w:tr>
        <w:tc>
          <w:tcPr>
            <w:tcW w:w="6660" w:type="dxa"/>
            <w:vAlign w:val="bottom"/>
            <w:tcBorders>
              <w:top w:val="nil"/>
              <w:left w:val="nil"/>
              <w:bottom w:val="nil"/>
              <w:right w:val="nil"/>
            </w:tcBorders>
          </w:tcPr>
          <w:p>
            <w:pPr>
              <w:pStyle w:val="0"/>
            </w:pPr>
            <w:r>
              <w:rPr>
                <w:sz w:val="24"/>
              </w:rPr>
              <w:t xml:space="preserve">Должностное лицо, ответственное за представление расчета (руководитель юридического лица или лицо, уполномоченное на осуществление действий от имени юридического лица, либо индивидуальный предприниматель)</w:t>
            </w:r>
          </w:p>
        </w:tc>
        <w:tc>
          <w:tcPr>
            <w:tcW w:w="340" w:type="dxa"/>
            <w:tcBorders>
              <w:top w:val="nil"/>
              <w:left w:val="nil"/>
              <w:bottom w:val="nil"/>
              <w:right w:val="nil"/>
            </w:tcBorders>
          </w:tcPr>
          <w:p>
            <w:pPr>
              <w:pStyle w:val="0"/>
            </w:pPr>
            <w:r>
              <w:rPr>
                <w:sz w:val="24"/>
              </w:rPr>
            </w:r>
          </w:p>
        </w:tc>
        <w:tc>
          <w:tcPr>
            <w:tcW w:w="4603" w:type="dxa"/>
            <w:tcBorders>
              <w:top w:val="nil"/>
              <w:left w:val="nil"/>
              <w:bottom w:val="single" w:sz="4"/>
              <w:right w:val="nil"/>
            </w:tcBorders>
          </w:tcPr>
          <w:p>
            <w:pPr>
              <w:pStyle w:val="0"/>
            </w:pPr>
            <w:r>
              <w:rPr>
                <w:sz w:val="24"/>
              </w:rPr>
            </w:r>
          </w:p>
        </w:tc>
        <w:tc>
          <w:tcPr>
            <w:tcW w:w="389" w:type="dxa"/>
            <w:tcBorders>
              <w:top w:val="nil"/>
              <w:left w:val="nil"/>
              <w:bottom w:val="nil"/>
              <w:right w:val="nil"/>
            </w:tcBorders>
          </w:tcPr>
          <w:p>
            <w:pPr>
              <w:pStyle w:val="0"/>
            </w:pPr>
            <w:r>
              <w:rPr>
                <w:sz w:val="24"/>
              </w:rPr>
            </w:r>
          </w:p>
        </w:tc>
        <w:tc>
          <w:tcPr>
            <w:tcW w:w="1608" w:type="dxa"/>
            <w:tcBorders>
              <w:top w:val="nil"/>
              <w:left w:val="nil"/>
              <w:bottom w:val="single" w:sz="4"/>
              <w:right w:val="nil"/>
            </w:tcBorders>
          </w:tcPr>
          <w:p>
            <w:pPr>
              <w:pStyle w:val="0"/>
            </w:pPr>
            <w:r>
              <w:rPr>
                <w:sz w:val="24"/>
              </w:rPr>
            </w:r>
          </w:p>
        </w:tc>
      </w:tr>
      <w:tr>
        <w:tc>
          <w:tcPr>
            <w:tcW w:w="66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603" w:type="dxa"/>
            <w:tcBorders>
              <w:top w:val="single" w:sz="4"/>
              <w:left w:val="nil"/>
              <w:bottom w:val="nil"/>
              <w:right w:val="nil"/>
            </w:tcBorders>
          </w:tcPr>
          <w:p>
            <w:pPr>
              <w:pStyle w:val="0"/>
              <w:jc w:val="center"/>
            </w:pPr>
            <w:r>
              <w:rPr>
                <w:sz w:val="24"/>
              </w:rPr>
              <w:t xml:space="preserve">(фамилия, имя, отчество (при наличии)</w:t>
            </w:r>
          </w:p>
        </w:tc>
        <w:tc>
          <w:tcPr>
            <w:tcW w:w="389" w:type="dxa"/>
            <w:tcBorders>
              <w:top w:val="nil"/>
              <w:left w:val="nil"/>
              <w:bottom w:val="nil"/>
              <w:right w:val="nil"/>
            </w:tcBorders>
          </w:tcPr>
          <w:p>
            <w:pPr>
              <w:pStyle w:val="0"/>
              <w:jc w:val="center"/>
            </w:pPr>
            <w:r>
              <w:rPr>
                <w:sz w:val="24"/>
              </w:rPr>
            </w:r>
          </w:p>
        </w:tc>
        <w:tc>
          <w:tcPr>
            <w:tcW w:w="1608" w:type="dxa"/>
            <w:tcBorders>
              <w:top w:val="single" w:sz="4"/>
              <w:left w:val="nil"/>
              <w:bottom w:val="nil"/>
              <w:right w:val="nil"/>
            </w:tcBorders>
          </w:tcPr>
          <w:p>
            <w:pPr>
              <w:pStyle w:val="0"/>
              <w:jc w:val="center"/>
            </w:pPr>
            <w:r>
              <w:rPr>
                <w:sz w:val="24"/>
              </w:rPr>
              <w:t xml:space="preserve">(дата)</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575" w:name="P575"/>
    <w:bookmarkEnd w:id="575"/>
    <w:p>
      <w:pPr>
        <w:pStyle w:val="0"/>
        <w:spacing w:before="240" w:line-rule="auto"/>
        <w:ind w:firstLine="540"/>
        <w:jc w:val="both"/>
      </w:pPr>
      <w:r>
        <w:rPr>
          <w:sz w:val="24"/>
        </w:rPr>
        <w:t xml:space="preserve">&lt;1&gt; Сведения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576" w:name="P576"/>
    <w:bookmarkEnd w:id="576"/>
    <w:p>
      <w:pPr>
        <w:pStyle w:val="0"/>
        <w:spacing w:before="240" w:line-rule="auto"/>
        <w:ind w:firstLine="540"/>
        <w:jc w:val="both"/>
      </w:pPr>
      <w:r>
        <w:rPr>
          <w:sz w:val="24"/>
        </w:rPr>
        <w:t xml:space="preserve">&lt;2&gt; При заполнении </w:t>
      </w:r>
      <w:hyperlink w:history="0" w:anchor="P448" w:tooltip="Таблица 1">
        <w:r>
          <w:rPr>
            <w:sz w:val="24"/>
            <w:color w:val="0000ff"/>
          </w:rPr>
          <w:t xml:space="preserve">таблицы 1</w:t>
        </w:r>
      </w:hyperlink>
      <w:r>
        <w:rPr>
          <w:sz w:val="24"/>
        </w:rPr>
        <w:t xml:space="preserve"> в начале указывается номер и наименование группы товаров, упаковки, отходы от использования которых подлежат утилизации в отчетном периоде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отходы от использования которых подлежат утилизации, на 2024 год и </w:t>
      </w:r>
      <w:r>
        <w:rPr>
          <w:sz w:val="24"/>
        </w:rPr>
        <w:t xml:space="preserve">перечнем</w:t>
      </w:r>
      <w:r>
        <w:rPr>
          <w:sz w:val="24"/>
        </w:rPr>
        <w:t xml:space="preserve">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 (далее - перечни товаров, упаковки), а затем построчно указываются товарные позиции по товарам, упаковке из перечней товаров, упаковки.</w:t>
      </w:r>
    </w:p>
    <w:p>
      <w:pPr>
        <w:pStyle w:val="0"/>
        <w:spacing w:before="240" w:line-rule="auto"/>
        <w:ind w:firstLine="540"/>
        <w:jc w:val="both"/>
      </w:pPr>
      <w:r>
        <w:rPr>
          <w:sz w:val="24"/>
        </w:rPr>
        <w:t xml:space="preserve">Товарные позиции 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абзаце двадцать седьмом </w:t>
      </w:r>
      <w:r>
        <w:rPr>
          <w:sz w:val="24"/>
        </w:rPr>
        <w:t xml:space="preserve">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построчно по товарам, имеющим выданный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и по товарам, в отношении которых такой сертификат соответствия отсутствует.</w:t>
      </w:r>
    </w:p>
    <w:bookmarkStart w:id="578" w:name="P578"/>
    <w:bookmarkEnd w:id="578"/>
    <w:p>
      <w:pPr>
        <w:pStyle w:val="0"/>
        <w:spacing w:before="240" w:line-rule="auto"/>
        <w:ind w:firstLine="540"/>
        <w:jc w:val="both"/>
      </w:pPr>
      <w:r>
        <w:rPr>
          <w:sz w:val="24"/>
        </w:rPr>
        <w:t xml:space="preserve">&lt;3&gt; Наименование и код по каждому товару, упаковке указываются по единой Товарной </w:t>
      </w:r>
      <w:r>
        <w:rPr>
          <w:sz w:val="24"/>
        </w:rPr>
        <w:t xml:space="preserve">номенклатуре</w:t>
      </w:r>
      <w:r>
        <w:rPr>
          <w:sz w:val="24"/>
        </w:rPr>
        <w:t xml:space="preserve"> внешнеэкономической деятельности Евразийского экономического союза (ТН ВЭД ЕАЭС).</w:t>
      </w:r>
    </w:p>
    <w:bookmarkStart w:id="579" w:name="P579"/>
    <w:bookmarkEnd w:id="579"/>
    <w:p>
      <w:pPr>
        <w:pStyle w:val="0"/>
        <w:spacing w:before="240" w:line-rule="auto"/>
        <w:ind w:firstLine="540"/>
        <w:jc w:val="both"/>
      </w:pPr>
      <w:r>
        <w:rPr>
          <w:sz w:val="24"/>
        </w:rPr>
        <w:t xml:space="preserve">&lt;4&gt; Масса указывается для каждого наименования товара, упаковки в килограммах, округленных до целого числа по математическим правилам округления, в отношении которых наступили события, предусмотренные </w:t>
      </w:r>
      <w:r>
        <w:rPr>
          <w:sz w:val="24"/>
        </w:rPr>
        <w:t xml:space="preserve">пунктом 2 статьи 24.2-1</w:t>
      </w:r>
      <w:r>
        <w:rPr>
          <w:sz w:val="24"/>
        </w:rPr>
        <w:t xml:space="preserve"> Федерального закона "Об отходах производства и потребления".</w:t>
      </w:r>
    </w:p>
    <w:bookmarkStart w:id="580" w:name="P580"/>
    <w:bookmarkEnd w:id="580"/>
    <w:p>
      <w:pPr>
        <w:pStyle w:val="0"/>
        <w:spacing w:before="240" w:line-rule="auto"/>
        <w:ind w:firstLine="540"/>
        <w:jc w:val="both"/>
      </w:pPr>
      <w:r>
        <w:rPr>
          <w:sz w:val="24"/>
        </w:rPr>
        <w:t xml:space="preserve">&lt;5&gt; Указывается норматив утилизации отходов от использования товаров, установленный Правительством Российской Федерации в соответствии с </w:t>
      </w:r>
      <w:r>
        <w:rPr>
          <w:sz w:val="24"/>
        </w:rPr>
        <w:t xml:space="preserve">пунктом 2 статьи 24.2</w:t>
      </w:r>
      <w:r>
        <w:rPr>
          <w:sz w:val="24"/>
        </w:rPr>
        <w:t xml:space="preserve"> Федерального закона "Об отходах производства или потребления", и (или) процент массы упаковки, отходы от использования которой подлежат утилизации в размере, установленном </w:t>
      </w:r>
      <w:r>
        <w:rPr>
          <w:sz w:val="24"/>
        </w:rPr>
        <w:t xml:space="preserve">частью 5 статьи 7</w:t>
      </w:r>
      <w:r>
        <w:rPr>
          <w:sz w:val="24"/>
        </w:rPr>
        <w:t xml:space="preserve"> Федерального закона от 4 августа 2023 г. N 451-ФЗ "О внесении изменений в Федеральный закон "Об отходах производства или потребления" и отдельные законодательные акты Российской Федерации", а с 1 января 2027 г. - в размере, установленном </w:t>
      </w:r>
      <w:r>
        <w:rPr>
          <w:sz w:val="24"/>
        </w:rPr>
        <w:t xml:space="preserve">пунктом 4 статьи 24.2</w:t>
      </w:r>
      <w:r>
        <w:rPr>
          <w:sz w:val="24"/>
        </w:rPr>
        <w:t xml:space="preserve"> Федерального закона "Об отходах производства или потребления" (N). Строка графы заполняется автоматически при использовании интерактивных форм расчета экологического сбора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расчета).</w:t>
      </w:r>
    </w:p>
    <w:bookmarkStart w:id="581" w:name="P581"/>
    <w:bookmarkEnd w:id="581"/>
    <w:p>
      <w:pPr>
        <w:pStyle w:val="0"/>
        <w:spacing w:before="240" w:line-rule="auto"/>
        <w:ind w:firstLine="540"/>
        <w:jc w:val="both"/>
      </w:pPr>
      <w:r>
        <w:rPr>
          <w:sz w:val="24"/>
        </w:rPr>
        <w:t xml:space="preserve">&lt;6&gt; Масса отходов от использования товаров, подлежащих утилизации, определяется как произведение массы ввезенного товара, упаковки </w:t>
      </w:r>
      <w:hyperlink w:history="0" w:anchor="P472" w:tooltip="5">
        <w:r>
          <w:rPr>
            <w:sz w:val="24"/>
            <w:color w:val="0000ff"/>
          </w:rPr>
          <w:t xml:space="preserve">(графа 5)</w:t>
        </w:r>
      </w:hyperlink>
      <w:r>
        <w:rPr>
          <w:sz w:val="24"/>
        </w:rPr>
        <w:t xml:space="preserve"> и норматива утилизации </w:t>
      </w:r>
      <w:hyperlink w:history="0" w:anchor="P473" w:tooltip="6">
        <w:r>
          <w:rPr>
            <w:sz w:val="24"/>
            <w:color w:val="0000ff"/>
          </w:rPr>
          <w:t xml:space="preserve">(графа 6)</w:t>
        </w:r>
      </w:hyperlink>
      <w:r>
        <w:rPr>
          <w:sz w:val="24"/>
        </w:rPr>
        <w:t xml:space="preserve">. Строка заполняется автоматически при использовании интерактивных форм расчета.</w:t>
      </w:r>
    </w:p>
    <w:bookmarkStart w:id="582" w:name="P582"/>
    <w:bookmarkEnd w:id="582"/>
    <w:p>
      <w:pPr>
        <w:pStyle w:val="0"/>
        <w:spacing w:before="240" w:line-rule="auto"/>
        <w:ind w:firstLine="540"/>
        <w:jc w:val="both"/>
      </w:pPr>
      <w:r>
        <w:rPr>
          <w:sz w:val="24"/>
        </w:rPr>
        <w:t xml:space="preserve">&lt;7&gt; Указывается значение базовой ставки экологического сбора (БСЭС), установленной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583" w:name="P583"/>
    <w:bookmarkEnd w:id="583"/>
    <w:p>
      <w:pPr>
        <w:pStyle w:val="0"/>
        <w:spacing w:before="240" w:line-rule="auto"/>
        <w:ind w:firstLine="540"/>
        <w:jc w:val="both"/>
      </w:pPr>
      <w:r>
        <w:rPr>
          <w:sz w:val="24"/>
        </w:rPr>
        <w:t xml:space="preserve">&lt;8&gt;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установленное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584" w:name="P584"/>
    <w:bookmarkEnd w:id="584"/>
    <w:p>
      <w:pPr>
        <w:pStyle w:val="0"/>
        <w:spacing w:before="240" w:line-rule="auto"/>
        <w:ind w:firstLine="540"/>
        <w:jc w:val="both"/>
      </w:pPr>
      <w:r>
        <w:rPr>
          <w:sz w:val="24"/>
        </w:rPr>
        <w:t xml:space="preserve">&lt;9&gt; Указывается значение ставки экологического сбора (СЭС), определяемое как произведение значений БСЭС </w:t>
      </w:r>
      <w:hyperlink w:history="0" w:anchor="P475" w:tooltip="8">
        <w:r>
          <w:rPr>
            <w:sz w:val="24"/>
            <w:color w:val="0000ff"/>
          </w:rPr>
          <w:t xml:space="preserve">(графа 8)</w:t>
        </w:r>
      </w:hyperlink>
      <w:r>
        <w:rPr>
          <w:sz w:val="24"/>
        </w:rPr>
        <w:t xml:space="preserve"> и КЭ </w:t>
      </w:r>
      <w:hyperlink w:history="0" w:anchor="P476" w:tooltip="9">
        <w:r>
          <w:rPr>
            <w:sz w:val="24"/>
            <w:color w:val="0000ff"/>
          </w:rPr>
          <w:t xml:space="preserve">(графа 9)</w:t>
        </w:r>
      </w:hyperlink>
      <w:r>
        <w:rPr>
          <w:sz w:val="24"/>
        </w:rPr>
        <w:t xml:space="preserve">. Строка заполняется автоматически при использовании интерактивных форм отчетности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отчетности).</w:t>
      </w:r>
    </w:p>
    <w:bookmarkStart w:id="585" w:name="P585"/>
    <w:bookmarkEnd w:id="585"/>
    <w:p>
      <w:pPr>
        <w:pStyle w:val="0"/>
        <w:spacing w:before="240" w:line-rule="auto"/>
        <w:ind w:firstLine="540"/>
        <w:jc w:val="both"/>
      </w:pPr>
      <w:r>
        <w:rPr>
          <w:sz w:val="24"/>
        </w:rPr>
        <w:t xml:space="preserve">&lt;10&gt; Указывается сумма подлежащего уплате экологического сбора, определяемая как произведение значений СЭС </w:t>
      </w:r>
      <w:hyperlink w:history="0" w:anchor="P477" w:tooltip="10">
        <w:r>
          <w:rPr>
            <w:sz w:val="24"/>
            <w:color w:val="0000ff"/>
          </w:rPr>
          <w:t xml:space="preserve">(графа 10)</w:t>
        </w:r>
      </w:hyperlink>
      <w:r>
        <w:rPr>
          <w:sz w:val="24"/>
        </w:rPr>
        <w:t xml:space="preserve"> и М</w:t>
      </w:r>
      <w:r>
        <w:rPr>
          <w:sz w:val="24"/>
          <w:vertAlign w:val="subscript"/>
        </w:rPr>
        <w:t xml:space="preserve">эст</w:t>
      </w:r>
      <w:r>
        <w:rPr>
          <w:sz w:val="24"/>
        </w:rPr>
        <w:t xml:space="preserve"> </w:t>
      </w:r>
      <w:hyperlink w:history="0" w:anchor="P474" w:tooltip="7">
        <w:r>
          <w:rPr>
            <w:sz w:val="24"/>
            <w:color w:val="0000ff"/>
          </w:rPr>
          <w:t xml:space="preserve">(графа 7)</w:t>
        </w:r>
      </w:hyperlink>
      <w:r>
        <w:rPr>
          <w:sz w:val="24"/>
        </w:rPr>
        <w:t xml:space="preserve">, деленное на 1000. Строка заполняется автоматически при использовании интерактивных форм отчетности.</w:t>
      </w:r>
    </w:p>
    <w:bookmarkStart w:id="586" w:name="P586"/>
    <w:bookmarkEnd w:id="586"/>
    <w:p>
      <w:pPr>
        <w:pStyle w:val="0"/>
        <w:spacing w:before="240" w:line-rule="auto"/>
        <w:ind w:firstLine="540"/>
        <w:jc w:val="both"/>
      </w:pPr>
      <w:r>
        <w:rPr>
          <w:sz w:val="24"/>
        </w:rPr>
        <w:t xml:space="preserve">&lt;11&gt;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w:t>
      </w:r>
    </w:p>
    <w:p>
      <w:pPr>
        <w:pStyle w:val="0"/>
        <w:spacing w:before="240" w:line-rule="auto"/>
        <w:ind w:firstLine="540"/>
        <w:jc w:val="both"/>
      </w:pPr>
      <w:r>
        <w:rPr>
          <w:sz w:val="24"/>
        </w:rPr>
        <w:t xml:space="preserve">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абзаце двадцать седьмом </w:t>
      </w:r>
      <w:r>
        <w:rPr>
          <w:sz w:val="24"/>
        </w:rPr>
        <w:t xml:space="preserve">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номер и дата выданного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сертификата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(при наличии).</w:t>
      </w:r>
    </w:p>
    <w:bookmarkStart w:id="588" w:name="P588"/>
    <w:bookmarkEnd w:id="588"/>
    <w:p>
      <w:pPr>
        <w:pStyle w:val="0"/>
        <w:spacing w:before="240" w:line-rule="auto"/>
        <w:ind w:firstLine="540"/>
        <w:jc w:val="both"/>
      </w:pPr>
      <w:r>
        <w:rPr>
          <w:sz w:val="24"/>
        </w:rPr>
        <w:t xml:space="preserve">&lt;12&gt; Указывается значение, определяемое как сумма всех сумм экологического сбора, подлежащая уплате (строки </w:t>
      </w:r>
      <w:hyperlink w:history="0" w:anchor="P478" w:tooltip="11">
        <w:r>
          <w:rPr>
            <w:sz w:val="24"/>
            <w:color w:val="0000ff"/>
          </w:rPr>
          <w:t xml:space="preserve">графы 11</w:t>
        </w:r>
      </w:hyperlink>
      <w:r>
        <w:rPr>
          <w:sz w:val="24"/>
        </w:rPr>
        <w:t xml:space="preserve">). Строка заполняется автоматически при использовании интерактивных форм отчетности.</w:t>
      </w:r>
    </w:p>
    <w:bookmarkStart w:id="589" w:name="P589"/>
    <w:bookmarkEnd w:id="589"/>
    <w:p>
      <w:pPr>
        <w:pStyle w:val="0"/>
        <w:spacing w:before="240" w:line-rule="auto"/>
        <w:ind w:firstLine="540"/>
        <w:jc w:val="both"/>
      </w:pPr>
      <w:r>
        <w:rPr>
          <w:sz w:val="24"/>
        </w:rPr>
        <w:t xml:space="preserve">&lt;13&gt; При заполнении </w:t>
      </w:r>
      <w:hyperlink w:history="0" w:anchor="P499" w:tooltip="Таблица 2">
        <w:r>
          <w:rPr>
            <w:sz w:val="24"/>
            <w:color w:val="0000ff"/>
          </w:rPr>
          <w:t xml:space="preserve">таблицы 2</w:t>
        </w:r>
      </w:hyperlink>
      <w:r>
        <w:rPr>
          <w:sz w:val="24"/>
        </w:rPr>
        <w:t xml:space="preserve"> в начале указывается номер и наименование группы упаковки товаров в соответствии с </w:t>
      </w:r>
      <w:r>
        <w:rPr>
          <w:sz w:val="24"/>
        </w:rPr>
        <w:t xml:space="preserve">разделом III</w:t>
      </w:r>
      <w:r>
        <w:rPr>
          <w:sz w:val="24"/>
        </w:rPr>
        <w:t xml:space="preserve"> перечней товаров, упаковки, а затем построчно указываются позиции по упаковке товара - по каждому наименованию упаковки из перечней товаров, упаковки,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Заполняется импортером товара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перечнях товаров, упаковки.</w:t>
      </w:r>
    </w:p>
    <w:bookmarkStart w:id="590" w:name="P590"/>
    <w:bookmarkEnd w:id="590"/>
    <w:p>
      <w:pPr>
        <w:pStyle w:val="0"/>
        <w:spacing w:before="240" w:line-rule="auto"/>
        <w:ind w:firstLine="540"/>
        <w:jc w:val="both"/>
      </w:pPr>
      <w:r>
        <w:rPr>
          <w:sz w:val="24"/>
        </w:rPr>
        <w:t xml:space="preserve">&lt;14&gt; Строки </w:t>
      </w:r>
      <w:hyperlink w:history="0" w:anchor="P525" w:tooltip="3">
        <w:r>
          <w:rPr>
            <w:sz w:val="24"/>
            <w:color w:val="0000ff"/>
          </w:rPr>
          <w:t xml:space="preserve">граф 3</w:t>
        </w:r>
      </w:hyperlink>
      <w:r>
        <w:rPr>
          <w:sz w:val="24"/>
        </w:rPr>
        <w:t xml:space="preserve"> - </w:t>
      </w:r>
      <w:hyperlink w:history="0" w:anchor="P528" w:tooltip="6">
        <w:r>
          <w:rPr>
            <w:sz w:val="24"/>
            <w:color w:val="0000ff"/>
          </w:rPr>
          <w:t xml:space="preserve">6</w:t>
        </w:r>
      </w:hyperlink>
      <w:r>
        <w:rPr>
          <w:sz w:val="24"/>
        </w:rPr>
        <w:t xml:space="preserve">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w:t>
      </w:r>
      <w:r>
        <w:rPr>
          <w:sz w:val="24"/>
        </w:rPr>
        <w:t xml:space="preserve">регламенту</w:t>
      </w:r>
      <w:r>
        <w:rPr>
          <w:sz w:val="24"/>
        </w:rPr>
        <w:t xml:space="preserve"> Таможенного союза "О безопасности упаковки" (ТР ТС 005/2011), и (или) по коду по Общероссийскому </w:t>
      </w:r>
      <w:r>
        <w:rPr>
          <w:sz w:val="24"/>
        </w:rPr>
        <w:t xml:space="preserve">классификатору</w:t>
      </w:r>
      <w:r>
        <w:rPr>
          <w:sz w:val="24"/>
        </w:rPr>
        <w:t xml:space="preserve"> продукции по видам экономической деятельности ОК 034-2014 (КПЕС 2008), и (или) по коду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w:t>
      </w:r>
    </w:p>
    <w:bookmarkStart w:id="591" w:name="P591"/>
    <w:bookmarkEnd w:id="591"/>
    <w:p>
      <w:pPr>
        <w:pStyle w:val="0"/>
        <w:spacing w:before="240" w:line-rule="auto"/>
        <w:ind w:firstLine="540"/>
        <w:jc w:val="both"/>
      </w:pPr>
      <w:r>
        <w:rPr>
          <w:sz w:val="24"/>
        </w:rPr>
        <w:t xml:space="preserve">&lt;15&gt; Масса указывается для каждого наименования упаковки, в которую упакован ввезенный товар, в килограммах, округленных до целого числа по математическим правилам округления, в отношении которой наступили события, предусмотренные </w:t>
      </w:r>
      <w:r>
        <w:rPr>
          <w:sz w:val="24"/>
        </w:rPr>
        <w:t xml:space="preserve">пунктом 2 статьи 24.2-1</w:t>
      </w:r>
      <w:r>
        <w:rPr>
          <w:sz w:val="24"/>
        </w:rPr>
        <w:t xml:space="preserve"> Федерального закона "Об отходах производства и потребления".</w:t>
      </w:r>
    </w:p>
    <w:bookmarkStart w:id="592" w:name="P592"/>
    <w:bookmarkEnd w:id="592"/>
    <w:p>
      <w:pPr>
        <w:pStyle w:val="0"/>
        <w:spacing w:before="240" w:line-rule="auto"/>
        <w:ind w:firstLine="540"/>
        <w:jc w:val="both"/>
      </w:pPr>
      <w:r>
        <w:rPr>
          <w:sz w:val="24"/>
        </w:rPr>
        <w:t xml:space="preserve">&lt;16&gt; Масса отходов, подлежащих утилизации, определяется как произведение массы всей упаковки, в которую упакован ввезенный товар </w:t>
      </w:r>
      <w:hyperlink w:history="0" w:anchor="P529" w:tooltip="7">
        <w:r>
          <w:rPr>
            <w:sz w:val="24"/>
            <w:color w:val="0000ff"/>
          </w:rPr>
          <w:t xml:space="preserve">(графа 7)</w:t>
        </w:r>
      </w:hyperlink>
      <w:r>
        <w:rPr>
          <w:sz w:val="24"/>
        </w:rPr>
        <w:t xml:space="preserve">, и норматива утилизации </w:t>
      </w:r>
      <w:hyperlink w:history="0" w:anchor="P530" w:tooltip="8">
        <w:r>
          <w:rPr>
            <w:sz w:val="24"/>
            <w:color w:val="0000ff"/>
          </w:rPr>
          <w:t xml:space="preserve">(графа 8)</w:t>
        </w:r>
      </w:hyperlink>
      <w:r>
        <w:rPr>
          <w:sz w:val="24"/>
        </w:rPr>
        <w:t xml:space="preserve">. Строка заполняется автоматически при использовании интерактивных форм расчета.</w:t>
      </w:r>
    </w:p>
    <w:bookmarkStart w:id="593" w:name="P593"/>
    <w:bookmarkEnd w:id="593"/>
    <w:p>
      <w:pPr>
        <w:pStyle w:val="0"/>
        <w:spacing w:before="240" w:line-rule="auto"/>
        <w:ind w:firstLine="540"/>
        <w:jc w:val="both"/>
      </w:pPr>
      <w:r>
        <w:rPr>
          <w:sz w:val="24"/>
        </w:rPr>
        <w:t xml:space="preserve">&lt;17&gt; Указывается значение ставки экологического сбора (СЭС), определяемое как произведение значений БСЭС </w:t>
      </w:r>
      <w:hyperlink w:history="0" w:anchor="P532" w:tooltip="10">
        <w:r>
          <w:rPr>
            <w:sz w:val="24"/>
            <w:color w:val="0000ff"/>
          </w:rPr>
          <w:t xml:space="preserve">(графа 10)</w:t>
        </w:r>
      </w:hyperlink>
      <w:r>
        <w:rPr>
          <w:sz w:val="24"/>
        </w:rPr>
        <w:t xml:space="preserve"> и КЭ </w:t>
      </w:r>
      <w:hyperlink w:history="0" w:anchor="P533" w:tooltip="11">
        <w:r>
          <w:rPr>
            <w:sz w:val="24"/>
            <w:color w:val="0000ff"/>
          </w:rPr>
          <w:t xml:space="preserve">(графа 11)</w:t>
        </w:r>
      </w:hyperlink>
      <w:r>
        <w:rPr>
          <w:sz w:val="24"/>
        </w:rPr>
        <w:t xml:space="preserve">. Строка заполняется автоматически при использовании интерактивных форм отчетности.</w:t>
      </w:r>
    </w:p>
    <w:bookmarkStart w:id="594" w:name="P594"/>
    <w:bookmarkEnd w:id="594"/>
    <w:p>
      <w:pPr>
        <w:pStyle w:val="0"/>
        <w:spacing w:before="240" w:line-rule="auto"/>
        <w:ind w:firstLine="540"/>
        <w:jc w:val="both"/>
      </w:pPr>
      <w:r>
        <w:rPr>
          <w:sz w:val="24"/>
        </w:rPr>
        <w:t xml:space="preserve">&lt;18&gt; Указывается сумма подлежащего уплате экологического сбора, определяемая как произведение значений СЭС </w:t>
      </w:r>
      <w:hyperlink w:history="0" w:anchor="P534" w:tooltip="12">
        <w:r>
          <w:rPr>
            <w:sz w:val="24"/>
            <w:color w:val="0000ff"/>
          </w:rPr>
          <w:t xml:space="preserve">(графа 12)</w:t>
        </w:r>
      </w:hyperlink>
      <w:r>
        <w:rPr>
          <w:sz w:val="24"/>
        </w:rPr>
        <w:t xml:space="preserve"> и М</w:t>
      </w:r>
      <w:r>
        <w:rPr>
          <w:sz w:val="24"/>
          <w:vertAlign w:val="subscript"/>
        </w:rPr>
        <w:t xml:space="preserve">эст</w:t>
      </w:r>
      <w:r>
        <w:rPr>
          <w:sz w:val="24"/>
        </w:rPr>
        <w:t xml:space="preserve"> </w:t>
      </w:r>
      <w:hyperlink w:history="0" w:anchor="P531" w:tooltip="9">
        <w:r>
          <w:rPr>
            <w:sz w:val="24"/>
            <w:color w:val="0000ff"/>
          </w:rPr>
          <w:t xml:space="preserve">(графа 9)</w:t>
        </w:r>
      </w:hyperlink>
      <w:r>
        <w:rPr>
          <w:sz w:val="24"/>
        </w:rPr>
        <w:t xml:space="preserve">, деленное на 1000. Строка заполняется автоматически при использовании интерактивных форм отчетности.</w:t>
      </w:r>
    </w:p>
    <w:bookmarkStart w:id="595" w:name="P595"/>
    <w:bookmarkEnd w:id="595"/>
    <w:p>
      <w:pPr>
        <w:pStyle w:val="0"/>
        <w:spacing w:before="240" w:line-rule="auto"/>
        <w:ind w:firstLine="540"/>
        <w:jc w:val="both"/>
      </w:pPr>
      <w:r>
        <w:rPr>
          <w:sz w:val="24"/>
        </w:rPr>
        <w:t xml:space="preserve">&lt;19&gt; Указывается значение, определяемое как сумма всех сумм экологического сбора, подлежащая уплате (строка </w:t>
      </w:r>
      <w:hyperlink w:history="0" w:anchor="P535" w:tooltip="13">
        <w:r>
          <w:rPr>
            <w:sz w:val="24"/>
            <w:color w:val="0000ff"/>
          </w:rPr>
          <w:t xml:space="preserve">графы 13</w:t>
        </w:r>
      </w:hyperlink>
      <w:r>
        <w:rPr>
          <w:sz w:val="24"/>
        </w:rPr>
        <w:t xml:space="preserve">). Строка заполняется автоматически при использовании интерактивных форм отчетности.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взимания</w:t>
      </w:r>
    </w:p>
    <w:p>
      <w:pPr>
        <w:pStyle w:val="0"/>
        <w:jc w:val="right"/>
      </w:pPr>
      <w:r>
        <w:rPr>
          <w:sz w:val="24"/>
        </w:rPr>
        <w:t xml:space="preserve">экологического сбора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25.12.2025 N 2116)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bookmarkStart w:id="609" w:name="P609"/>
          <w:bookmarkEnd w:id="609"/>
          <w:p>
            <w:pPr>
              <w:pStyle w:val="0"/>
              <w:jc w:val="center"/>
            </w:pPr>
            <w:r>
              <w:rPr>
                <w:sz w:val="24"/>
              </w:rPr>
              <w:t xml:space="preserve">РАСЧЕТ СУММЫ ЭКОЛОГИЧЕСКОГО СБОРА</w:t>
            </w:r>
          </w:p>
          <w:p>
            <w:pPr>
              <w:pStyle w:val="0"/>
              <w:jc w:val="center"/>
            </w:pPr>
            <w:r>
              <w:rPr>
                <w:sz w:val="24"/>
              </w:rPr>
              <w:t xml:space="preserve">по товарам, упаковке, ввезенным из государств, не являющихся членами Евразийского экономического союза, за отчетный период</w:t>
            </w:r>
          </w:p>
        </w:tc>
      </w:tr>
    </w:tbl>
    <w:p>
      <w:pPr>
        <w:pStyle w:val="0"/>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bookmarkStart w:id="612" w:name="P612"/>
          <w:bookmarkEnd w:id="612"/>
          <w:p>
            <w:pPr>
              <w:pStyle w:val="0"/>
              <w:outlineLvl w:val="2"/>
              <w:jc w:val="center"/>
            </w:pPr>
            <w:r>
              <w:rPr>
                <w:sz w:val="24"/>
              </w:rPr>
              <w:t xml:space="preserve">Раздел I. Общие сведения об импортере товаров, упаковки, в том числе товаров в упаковке </w:t>
            </w:r>
            <w:hyperlink w:history="0" w:anchor="P890" w:tooltip="&lt;1&gt; Сведения раздела I настоящего расчета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4"/>
                  <w:color w:val="0000ff"/>
                </w:rPr>
                <w:t xml:space="preserve">&lt;1&gt;</w:t>
              </w:r>
            </w:hyperlink>
          </w:p>
        </w:tc>
      </w:tr>
    </w:tbl>
    <w:p>
      <w:pPr>
        <w:pStyle w:val="0"/>
      </w:pPr>
      <w:r>
        <w:rPr>
          <w:sz w:val="24"/>
        </w:rPr>
      </w:r>
    </w:p>
    <w:tbl>
      <w:tblPr>
        <w:tblInd w:w="0" w:type="dxa"/>
        <w:tblLayout w:type="fixed"/>
        <w:tblCellMar>
          <w:top w:w="102" w:type="dxa"/>
          <w:left w:w="62" w:type="dxa"/>
          <w:bottom w:w="102" w:type="dxa"/>
          <w:right w:w="62" w:type="dxa"/>
        </w:tblCellMar>
      </w:tblPr>
      <w:tblGrid>
        <w:gridCol w:w="3346"/>
        <w:gridCol w:w="5704"/>
      </w:tblGrid>
      <w:tr>
        <w:tc>
          <w:tcPr>
            <w:gridSpan w:val="2"/>
            <w:tcW w:w="9050" w:type="dxa"/>
            <w:tcBorders>
              <w:top w:val="nil"/>
              <w:left w:val="nil"/>
              <w:bottom w:val="nil"/>
              <w:right w:val="nil"/>
            </w:tcBorders>
          </w:tcPr>
          <w:p>
            <w:pPr>
              <w:pStyle w:val="0"/>
              <w:ind w:firstLine="283"/>
              <w:jc w:val="both"/>
            </w:pPr>
            <w:r>
              <w:rPr>
                <w:sz w:val="24"/>
              </w:rPr>
              <w:t xml:space="preserve">1. Для юридического лица:</w:t>
            </w:r>
          </w:p>
          <w:p>
            <w:pPr>
              <w:pStyle w:val="0"/>
              <w:jc w:val="both"/>
            </w:pPr>
            <w:r>
              <w:rPr>
                <w:sz w:val="24"/>
              </w:rPr>
              <w:t xml:space="preserve">организационно-правовая форма юридического лица и его наименование __________________________________________________________________________</w:t>
            </w:r>
          </w:p>
          <w:p>
            <w:pPr>
              <w:pStyle w:val="0"/>
              <w:jc w:val="center"/>
            </w:pPr>
            <w:r>
              <w:rPr>
                <w:sz w:val="24"/>
              </w:rPr>
              <w:t xml:space="preserve">(полное, сокращенное (при наличии), фирменное наименования)</w:t>
            </w:r>
          </w:p>
          <w:p>
            <w:pPr>
              <w:pStyle w:val="0"/>
              <w:jc w:val="both"/>
            </w:pPr>
            <w:r>
              <w:rPr>
                <w:sz w:val="24"/>
              </w:rPr>
              <w:t xml:space="preserve">идентификационный номер налогоплательщика ________________________________</w:t>
            </w:r>
          </w:p>
          <w:p>
            <w:pPr>
              <w:pStyle w:val="0"/>
              <w:jc w:val="both"/>
            </w:pPr>
            <w:r>
              <w:rPr>
                <w:sz w:val="24"/>
              </w:rPr>
              <w:t xml:space="preserve">код причины постановки на учет _____________________________________________</w:t>
            </w:r>
          </w:p>
          <w:p>
            <w:pPr>
              <w:pStyle w:val="0"/>
              <w:jc w:val="both"/>
            </w:pPr>
            <w:r>
              <w:rPr>
                <w:sz w:val="24"/>
              </w:rPr>
              <w:t xml:space="preserve">адрес места нахождения юридического лица ___________________________________</w:t>
            </w:r>
          </w:p>
          <w:p>
            <w:pPr>
              <w:pStyle w:val="0"/>
              <w:jc w:val="both"/>
            </w:pPr>
            <w:r>
              <w:rPr>
                <w:sz w:val="24"/>
              </w:rPr>
              <w:t xml:space="preserve">основной государственный регистрационный номер ____________________________</w:t>
            </w:r>
          </w:p>
          <w:p>
            <w:pPr>
              <w:pStyle w:val="0"/>
              <w:jc w:val="both"/>
            </w:pPr>
            <w:r>
              <w:rPr>
                <w:sz w:val="24"/>
              </w:rPr>
              <w:t xml:space="preserve">реквизиты документа, подтверждающего факт внесения записи о юридическом лице в единый государственный реестр юридических лиц, __________________________________________________________________________</w:t>
            </w:r>
          </w:p>
          <w:p>
            <w:pPr>
              <w:pStyle w:val="0"/>
              <w:ind w:firstLine="283"/>
              <w:jc w:val="both"/>
            </w:pPr>
            <w:r>
              <w:rPr>
                <w:sz w:val="24"/>
              </w:rPr>
              <w:t xml:space="preserve">2. Для физического лица, зарегистрированного в качестве индивидуального предпринимателя (далее - индивидуальный предприниматель):</w:t>
            </w:r>
          </w:p>
          <w:p>
            <w:pPr>
              <w:pStyle w:val="0"/>
              <w:jc w:val="both"/>
            </w:pPr>
            <w:r>
              <w:rPr>
                <w:sz w:val="24"/>
              </w:rPr>
              <w:t xml:space="preserve">фамилия, имя, отчество (при наличии) индивидуального предпринимателя __________________________________________________________________________</w:t>
            </w:r>
          </w:p>
          <w:p>
            <w:pPr>
              <w:pStyle w:val="0"/>
              <w:jc w:val="both"/>
            </w:pPr>
            <w:r>
              <w:rPr>
                <w:sz w:val="24"/>
              </w:rPr>
              <w:t xml:space="preserve">идентификационный номер налогоплательщика ________________________________</w:t>
            </w:r>
          </w:p>
          <w:p>
            <w:pPr>
              <w:pStyle w:val="0"/>
              <w:jc w:val="both"/>
            </w:pPr>
            <w:r>
              <w:rPr>
                <w:sz w:val="24"/>
              </w:rPr>
              <w:t xml:space="preserve">адрес индивидуального предпринимателя _____________________________________</w:t>
            </w:r>
          </w:p>
          <w:p>
            <w:pPr>
              <w:pStyle w:val="0"/>
              <w:jc w:val="both"/>
            </w:pPr>
            <w:r>
              <w:rPr>
                <w:sz w:val="24"/>
              </w:rPr>
              <w:t xml:space="preserve">основной государственный регистрационный номер ____________________________</w:t>
            </w:r>
          </w:p>
          <w:p>
            <w:pPr>
              <w:pStyle w:val="0"/>
              <w:jc w:val="both"/>
            </w:pPr>
            <w:r>
              <w:rPr>
                <w:sz w:val="24"/>
              </w:rPr>
              <w:t xml:space="preserve">реквизиты документа, подтверждающего факт внесения записи об индивидуальном предпринимателе в единый государственный реестр индивидуальных предпринимателей, ________________________________________________________</w:t>
            </w:r>
          </w:p>
          <w:p>
            <w:pPr>
              <w:pStyle w:val="0"/>
              <w:ind w:firstLine="283"/>
              <w:jc w:val="both"/>
            </w:pPr>
            <w:r>
              <w:rPr>
                <w:sz w:val="24"/>
              </w:rPr>
              <w:t xml:space="preserve">3. Код по Общероссийскому </w:t>
            </w:r>
            <w:r>
              <w:rPr>
                <w:sz w:val="24"/>
              </w:rPr>
              <w:t xml:space="preserve">классификатору</w:t>
            </w:r>
            <w:r>
              <w:rPr>
                <w:sz w:val="24"/>
              </w:rPr>
              <w:t xml:space="preserve"> видов экономической деятельности ОК 029-2014 (КДЕС Ред. 2) _________________________________________________</w:t>
            </w:r>
          </w:p>
          <w:p>
            <w:pPr>
              <w:pStyle w:val="0"/>
              <w:ind w:firstLine="283"/>
              <w:jc w:val="both"/>
            </w:pPr>
            <w:r>
              <w:rPr>
                <w:sz w:val="24"/>
              </w:rPr>
              <w:t xml:space="preserve">4. Код по Общероссийскому </w:t>
            </w:r>
            <w:r>
              <w:rPr>
                <w:sz w:val="24"/>
              </w:rPr>
              <w:t xml:space="preserve">классификатору</w:t>
            </w:r>
            <w:r>
              <w:rPr>
                <w:sz w:val="24"/>
              </w:rPr>
              <w:t xml:space="preserve"> объектов административно-территориального деления ОК 019-95 ________________________</w:t>
            </w:r>
          </w:p>
          <w:p>
            <w:pPr>
              <w:pStyle w:val="0"/>
              <w:ind w:firstLine="283"/>
              <w:jc w:val="both"/>
            </w:pPr>
            <w:r>
              <w:rPr>
                <w:sz w:val="24"/>
              </w:rPr>
              <w:t xml:space="preserve">5. Код по Общероссийскому </w:t>
            </w:r>
            <w:r>
              <w:rPr>
                <w:sz w:val="24"/>
              </w:rPr>
              <w:t xml:space="preserve">классификатору</w:t>
            </w:r>
            <w:r>
              <w:rPr>
                <w:sz w:val="24"/>
              </w:rPr>
              <w:t xml:space="preserve"> территорий муниципальных образований ОК 033-2013 __________________________________________________</w:t>
            </w:r>
          </w:p>
        </w:tc>
      </w:tr>
      <w:tr>
        <w:tc>
          <w:tcPr>
            <w:tcW w:w="3346" w:type="dxa"/>
            <w:vAlign w:val="bottom"/>
            <w:tcBorders>
              <w:top w:val="nil"/>
              <w:left w:val="nil"/>
              <w:bottom w:val="nil"/>
              <w:right w:val="nil"/>
            </w:tcBorders>
          </w:tcPr>
          <w:p>
            <w:pPr>
              <w:pStyle w:val="0"/>
              <w:ind w:firstLine="283"/>
              <w:jc w:val="both"/>
            </w:pPr>
            <w:r>
              <w:rPr>
                <w:sz w:val="24"/>
              </w:rPr>
              <w:t xml:space="preserve">6. Контактная информация</w:t>
            </w:r>
          </w:p>
        </w:tc>
        <w:tc>
          <w:tcPr>
            <w:tcW w:w="5704" w:type="dxa"/>
            <w:tcBorders>
              <w:top w:val="nil"/>
              <w:left w:val="nil"/>
              <w:bottom w:val="single" w:sz="4"/>
              <w:right w:val="nil"/>
            </w:tcBorders>
          </w:tcPr>
          <w:p>
            <w:pPr>
              <w:pStyle w:val="0"/>
              <w:jc w:val="both"/>
            </w:pPr>
            <w:r>
              <w:rPr>
                <w:sz w:val="24"/>
              </w:rPr>
            </w:r>
          </w:p>
        </w:tc>
      </w:tr>
      <w:tr>
        <w:tc>
          <w:tcPr>
            <w:tcW w:w="3346" w:type="dxa"/>
            <w:tcBorders>
              <w:top w:val="nil"/>
              <w:left w:val="nil"/>
              <w:bottom w:val="nil"/>
              <w:right w:val="nil"/>
            </w:tcBorders>
          </w:tcPr>
          <w:p>
            <w:pPr>
              <w:pStyle w:val="0"/>
              <w:ind w:firstLine="283"/>
              <w:jc w:val="both"/>
            </w:pPr>
            <w:r>
              <w:rPr>
                <w:sz w:val="24"/>
              </w:rPr>
            </w:r>
          </w:p>
        </w:tc>
        <w:tc>
          <w:tcPr>
            <w:tcW w:w="5704" w:type="dxa"/>
            <w:tcBorders>
              <w:top w:val="single" w:sz="4"/>
              <w:left w:val="nil"/>
              <w:bottom w:val="nil"/>
              <w:right w:val="nil"/>
            </w:tcBorders>
          </w:tcPr>
          <w:p>
            <w:pPr>
              <w:pStyle w:val="0"/>
              <w:jc w:val="center"/>
            </w:pPr>
            <w:r>
              <w:rPr>
                <w:sz w:val="24"/>
              </w:rPr>
              <w:t xml:space="preserve">(номера телефонов, адрес электронной почты (при наличии), должность и фамилия, имя, отчество (при наличии) лица, заполняющего расчет)</w:t>
            </w:r>
          </w:p>
        </w:tc>
      </w:tr>
    </w:tbl>
    <w:p>
      <w:pPr>
        <w:pStyle w:val="0"/>
        <w:jc w:val="right"/>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2"/>
              <w:jc w:val="center"/>
            </w:pPr>
            <w:r>
              <w:rPr>
                <w:sz w:val="24"/>
              </w:rPr>
              <w:t xml:space="preserve">Раздел II. Расчет суммы экологического сбора</w:t>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3"/>
              <w:jc w:val="center"/>
            </w:pPr>
            <w:r>
              <w:rPr>
                <w:sz w:val="24"/>
              </w:rPr>
              <w:t xml:space="preserve">1. Расчет суммы экологического сбора в отношении товаров, упаковки, ввезенных на территорию Российской Федерации из государств, не являющихся государствами - членами Евразийского экономического союза, за отчетный период </w:t>
            </w:r>
            <w:hyperlink w:history="0" w:anchor="P891" w:tooltip="&lt;2&gt; При заполнении таблицы 1 в начале указываю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я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к...">
              <w:r>
                <w:rPr>
                  <w:sz w:val="24"/>
                  <w:color w:val="0000ff"/>
                </w:rPr>
                <w:t xml:space="preserve">&lt;2&gt;</w:t>
              </w:r>
            </w:hyperlink>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640" w:name="P640"/>
          <w:bookmarkEnd w:id="640"/>
          <w:p>
            <w:pPr>
              <w:pStyle w:val="0"/>
              <w:outlineLvl w:val="4"/>
              <w:jc w:val="right"/>
            </w:pPr>
            <w:r>
              <w:rPr>
                <w:sz w:val="24"/>
              </w:rPr>
              <w:t xml:space="preserve">Таблица 1</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
        <w:gridCol w:w="756"/>
        <w:gridCol w:w="1155"/>
        <w:gridCol w:w="975"/>
        <w:gridCol w:w="950"/>
        <w:gridCol w:w="882"/>
        <w:gridCol w:w="758"/>
        <w:gridCol w:w="740"/>
        <w:gridCol w:w="595"/>
        <w:gridCol w:w="665"/>
        <w:gridCol w:w="705"/>
        <w:gridCol w:w="735"/>
        <w:gridCol w:w="785"/>
        <w:gridCol w:w="1768"/>
        <w:gridCol w:w="1616"/>
      </w:tblGrid>
      <w:tr>
        <w:tc>
          <w:tcPr>
            <w:tcW w:w="504" w:type="dxa"/>
            <w:vMerge w:val="restart"/>
          </w:tcPr>
          <w:p>
            <w:pPr>
              <w:pStyle w:val="0"/>
              <w:jc w:val="center"/>
            </w:pPr>
            <w:r>
              <w:rPr>
                <w:sz w:val="24"/>
              </w:rPr>
              <w:t xml:space="preserve">N п/п</w:t>
            </w:r>
          </w:p>
        </w:tc>
        <w:tc>
          <w:tcPr>
            <w:tcW w:w="756" w:type="dxa"/>
            <w:vMerge w:val="restart"/>
          </w:tcPr>
          <w:p>
            <w:pPr>
              <w:pStyle w:val="0"/>
              <w:jc w:val="center"/>
            </w:pPr>
            <w:r>
              <w:rPr>
                <w:sz w:val="24"/>
              </w:rPr>
              <w:t xml:space="preserve">Наименование товара, упаковки </w:t>
            </w:r>
            <w:hyperlink w:history="0" w:anchor="P891" w:tooltip="&lt;2&gt; При заполнении таблицы 1 в начале указываются номер и наименование группы товаров, упаковки, отходы от использования которых подлежат утилизации в отчетном периоде в соответствии с разделами I и II перечня товаров, упаковки, отходы от использования которых подлежат утилизации, на 2024 год и перечня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quot;Об утверждении перечней товаров, упаковк...">
              <w:r>
                <w:rPr>
                  <w:sz w:val="24"/>
                  <w:color w:val="0000ff"/>
                </w:rPr>
                <w:t xml:space="preserve">&lt;2&gt;</w:t>
              </w:r>
            </w:hyperlink>
          </w:p>
        </w:tc>
        <w:tc>
          <w:tcPr>
            <w:tcW w:w="1155" w:type="dxa"/>
            <w:vMerge w:val="restart"/>
          </w:tcPr>
          <w:p>
            <w:pPr>
              <w:pStyle w:val="0"/>
              <w:jc w:val="center"/>
            </w:pPr>
            <w:r>
              <w:rPr>
                <w:sz w:val="24"/>
              </w:rPr>
              <w:t xml:space="preserve">Наименование позиции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893" w:tooltip="&lt;3&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w:r>
                <w:rPr>
                  <w:sz w:val="24"/>
                  <w:color w:val="0000ff"/>
                </w:rPr>
                <w:t xml:space="preserve">&lt;3&gt;</w:t>
              </w:r>
            </w:hyperlink>
          </w:p>
        </w:tc>
        <w:tc>
          <w:tcPr>
            <w:tcW w:w="975" w:type="dxa"/>
            <w:vMerge w:val="restart"/>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893" w:tooltip="&lt;3&gt; Наименование и код по каждому товару, упаковке указываются по единой Товарной номенклатуре внешнеэкономической деятельности Евразийского экономического союза (ТН ВЭД ЕАЭС).">
              <w:r>
                <w:rPr>
                  <w:sz w:val="24"/>
                  <w:color w:val="0000ff"/>
                </w:rPr>
                <w:t xml:space="preserve">&lt;3&gt;</w:t>
              </w:r>
            </w:hyperlink>
          </w:p>
        </w:tc>
        <w:tc>
          <w:tcPr>
            <w:tcW w:w="950" w:type="dxa"/>
            <w:vMerge w:val="restart"/>
          </w:tcPr>
          <w:p>
            <w:pPr>
              <w:pStyle w:val="0"/>
              <w:jc w:val="center"/>
            </w:pPr>
            <w:r>
              <w:rPr>
                <w:sz w:val="24"/>
              </w:rPr>
              <w:t xml:space="preserve">Масса товара, упаковки, ввезенных в течение отчетного периода</w:t>
            </w:r>
          </w:p>
          <w:p>
            <w:pPr>
              <w:pStyle w:val="0"/>
              <w:jc w:val="center"/>
            </w:pPr>
            <w:r>
              <w:rPr>
                <w:sz w:val="24"/>
              </w:rPr>
              <w:t xml:space="preserve">(М</w:t>
            </w:r>
            <w:r>
              <w:rPr>
                <w:sz w:val="24"/>
                <w:vertAlign w:val="subscript"/>
              </w:rPr>
              <w:t xml:space="preserve">т.</w:t>
            </w:r>
            <w:r>
              <w:rPr>
                <w:sz w:val="24"/>
              </w:rPr>
              <w:t xml:space="preserve">), всего, кг </w:t>
            </w:r>
            <w:hyperlink w:history="0" w:anchor="P894" w:tooltip="&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
              <w:r>
                <w:rPr>
                  <w:sz w:val="24"/>
                  <w:color w:val="0000ff"/>
                </w:rPr>
                <w:t xml:space="preserve">&lt;4&gt;</w:t>
              </w:r>
            </w:hyperlink>
            <w:r>
              <w:rPr>
                <w:sz w:val="24"/>
              </w:rPr>
              <w:t xml:space="preserve">, </w:t>
            </w:r>
            <w:hyperlink w:history="0" w:anchor="P895" w:tooltip="&lt;5&gt; Масса указывается для каждого наименования товара, упаковки в килограммах, округленных до целого числа по математическим правилам округления. Масса товара, упаковки, ввезенных в течение отчетного периода (всего) (Мт.), указывается как сумма значений строк графы 5 таблицы 1 раздела II приложения N 2 к Правилам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
              <w:r>
                <w:rPr>
                  <w:sz w:val="24"/>
                  <w:color w:val="0000ff"/>
                </w:rPr>
                <w:t xml:space="preserve">&lt;5&gt;</w:t>
              </w:r>
            </w:hyperlink>
          </w:p>
        </w:tc>
        <w:tc>
          <w:tcPr>
            <w:gridSpan w:val="3"/>
            <w:tcW w:w="2380" w:type="dxa"/>
          </w:tcPr>
          <w:p>
            <w:pPr>
              <w:pStyle w:val="0"/>
              <w:jc w:val="center"/>
            </w:pPr>
            <w:r>
              <w:rPr>
                <w:sz w:val="24"/>
              </w:rPr>
              <w:t xml:space="preserve">Информация о товаре, вывезенном из Российской Федерации </w:t>
            </w:r>
            <w:hyperlink w:history="0" w:anchor="P894" w:tooltip="&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
              <w:r>
                <w:rPr>
                  <w:sz w:val="24"/>
                  <w:color w:val="0000ff"/>
                </w:rPr>
                <w:t xml:space="preserve">&lt;4&gt;</w:t>
              </w:r>
            </w:hyperlink>
          </w:p>
        </w:tc>
        <w:tc>
          <w:tcPr>
            <w:gridSpan w:val="7"/>
            <w:tcW w:w="6869" w:type="dxa"/>
          </w:tcPr>
          <w:p>
            <w:pPr>
              <w:pStyle w:val="0"/>
              <w:jc w:val="center"/>
            </w:pPr>
            <w:r>
              <w:rPr>
                <w:sz w:val="24"/>
              </w:rPr>
              <w:t xml:space="preserve">Информация о товаре, используемом в качестве сырья, материалов, запасных частей, комплектующих </w:t>
            </w:r>
            <w:hyperlink w:history="0" w:anchor="P894" w:tooltip="&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
              <w:r>
                <w:rPr>
                  <w:sz w:val="24"/>
                  <w:color w:val="0000ff"/>
                </w:rPr>
                <w:t xml:space="preserve">&lt;4&gt;</w:t>
              </w:r>
            </w:hyperlink>
          </w:p>
        </w:tc>
      </w:tr>
      <w:tr>
        <w:tc>
          <w:tcPr>
            <w:vMerge w:val="continue"/>
          </w:tcPr>
          <w:p/>
        </w:tc>
        <w:tc>
          <w:tcPr>
            <w:vMerge w:val="continue"/>
          </w:tcPr>
          <w:p/>
        </w:tc>
        <w:tc>
          <w:tcPr>
            <w:vMerge w:val="continue"/>
          </w:tcPr>
          <w:p/>
        </w:tc>
        <w:tc>
          <w:tcPr>
            <w:vMerge w:val="continue"/>
          </w:tcPr>
          <w:p/>
        </w:tc>
        <w:tc>
          <w:tcPr>
            <w:vMerge w:val="continue"/>
          </w:tcPr>
          <w:p/>
        </w:tc>
        <w:tc>
          <w:tcPr>
            <w:tcW w:w="882" w:type="dxa"/>
          </w:tcPr>
          <w:p>
            <w:pPr>
              <w:pStyle w:val="0"/>
              <w:jc w:val="center"/>
            </w:pPr>
            <w:r>
              <w:rPr>
                <w:sz w:val="24"/>
              </w:rPr>
              <w:t xml:space="preserve">Масса</w:t>
            </w:r>
          </w:p>
          <w:p>
            <w:pPr>
              <w:pStyle w:val="0"/>
              <w:jc w:val="center"/>
            </w:pPr>
            <w:r>
              <w:rPr>
                <w:sz w:val="24"/>
              </w:rPr>
              <w:t xml:space="preserve">(М</w:t>
            </w:r>
            <w:r>
              <w:rPr>
                <w:sz w:val="24"/>
                <w:vertAlign w:val="subscript"/>
              </w:rPr>
              <w:t xml:space="preserve">выв</w:t>
            </w:r>
            <w:r>
              <w:rPr>
                <w:sz w:val="24"/>
              </w:rPr>
              <w:t xml:space="preserve">), кг </w:t>
            </w:r>
            <w:hyperlink w:history="0" w:anchor="P896" w:tooltip="&lt;6&gt; Указывается масса товаров, упаковки, в отношении которых в отчетный период наступили события, предусмотренные пунктом 2 статьи 24.2-1 Федерального закона &quot;Об отходах производства и потребления&quot;, и которые вывезены в отчетном периоде из Российской Федерации (Мвыв.т.). Заполняется на основании таможенных документов и (или) на основании документов, полученных от контрагентов при осуществлении коммерческой деятельности, в случае если вывоз товаров, упаковки подтвержден в порядке, установленном Правительс...">
              <w:r>
                <w:rPr>
                  <w:sz w:val="24"/>
                  <w:color w:val="0000ff"/>
                </w:rPr>
                <w:t xml:space="preserve">&lt;6&gt;</w:t>
              </w:r>
            </w:hyperlink>
          </w:p>
        </w:tc>
        <w:tc>
          <w:tcPr>
            <w:tcW w:w="758" w:type="dxa"/>
          </w:tcPr>
          <w:p>
            <w:pPr>
              <w:pStyle w:val="0"/>
              <w:jc w:val="center"/>
            </w:pPr>
            <w:r>
              <w:rPr>
                <w:sz w:val="24"/>
              </w:rPr>
              <w:t xml:space="preserve">Сведения о лицах, осуществивших вывоз товара </w:t>
            </w:r>
            <w:hyperlink w:history="0" w:anchor="P897" w:tooltip="&lt;7&gt; В случае если в отчетном периоде определенная масса товаров, упаковки, сведения о которых указаны в строках граф 2 - 4, вывозилась из Российской Федерации, в графе отражается наименование юридического лица или фамилия, имя, отчество (при наличии) физического лица, являющегося индивидуальным предпринимателем, которые осуществили вывоз товаров, упаковки, их идентификационные номера налогоплательщиков и основной государственный регистрационный номер, либо указывается &quot;самостоятельно&quot;, если вывоз осущест...">
              <w:r>
                <w:rPr>
                  <w:sz w:val="24"/>
                  <w:color w:val="0000ff"/>
                </w:rPr>
                <w:t xml:space="preserve">&lt;7&gt;</w:t>
              </w:r>
            </w:hyperlink>
          </w:p>
        </w:tc>
        <w:tc>
          <w:tcPr>
            <w:tcW w:w="740" w:type="dxa"/>
          </w:tcPr>
          <w:p>
            <w:pPr>
              <w:pStyle w:val="0"/>
              <w:jc w:val="center"/>
            </w:pPr>
            <w:r>
              <w:rPr>
                <w:sz w:val="24"/>
              </w:rPr>
              <w:t xml:space="preserve">Реквизиты документов, подтверждающих вывоз товара </w:t>
            </w:r>
            <w:hyperlink w:history="0" w:anchor="P898" w:tooltip="&lt;8&gt; В случае если в отчетном периоде определенная масса товаров, упаковки, сведения о которых указаны в строках граф 2 - 4, вывозилась из Российской Федерации, в графе отражаются реквизиты (номер, дата) документов, подтверждающих вывоз с территории Российской Федерации товаров, упаковки.">
              <w:r>
                <w:rPr>
                  <w:sz w:val="24"/>
                  <w:color w:val="0000ff"/>
                </w:rPr>
                <w:t xml:space="preserve">&lt;8&gt;</w:t>
              </w:r>
            </w:hyperlink>
          </w:p>
        </w:tc>
        <w:tc>
          <w:tcPr>
            <w:tcW w:w="595" w:type="dxa"/>
          </w:tcPr>
          <w:p>
            <w:pPr>
              <w:pStyle w:val="0"/>
              <w:jc w:val="center"/>
            </w:pPr>
            <w:r>
              <w:rPr>
                <w:sz w:val="24"/>
              </w:rPr>
              <w:t xml:space="preserve">Масса товара, всего, кг </w:t>
            </w:r>
            <w:hyperlink w:history="0" w:anchor="P899" w:tooltip="&lt;9&gt; Указывается общая масса товара, сведения о котором указаны в строках граф 2 - 4, используемого импортерами товаров (в случае если импортер одновременно является производителем конечного товара) самостоятельно или переданного другим лицам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
              <w:r>
                <w:rPr>
                  <w:sz w:val="24"/>
                  <w:color w:val="0000ff"/>
                </w:rPr>
                <w:t xml:space="preserve">&lt;9&gt;</w:t>
              </w:r>
            </w:hyperlink>
          </w:p>
        </w:tc>
        <w:tc>
          <w:tcPr>
            <w:tcW w:w="665" w:type="dxa"/>
          </w:tcPr>
          <w:p>
            <w:pPr>
              <w:pStyle w:val="0"/>
              <w:jc w:val="center"/>
            </w:pPr>
            <w:r>
              <w:rPr>
                <w:sz w:val="24"/>
              </w:rPr>
              <w:t xml:space="preserve">Масса используемого товара, кг </w:t>
            </w:r>
            <w:hyperlink w:history="0" w:anchor="P900" w:tooltip="&lt;10&gt; Указывается масса товара, сведения о котором указаны в строках граф 2 - 4, используемого импортерами товаров (в случае если импортер одновременно является производителем конечного товара) самостоятельно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пунктом 2 статьи 24....">
              <w:r>
                <w:rPr>
                  <w:sz w:val="24"/>
                  <w:color w:val="0000ff"/>
                </w:rPr>
                <w:t xml:space="preserve">&lt;10&gt;</w:t>
              </w:r>
            </w:hyperlink>
          </w:p>
        </w:tc>
        <w:tc>
          <w:tcPr>
            <w:tcW w:w="705" w:type="dxa"/>
          </w:tcPr>
          <w:p>
            <w:pPr>
              <w:pStyle w:val="0"/>
              <w:jc w:val="center"/>
            </w:pPr>
            <w:r>
              <w:rPr>
                <w:sz w:val="24"/>
              </w:rPr>
              <w:t xml:space="preserve">Масса переданного другим лицам товара, кг </w:t>
            </w:r>
            <w:hyperlink w:history="0" w:anchor="P901" w:tooltip="&lt;11&gt; Указывается масса товара, сведения о котором указаны в строках граф 2 - 4, переданного другим лицам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пунктом 2 статьи 24.1 Федерального закона &quot;Об отходах производства и потребления&quot; (Мзап.). В случае отсутствия у импортера ...">
              <w:r>
                <w:rPr>
                  <w:sz w:val="24"/>
                  <w:color w:val="0000ff"/>
                </w:rPr>
                <w:t xml:space="preserve">&lt;11&gt;</w:t>
              </w:r>
            </w:hyperlink>
          </w:p>
        </w:tc>
        <w:tc>
          <w:tcPr>
            <w:tcW w:w="735" w:type="dxa"/>
          </w:tcPr>
          <w:p>
            <w:pPr>
              <w:pStyle w:val="0"/>
              <w:jc w:val="center"/>
            </w:pPr>
            <w:r>
              <w:rPr>
                <w:sz w:val="24"/>
              </w:rPr>
              <w:t xml:space="preserve">Сведения о лицах, которым передан товар </w:t>
            </w:r>
            <w:hyperlink w:history="0" w:anchor="P902" w:tooltip="&lt;12&gt; Указывается наименование юридического лица или фамилия, имя, отчество (при наличии) физического лица, являющегося индивидуальным предпринимателем, сведения о котором в качестве производителя товаров, импортера товаров, которые обязаны обеспечивать утилизацию отходов, содержатся в реестре таких лиц, являющемся информационной подсистемой единой федеральной государственной информационной системы учета отходов от использования товаров, и которому передан товар, сведения о котором указаны в строках граф ...">
              <w:r>
                <w:rPr>
                  <w:sz w:val="24"/>
                  <w:color w:val="0000ff"/>
                </w:rPr>
                <w:t xml:space="preserve">&lt;12&gt;</w:t>
              </w:r>
            </w:hyperlink>
          </w:p>
        </w:tc>
        <w:tc>
          <w:tcPr>
            <w:tcW w:w="785" w:type="dxa"/>
          </w:tcPr>
          <w:p>
            <w:pPr>
              <w:pStyle w:val="0"/>
              <w:jc w:val="center"/>
            </w:pPr>
            <w:r>
              <w:rPr>
                <w:sz w:val="24"/>
              </w:rPr>
              <w:t xml:space="preserve">Реквизиты документов, подтверждающих передачу товара </w:t>
            </w:r>
            <w:hyperlink w:history="0" w:anchor="P904" w:tooltip="&lt;13&gt; Указываются реквизиты (номер, дата) товарно-сопроводительных документов и иных документов (договоров, заключенных между производителем товаров, импортером товаров, реализуемых в качестве сырья, материалов, запасных частей, комплектующих, и юридическим лицом или индивидуальным предпринимателем (производителем конечного товара), которому импортер товаров реализует их в качестве сырья, материалов, запасных частей, комплектующих, акты приема-передачи, акты выполненных работ и иные документы), подтвержда...">
              <w:r>
                <w:rPr>
                  <w:sz w:val="24"/>
                  <w:color w:val="0000ff"/>
                </w:rPr>
                <w:t xml:space="preserve">&lt;13&gt;</w:t>
              </w:r>
            </w:hyperlink>
          </w:p>
        </w:tc>
        <w:tc>
          <w:tcPr>
            <w:tcW w:w="1768" w:type="dxa"/>
          </w:tcPr>
          <w:p>
            <w:pPr>
              <w:pStyle w:val="0"/>
              <w:jc w:val="center"/>
            </w:pPr>
            <w:r>
              <w:rPr>
                <w:sz w:val="24"/>
              </w:rPr>
              <w:t xml:space="preserve">Наименование товара (товаров), при производстве которого использован и (или) передан для использования товар в качестве сырья, материалов, запасных частей, комплектующих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905" w:tooltip="&lt;14&gt; Указываются наименование и код товара (товаров) по Общероссийскому классификатору продукции по видам экономической деятельности ОК 034-2014 (КПЕС 2008) согласно товарным позициям по товарам, упаковке, предусмотренным разделами I и II перечня товаров, упаковки, при производстве которых в качестве сырья, материалов, запасных частей, комплектующих использован и (или) передан для использования товар, сведения о котором указаны в строках граф 2 - 4.">
              <w:r>
                <w:rPr>
                  <w:sz w:val="24"/>
                  <w:color w:val="0000ff"/>
                </w:rPr>
                <w:t xml:space="preserve">&lt;14&gt;</w:t>
              </w:r>
            </w:hyperlink>
          </w:p>
        </w:tc>
        <w:tc>
          <w:tcPr>
            <w:tcW w:w="1616" w:type="dxa"/>
          </w:tcPr>
          <w:p>
            <w:pPr>
              <w:pStyle w:val="0"/>
              <w:jc w:val="center"/>
            </w:pPr>
            <w:r>
              <w:rPr>
                <w:sz w:val="24"/>
              </w:rPr>
              <w:t xml:space="preserve">Код товара (товаров), при производстве которого использован и (или) передан для использования товар в качестве сырья, материалов, запасных частей, комплектующих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905" w:tooltip="&lt;14&gt; Указываются наименование и код товара (товаров) по Общероссийскому классификатору продукции по видам экономической деятельности ОК 034-2014 (КПЕС 2008) согласно товарным позициям по товарам, упаковке, предусмотренным разделами I и II перечня товаров, упаковки, при производстве которых в качестве сырья, материалов, запасных частей, комплектующих использован и (или) передан для использования товар, сведения о котором указаны в строках граф 2 - 4.">
              <w:r>
                <w:rPr>
                  <w:sz w:val="24"/>
                  <w:color w:val="0000ff"/>
                </w:rPr>
                <w:t xml:space="preserve">&lt;14&gt;</w:t>
              </w:r>
            </w:hyperlink>
          </w:p>
        </w:tc>
      </w:tr>
      <w:tr>
        <w:tc>
          <w:tcPr>
            <w:tcW w:w="504" w:type="dxa"/>
          </w:tcPr>
          <w:p>
            <w:pPr>
              <w:pStyle w:val="0"/>
              <w:jc w:val="center"/>
            </w:pPr>
            <w:r>
              <w:rPr>
                <w:sz w:val="24"/>
              </w:rPr>
              <w:t xml:space="preserve">1</w:t>
            </w:r>
          </w:p>
        </w:tc>
        <w:tc>
          <w:tcPr>
            <w:tcW w:w="756" w:type="dxa"/>
          </w:tcPr>
          <w:bookmarkStart w:id="666" w:name="P666"/>
          <w:bookmarkEnd w:id="666"/>
          <w:p>
            <w:pPr>
              <w:pStyle w:val="0"/>
              <w:jc w:val="center"/>
            </w:pPr>
            <w:r>
              <w:rPr>
                <w:sz w:val="24"/>
              </w:rPr>
              <w:t xml:space="preserve">2</w:t>
            </w:r>
          </w:p>
        </w:tc>
        <w:tc>
          <w:tcPr>
            <w:tcW w:w="1155" w:type="dxa"/>
          </w:tcPr>
          <w:p>
            <w:pPr>
              <w:pStyle w:val="0"/>
              <w:jc w:val="center"/>
            </w:pPr>
            <w:r>
              <w:rPr>
                <w:sz w:val="24"/>
              </w:rPr>
              <w:t xml:space="preserve">3</w:t>
            </w:r>
          </w:p>
        </w:tc>
        <w:tc>
          <w:tcPr>
            <w:tcW w:w="975" w:type="dxa"/>
          </w:tcPr>
          <w:bookmarkStart w:id="668" w:name="P668"/>
          <w:bookmarkEnd w:id="668"/>
          <w:p>
            <w:pPr>
              <w:pStyle w:val="0"/>
              <w:jc w:val="center"/>
            </w:pPr>
            <w:r>
              <w:rPr>
                <w:sz w:val="24"/>
              </w:rPr>
              <w:t xml:space="preserve">4</w:t>
            </w:r>
          </w:p>
        </w:tc>
        <w:tc>
          <w:tcPr>
            <w:tcW w:w="950" w:type="dxa"/>
          </w:tcPr>
          <w:bookmarkStart w:id="669" w:name="P669"/>
          <w:bookmarkEnd w:id="669"/>
          <w:p>
            <w:pPr>
              <w:pStyle w:val="0"/>
              <w:jc w:val="center"/>
            </w:pPr>
            <w:r>
              <w:rPr>
                <w:sz w:val="24"/>
              </w:rPr>
              <w:t xml:space="preserve">5</w:t>
            </w:r>
          </w:p>
        </w:tc>
        <w:tc>
          <w:tcPr>
            <w:tcW w:w="882" w:type="dxa"/>
          </w:tcPr>
          <w:bookmarkStart w:id="670" w:name="P670"/>
          <w:bookmarkEnd w:id="670"/>
          <w:p>
            <w:pPr>
              <w:pStyle w:val="0"/>
              <w:jc w:val="center"/>
            </w:pPr>
            <w:r>
              <w:rPr>
                <w:sz w:val="24"/>
              </w:rPr>
              <w:t xml:space="preserve">6</w:t>
            </w:r>
          </w:p>
        </w:tc>
        <w:tc>
          <w:tcPr>
            <w:tcW w:w="758" w:type="dxa"/>
          </w:tcPr>
          <w:p>
            <w:pPr>
              <w:pStyle w:val="0"/>
              <w:jc w:val="center"/>
            </w:pPr>
            <w:r>
              <w:rPr>
                <w:sz w:val="24"/>
              </w:rPr>
              <w:t xml:space="preserve">7</w:t>
            </w:r>
          </w:p>
        </w:tc>
        <w:tc>
          <w:tcPr>
            <w:tcW w:w="740" w:type="dxa"/>
          </w:tcPr>
          <w:p>
            <w:pPr>
              <w:pStyle w:val="0"/>
              <w:jc w:val="center"/>
            </w:pPr>
            <w:r>
              <w:rPr>
                <w:sz w:val="24"/>
              </w:rPr>
              <w:t xml:space="preserve">8</w:t>
            </w:r>
          </w:p>
        </w:tc>
        <w:tc>
          <w:tcPr>
            <w:tcW w:w="595" w:type="dxa"/>
          </w:tcPr>
          <w:bookmarkStart w:id="673" w:name="P673"/>
          <w:bookmarkEnd w:id="673"/>
          <w:p>
            <w:pPr>
              <w:pStyle w:val="0"/>
              <w:jc w:val="center"/>
            </w:pPr>
            <w:r>
              <w:rPr>
                <w:sz w:val="24"/>
              </w:rPr>
              <w:t xml:space="preserve">9</w:t>
            </w:r>
          </w:p>
        </w:tc>
        <w:tc>
          <w:tcPr>
            <w:tcW w:w="665" w:type="dxa"/>
          </w:tcPr>
          <w:p>
            <w:pPr>
              <w:pStyle w:val="0"/>
              <w:jc w:val="center"/>
            </w:pPr>
            <w:r>
              <w:rPr>
                <w:sz w:val="24"/>
              </w:rPr>
              <w:t xml:space="preserve">10</w:t>
            </w:r>
          </w:p>
        </w:tc>
        <w:tc>
          <w:tcPr>
            <w:tcW w:w="705" w:type="dxa"/>
          </w:tcPr>
          <w:bookmarkStart w:id="675" w:name="P675"/>
          <w:bookmarkEnd w:id="675"/>
          <w:p>
            <w:pPr>
              <w:pStyle w:val="0"/>
              <w:jc w:val="center"/>
            </w:pPr>
            <w:r>
              <w:rPr>
                <w:sz w:val="24"/>
              </w:rPr>
              <w:t xml:space="preserve">11</w:t>
            </w:r>
          </w:p>
        </w:tc>
        <w:tc>
          <w:tcPr>
            <w:tcW w:w="735" w:type="dxa"/>
          </w:tcPr>
          <w:bookmarkStart w:id="676" w:name="P676"/>
          <w:bookmarkEnd w:id="676"/>
          <w:p>
            <w:pPr>
              <w:pStyle w:val="0"/>
              <w:jc w:val="center"/>
            </w:pPr>
            <w:r>
              <w:rPr>
                <w:sz w:val="24"/>
              </w:rPr>
              <w:t xml:space="preserve">12</w:t>
            </w:r>
          </w:p>
        </w:tc>
        <w:tc>
          <w:tcPr>
            <w:tcW w:w="785" w:type="dxa"/>
          </w:tcPr>
          <w:p>
            <w:pPr>
              <w:pStyle w:val="0"/>
              <w:jc w:val="center"/>
            </w:pPr>
            <w:r>
              <w:rPr>
                <w:sz w:val="24"/>
              </w:rPr>
              <w:t xml:space="preserve">13</w:t>
            </w:r>
          </w:p>
        </w:tc>
        <w:tc>
          <w:tcPr>
            <w:tcW w:w="1768" w:type="dxa"/>
          </w:tcPr>
          <w:bookmarkStart w:id="678" w:name="P678"/>
          <w:bookmarkEnd w:id="678"/>
          <w:p>
            <w:pPr>
              <w:pStyle w:val="0"/>
              <w:jc w:val="center"/>
            </w:pPr>
            <w:r>
              <w:rPr>
                <w:sz w:val="24"/>
              </w:rPr>
              <w:t xml:space="preserve">14</w:t>
            </w:r>
          </w:p>
        </w:tc>
        <w:tc>
          <w:tcPr>
            <w:tcW w:w="1616" w:type="dxa"/>
          </w:tcPr>
          <w:bookmarkStart w:id="679" w:name="P679"/>
          <w:bookmarkEnd w:id="679"/>
          <w:p>
            <w:pPr>
              <w:pStyle w:val="0"/>
              <w:jc w:val="center"/>
            </w:pPr>
            <w:r>
              <w:rPr>
                <w:sz w:val="24"/>
              </w:rPr>
              <w:t xml:space="preserve">15</w:t>
            </w:r>
          </w:p>
        </w:tc>
      </w:tr>
      <w:tr>
        <w:tc>
          <w:tcPr>
            <w:gridSpan w:val="15"/>
            <w:tcW w:w="13589" w:type="dxa"/>
          </w:tcPr>
          <w:p>
            <w:pPr>
              <w:pStyle w:val="0"/>
              <w:jc w:val="center"/>
            </w:pPr>
            <w:r>
              <w:rPr>
                <w:sz w:val="24"/>
              </w:rPr>
              <w:t xml:space="preserve">группа N</w:t>
            </w:r>
          </w:p>
        </w:tc>
      </w:tr>
      <w:tr>
        <w:tc>
          <w:tcPr>
            <w:tcW w:w="504" w:type="dxa"/>
          </w:tcPr>
          <w:p>
            <w:pPr>
              <w:pStyle w:val="0"/>
              <w:jc w:val="center"/>
            </w:pPr>
            <w:r>
              <w:rPr>
                <w:sz w:val="24"/>
              </w:rPr>
            </w:r>
          </w:p>
        </w:tc>
        <w:tc>
          <w:tcPr>
            <w:tcW w:w="756" w:type="dxa"/>
          </w:tcPr>
          <w:p>
            <w:pPr>
              <w:pStyle w:val="0"/>
              <w:jc w:val="center"/>
            </w:pPr>
            <w:r>
              <w:rPr>
                <w:sz w:val="24"/>
              </w:rPr>
            </w:r>
          </w:p>
        </w:tc>
        <w:tc>
          <w:tcPr>
            <w:tcW w:w="1155" w:type="dxa"/>
          </w:tcPr>
          <w:p>
            <w:pPr>
              <w:pStyle w:val="0"/>
              <w:jc w:val="center"/>
            </w:pPr>
            <w:r>
              <w:rPr>
                <w:sz w:val="24"/>
              </w:rPr>
            </w:r>
          </w:p>
        </w:tc>
        <w:tc>
          <w:tcPr>
            <w:tcW w:w="975" w:type="dxa"/>
          </w:tcPr>
          <w:p>
            <w:pPr>
              <w:pStyle w:val="0"/>
              <w:jc w:val="center"/>
            </w:pPr>
            <w:r>
              <w:rPr>
                <w:sz w:val="24"/>
              </w:rPr>
            </w:r>
          </w:p>
        </w:tc>
        <w:tc>
          <w:tcPr>
            <w:tcW w:w="950" w:type="dxa"/>
          </w:tcPr>
          <w:p>
            <w:pPr>
              <w:pStyle w:val="0"/>
              <w:jc w:val="center"/>
            </w:pPr>
            <w:r>
              <w:rPr>
                <w:sz w:val="24"/>
              </w:rPr>
            </w:r>
          </w:p>
        </w:tc>
        <w:tc>
          <w:tcPr>
            <w:tcW w:w="882" w:type="dxa"/>
          </w:tcPr>
          <w:p>
            <w:pPr>
              <w:pStyle w:val="0"/>
              <w:jc w:val="center"/>
            </w:pPr>
            <w:r>
              <w:rPr>
                <w:sz w:val="24"/>
              </w:rPr>
            </w:r>
          </w:p>
        </w:tc>
        <w:tc>
          <w:tcPr>
            <w:tcW w:w="758" w:type="dxa"/>
          </w:tcPr>
          <w:p>
            <w:pPr>
              <w:pStyle w:val="0"/>
              <w:jc w:val="center"/>
            </w:pPr>
            <w:r>
              <w:rPr>
                <w:sz w:val="24"/>
              </w:rPr>
            </w:r>
          </w:p>
        </w:tc>
        <w:tc>
          <w:tcPr>
            <w:tcW w:w="740" w:type="dxa"/>
          </w:tcPr>
          <w:p>
            <w:pPr>
              <w:pStyle w:val="0"/>
              <w:jc w:val="center"/>
            </w:pPr>
            <w:r>
              <w:rPr>
                <w:sz w:val="24"/>
              </w:rPr>
            </w:r>
          </w:p>
        </w:tc>
        <w:tc>
          <w:tcPr>
            <w:tcW w:w="595" w:type="dxa"/>
          </w:tcPr>
          <w:p>
            <w:pPr>
              <w:pStyle w:val="0"/>
              <w:jc w:val="center"/>
            </w:pPr>
            <w:r>
              <w:rPr>
                <w:sz w:val="24"/>
              </w:rPr>
            </w:r>
          </w:p>
        </w:tc>
        <w:tc>
          <w:tcPr>
            <w:tcW w:w="665" w:type="dxa"/>
          </w:tcPr>
          <w:p>
            <w:pPr>
              <w:pStyle w:val="0"/>
              <w:jc w:val="center"/>
            </w:pPr>
            <w:r>
              <w:rPr>
                <w:sz w:val="24"/>
              </w:rPr>
            </w:r>
          </w:p>
        </w:tc>
        <w:tc>
          <w:tcPr>
            <w:tcW w:w="705" w:type="dxa"/>
          </w:tcPr>
          <w:p>
            <w:pPr>
              <w:pStyle w:val="0"/>
              <w:jc w:val="center"/>
            </w:pPr>
            <w:r>
              <w:rPr>
                <w:sz w:val="24"/>
              </w:rPr>
            </w:r>
          </w:p>
        </w:tc>
        <w:tc>
          <w:tcPr>
            <w:tcW w:w="735" w:type="dxa"/>
          </w:tcPr>
          <w:p>
            <w:pPr>
              <w:pStyle w:val="0"/>
              <w:jc w:val="center"/>
            </w:pPr>
            <w:r>
              <w:rPr>
                <w:sz w:val="24"/>
              </w:rPr>
            </w:r>
          </w:p>
        </w:tc>
        <w:tc>
          <w:tcPr>
            <w:tcW w:w="785" w:type="dxa"/>
          </w:tcPr>
          <w:p>
            <w:pPr>
              <w:pStyle w:val="0"/>
              <w:jc w:val="center"/>
            </w:pPr>
            <w:r>
              <w:rPr>
                <w:sz w:val="24"/>
              </w:rPr>
            </w:r>
          </w:p>
        </w:tc>
        <w:tc>
          <w:tcPr>
            <w:tcW w:w="1768" w:type="dxa"/>
          </w:tcPr>
          <w:p>
            <w:pPr>
              <w:pStyle w:val="0"/>
              <w:jc w:val="center"/>
            </w:pPr>
            <w:r>
              <w:rPr>
                <w:sz w:val="24"/>
              </w:rPr>
            </w:r>
          </w:p>
        </w:tc>
        <w:tc>
          <w:tcPr>
            <w:tcW w:w="1616" w:type="dxa"/>
          </w:tcPr>
          <w:p>
            <w:pPr>
              <w:pStyle w:val="0"/>
              <w:jc w:val="center"/>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jc w:val="right"/>
            </w:pPr>
            <w:r>
              <w:rPr>
                <w:sz w:val="24"/>
              </w:rPr>
              <w:t xml:space="preserve">Продолжение таблицы</w:t>
            </w:r>
          </w:p>
        </w:tc>
      </w:tr>
    </w:tbl>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35"/>
        <w:gridCol w:w="688"/>
        <w:gridCol w:w="1056"/>
        <w:gridCol w:w="1050"/>
        <w:gridCol w:w="705"/>
        <w:gridCol w:w="928"/>
        <w:gridCol w:w="844"/>
        <w:gridCol w:w="639"/>
        <w:gridCol w:w="602"/>
        <w:gridCol w:w="783"/>
        <w:gridCol w:w="684"/>
        <w:gridCol w:w="774"/>
        <w:gridCol w:w="720"/>
        <w:gridCol w:w="1041"/>
        <w:gridCol w:w="766"/>
        <w:gridCol w:w="735"/>
        <w:gridCol w:w="533"/>
      </w:tblGrid>
      <w:tr>
        <w:tc>
          <w:tcPr>
            <w:tcW w:w="1035" w:type="dxa"/>
          </w:tcPr>
          <w:p>
            <w:pPr>
              <w:pStyle w:val="0"/>
              <w:jc w:val="center"/>
            </w:pPr>
            <w:r>
              <w:rPr>
                <w:sz w:val="24"/>
              </w:rPr>
              <w:t xml:space="preserve">Масса товара, в отношении которого возникает обязанность обеспечивать утилизацию (без учета норматива утилизации)</w:t>
            </w:r>
          </w:p>
          <w:p>
            <w:pPr>
              <w:pStyle w:val="0"/>
              <w:jc w:val="center"/>
            </w:pPr>
            <w:r>
              <w:rPr>
                <w:sz w:val="24"/>
              </w:rPr>
              <w:t xml:space="preserve">(М</w:t>
            </w:r>
            <w:r>
              <w:rPr>
                <w:sz w:val="24"/>
                <w:vertAlign w:val="subscript"/>
              </w:rPr>
              <w:t xml:space="preserve">обяз.т.</w:t>
            </w:r>
            <w:r>
              <w:rPr>
                <w:sz w:val="24"/>
              </w:rPr>
              <w:t xml:space="preserve">), кг </w:t>
            </w:r>
            <w:hyperlink w:history="0" w:anchor="P908" w:tooltip="&lt;15&gt; Указывается масса отходов от использования товаров, упаковки, подлежащих утилизации в отчетном периоде без учета норматива утилизации (Мобяз.т.), определяемая как разница между значениями Мт. (графа 5), и Мвыв. (графа 6), и Мзап. (графа 9). В случае если импортер частично выполнил самостоятельную утилизацию и представил отчетность о самостоятельной утилизации, Мобяз.т. указывается в соответствии с данными строки графы 17 таблицы 1 раздела II приложения N 2 к Правилам представления производителями то...">
              <w:r>
                <w:rPr>
                  <w:sz w:val="24"/>
                  <w:color w:val="0000ff"/>
                </w:rPr>
                <w:t xml:space="preserve">&lt;15&gt;</w:t>
              </w:r>
            </w:hyperlink>
          </w:p>
        </w:tc>
        <w:tc>
          <w:tcPr>
            <w:tcW w:w="688" w:type="dxa"/>
          </w:tcPr>
          <w:p>
            <w:pPr>
              <w:pStyle w:val="0"/>
              <w:jc w:val="center"/>
            </w:pPr>
            <w:r>
              <w:rPr>
                <w:sz w:val="24"/>
              </w:rPr>
              <w:t xml:space="preserve">Норматив утилизации, процентов </w:t>
            </w:r>
            <w:hyperlink w:history="0" w:anchor="P909" w:tooltip="&lt;16&gt; Указывается норматив утилизации отходов от использования товаров, установленный Правительством Российской Федерации в соответствии с пунктом 2 статьи 24.2 Федерального закона &quot;Об отходах производства или потребления&quot;, и (или) процент массы упаковки, отходы от использования которой подлежат утилизации в размере, установленном частью 5 статьи 7 Федерального закона от 4 августа 2023 г. N 451-ФЗ &quot;О внесении изменений в Федеральный закон &quot;Об отходах производства или потребления&quot; и отдельные законодательн...">
              <w:r>
                <w:rPr>
                  <w:sz w:val="24"/>
                  <w:color w:val="0000ff"/>
                </w:rPr>
                <w:t xml:space="preserve">&lt;16&gt;</w:t>
              </w:r>
            </w:hyperlink>
          </w:p>
        </w:tc>
        <w:tc>
          <w:tcPr>
            <w:tcW w:w="1056" w:type="dxa"/>
          </w:tcPr>
          <w:p>
            <w:pPr>
              <w:pStyle w:val="0"/>
              <w:jc w:val="center"/>
            </w:pPr>
            <w:r>
              <w:rPr>
                <w:sz w:val="24"/>
              </w:rPr>
              <w:t xml:space="preserve">Масса отходов от использования товаров, упаковки, подлежащих утилизации (с учетом норматива утилизации)</w:t>
            </w:r>
          </w:p>
          <w:p>
            <w:pPr>
              <w:pStyle w:val="0"/>
              <w:jc w:val="center"/>
            </w:pPr>
            <w:r>
              <w:rPr>
                <w:sz w:val="24"/>
              </w:rPr>
              <w:t xml:space="preserve">(М</w:t>
            </w:r>
            <w:r>
              <w:rPr>
                <w:sz w:val="24"/>
                <w:vertAlign w:val="subscript"/>
              </w:rPr>
              <w:t xml:space="preserve">подл.ут.т.</w:t>
            </w:r>
            <w:r>
              <w:rPr>
                <w:sz w:val="24"/>
              </w:rPr>
              <w:t xml:space="preserve">), кг </w:t>
            </w:r>
            <w:hyperlink w:history="0" w:anchor="P910" w:tooltip="&lt;17&gt; Указывается масса отходов от использования товаров, упаковки, подлежащих утилизации в отчетном периоде с учетом норматива утилизации (Мподл.ут.т.), определяемая как произведение массы отходов от использования товаров, упаковки, подлежащих утилизации в отчетном периоде без учета норматива утилизации (Мобяз.т.) (графа 16), и норматива (графа 17). Строка графы 18 заполняется автоматически при использовании интерактивных форм отчетности.">
              <w:r>
                <w:rPr>
                  <w:sz w:val="24"/>
                  <w:color w:val="0000ff"/>
                </w:rPr>
                <w:t xml:space="preserve">&lt;17&gt;</w:t>
              </w:r>
            </w:hyperlink>
          </w:p>
        </w:tc>
        <w:tc>
          <w:tcPr>
            <w:tcW w:w="1050" w:type="dxa"/>
          </w:tcPr>
          <w:p>
            <w:pPr>
              <w:pStyle w:val="0"/>
              <w:jc w:val="center"/>
            </w:pPr>
            <w:r>
              <w:rPr>
                <w:sz w:val="24"/>
              </w:rPr>
              <w:t xml:space="preserve">Масса отходов от использования товаров, упаковки, в отношении которых уплачен экологический сбор до выпуска товаров в обращение </w:t>
            </w:r>
            <w:hyperlink w:history="0" w:anchor="P911" w:tooltip="&lt;18&gt; Указывается масса товара, упаковки, ввезенных в отчетный период, в отношении которых уплачен экологический сбор до выпуска их в обращение.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приложению N 1 к Положению о проведении эксперимента, заполняют графу 19 в соответствии с данными, указанными в строке графы 22 табли...">
              <w:r>
                <w:rPr>
                  <w:sz w:val="24"/>
                  <w:color w:val="0000ff"/>
                </w:rPr>
                <w:t xml:space="preserve">&lt;18&gt;</w:t>
              </w:r>
            </w:hyperlink>
          </w:p>
        </w:tc>
        <w:tc>
          <w:tcPr>
            <w:tcW w:w="705" w:type="dxa"/>
          </w:tcPr>
          <w:p>
            <w:pPr>
              <w:pStyle w:val="0"/>
              <w:jc w:val="center"/>
            </w:pPr>
            <w:r>
              <w:rPr>
                <w:sz w:val="24"/>
              </w:rPr>
              <w:t xml:space="preserve">Реквизиты документов об уплате экологического сбора </w:t>
            </w:r>
            <w:hyperlink w:history="0" w:anchor="P912" w:tooltip="&lt;19&gt; Указываются реквизиты платежных документов об уплате экологического сбора в отношении товаров, упаковки, указанных в графе 19.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приложению N 1 к Положению о проведении эксперимента, заполняют графу 20 в соответствии с данными, указанными в строке графы 23 таблицы 1 раздела...">
              <w:r>
                <w:rPr>
                  <w:sz w:val="24"/>
                  <w:color w:val="0000ff"/>
                </w:rPr>
                <w:t xml:space="preserve">&lt;19&gt;</w:t>
              </w:r>
            </w:hyperlink>
          </w:p>
        </w:tc>
        <w:tc>
          <w:tcPr>
            <w:tcW w:w="928" w:type="dxa"/>
          </w:tcPr>
          <w:p>
            <w:pPr>
              <w:pStyle w:val="0"/>
              <w:jc w:val="center"/>
            </w:pPr>
            <w:r>
              <w:rPr>
                <w:sz w:val="24"/>
              </w:rPr>
              <w:t xml:space="preserve">Масса отходов, в отношении которых выполнена самостоятельная утилизация</w:t>
            </w:r>
          </w:p>
          <w:p>
            <w:pPr>
              <w:pStyle w:val="0"/>
              <w:jc w:val="center"/>
            </w:pPr>
            <w:r>
              <w:rPr>
                <w:sz w:val="24"/>
              </w:rPr>
              <w:t xml:space="preserve">(М</w:t>
            </w:r>
            <w:r>
              <w:rPr>
                <w:sz w:val="24"/>
                <w:vertAlign w:val="subscript"/>
              </w:rPr>
              <w:t xml:space="preserve">засч.т.</w:t>
            </w:r>
            <w:r>
              <w:rPr>
                <w:sz w:val="24"/>
              </w:rPr>
              <w:t xml:space="preserve">), кг </w:t>
            </w:r>
            <w:hyperlink w:history="0" w:anchor="P913" w:tooltip="&lt;20&gt; Указывается масса отходов от использования товаров, упаковки, в отношении которых выполнена самостоятельная утилизация (Мзасч.т.), в соответствии с данными строки графы 30 таблицы 1 раздела II приложения N 2 к Правилам представления отчетности о выполнении самостоятельной утилизации.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
              <w:r>
                <w:rPr>
                  <w:sz w:val="24"/>
                  <w:color w:val="0000ff"/>
                </w:rPr>
                <w:t xml:space="preserve">&lt;20&gt;</w:t>
              </w:r>
            </w:hyperlink>
          </w:p>
        </w:tc>
        <w:tc>
          <w:tcPr>
            <w:tcW w:w="844" w:type="dxa"/>
          </w:tcPr>
          <w:p>
            <w:pPr>
              <w:pStyle w:val="0"/>
              <w:jc w:val="center"/>
            </w:pPr>
            <w:r>
              <w:rPr>
                <w:sz w:val="24"/>
              </w:rPr>
              <w:t xml:space="preserve">Масса отходов, в отношении которых подлежит уплате экологический сбор</w:t>
            </w:r>
          </w:p>
          <w:p>
            <w:pPr>
              <w:pStyle w:val="0"/>
              <w:jc w:val="center"/>
            </w:pPr>
            <w:r>
              <w:rPr>
                <w:sz w:val="24"/>
              </w:rPr>
              <w:t xml:space="preserve">(М</w:t>
            </w:r>
            <w:r>
              <w:rPr>
                <w:sz w:val="24"/>
                <w:vertAlign w:val="subscript"/>
              </w:rPr>
              <w:t xml:space="preserve">эст</w:t>
            </w:r>
            <w:r>
              <w:rPr>
                <w:sz w:val="24"/>
              </w:rPr>
              <w:t xml:space="preserve">), кг </w:t>
            </w:r>
            <w:hyperlink w:history="0" w:anchor="P914" w:tooltip="&lt;21&gt; Указывается масса отходов, в отношении которых сохраняется обязанность уплатить экологический сбор, определяется как разница граф 18, 19 и 21. Строка заполняется автоматически при использовании интерактивных форм расчета.">
              <w:r>
                <w:rPr>
                  <w:sz w:val="24"/>
                  <w:color w:val="0000ff"/>
                </w:rPr>
                <w:t xml:space="preserve">&lt;21&gt;</w:t>
              </w:r>
            </w:hyperlink>
          </w:p>
        </w:tc>
        <w:tc>
          <w:tcPr>
            <w:tcW w:w="639" w:type="dxa"/>
          </w:tcPr>
          <w:p>
            <w:pPr>
              <w:pStyle w:val="0"/>
              <w:jc w:val="center"/>
            </w:pPr>
            <w:r>
              <w:rPr>
                <w:sz w:val="24"/>
              </w:rPr>
              <w:t xml:space="preserve">Базовая ставка экологического сбора</w:t>
            </w:r>
          </w:p>
          <w:p>
            <w:pPr>
              <w:pStyle w:val="0"/>
              <w:jc w:val="center"/>
            </w:pPr>
            <w:r>
              <w:rPr>
                <w:sz w:val="24"/>
              </w:rPr>
              <w:t xml:space="preserve">(БСЭС), рублей </w:t>
            </w:r>
            <w:hyperlink w:history="0" w:anchor="P915" w:tooltip="&lt;22&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&lt;22&gt;</w:t>
              </w:r>
            </w:hyperlink>
          </w:p>
        </w:tc>
        <w:tc>
          <w:tcPr>
            <w:tcW w:w="602" w:type="dxa"/>
          </w:tcPr>
          <w:p>
            <w:pPr>
              <w:pStyle w:val="0"/>
              <w:jc w:val="center"/>
            </w:pPr>
            <w:r>
              <w:rPr>
                <w:sz w:val="24"/>
              </w:rPr>
              <w:t xml:space="preserve">Значение коэффициента</w:t>
            </w:r>
          </w:p>
          <w:p>
            <w:pPr>
              <w:pStyle w:val="0"/>
              <w:jc w:val="center"/>
            </w:pPr>
            <w:r>
              <w:rPr>
                <w:sz w:val="24"/>
              </w:rPr>
              <w:t xml:space="preserve">(КЭ) </w:t>
            </w:r>
            <w:hyperlink w:history="0" w:anchor="P916" w:tooltip="&lt;23&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го Пра...">
              <w:r>
                <w:rPr>
                  <w:sz w:val="24"/>
                  <w:color w:val="0000ff"/>
                </w:rPr>
                <w:t xml:space="preserve">&lt;23&gt;</w:t>
              </w:r>
            </w:hyperlink>
          </w:p>
        </w:tc>
        <w:tc>
          <w:tcPr>
            <w:tcW w:w="783" w:type="dxa"/>
          </w:tcPr>
          <w:p>
            <w:pPr>
              <w:pStyle w:val="0"/>
              <w:jc w:val="center"/>
            </w:pPr>
            <w:r>
              <w:rPr>
                <w:sz w:val="24"/>
              </w:rPr>
              <w:t xml:space="preserve">Ставка экологического сбора с учетом коэффициента</w:t>
            </w:r>
          </w:p>
          <w:p>
            <w:pPr>
              <w:pStyle w:val="0"/>
              <w:jc w:val="center"/>
            </w:pPr>
            <w:r>
              <w:rPr>
                <w:sz w:val="24"/>
              </w:rPr>
              <w:t xml:space="preserve">(СЭС), рублей </w:t>
            </w:r>
            <w:hyperlink w:history="0" w:anchor="P917" w:tooltip="&lt;24&gt; Указывается значение ставки экологического сбора (СЭС), определяемое как произведение значений БСЭС (графа 23) и КЭ (графа 24). Строка заполняется автоматически при использовании интерактивных форм отчетности.">
              <w:r>
                <w:rPr>
                  <w:sz w:val="24"/>
                  <w:color w:val="0000ff"/>
                </w:rPr>
                <w:t xml:space="preserve">&lt;24&gt;</w:t>
              </w:r>
            </w:hyperlink>
          </w:p>
        </w:tc>
        <w:tc>
          <w:tcPr>
            <w:tcW w:w="684" w:type="dxa"/>
          </w:tcPr>
          <w:p>
            <w:pPr>
              <w:pStyle w:val="0"/>
              <w:jc w:val="center"/>
            </w:pPr>
            <w:r>
              <w:rPr>
                <w:sz w:val="24"/>
              </w:rPr>
              <w:t xml:space="preserve">Сумма экологического сбора, подлежащая уплате, рублей </w:t>
            </w:r>
            <w:hyperlink w:history="0" w:anchor="P918" w:tooltip="&lt;25&gt; Указывается сумма подлежащего уплате экологического сбора, определяемая как произведение значений СЭС (графа 25) и Мэст (графа 22), деленное на 1000. Строка заполняется автоматически при использовании интерактивных форм отчетности.">
              <w:r>
                <w:rPr>
                  <w:sz w:val="24"/>
                  <w:color w:val="0000ff"/>
                </w:rPr>
                <w:t xml:space="preserve">&lt;25&gt;</w:t>
              </w:r>
            </w:hyperlink>
          </w:p>
        </w:tc>
        <w:tc>
          <w:tcPr>
            <w:tcW w:w="774" w:type="dxa"/>
          </w:tcPr>
          <w:p>
            <w:pPr>
              <w:pStyle w:val="0"/>
              <w:jc w:val="center"/>
            </w:pPr>
            <w:r>
              <w:rPr>
                <w:sz w:val="24"/>
              </w:rPr>
              <w:t xml:space="preserve">Размер вознаграждения по банковской гарантии, договору поручительства, рублей </w:t>
            </w:r>
            <w:hyperlink w:history="0" w:anchor="P919" w:tooltip="&lt;26&gt; Указывается размер вознаграждения, уплаченного за заключение договора поручительства, банковской гарантии об обеспечении выполнения самостоятельной утилизации отходов от использования товаров. В случае если банковская гарантия, договор поручительства соответственно выдавалась, заключался в отношении конкретного товара, упаковки в соответствии с разделами I и II перечня товаров, упаковки, сведения о которых указаны в строках граф 2 - 4, размер вознаграждения указывается в соответствующей строке графы...">
              <w:r>
                <w:rPr>
                  <w:sz w:val="24"/>
                  <w:color w:val="0000ff"/>
                </w:rPr>
                <w:t xml:space="preserve">&lt;26&gt;</w:t>
              </w:r>
            </w:hyperlink>
          </w:p>
        </w:tc>
        <w:tc>
          <w:tcPr>
            <w:tcW w:w="720" w:type="dxa"/>
          </w:tcPr>
          <w:p>
            <w:pPr>
              <w:pStyle w:val="0"/>
              <w:jc w:val="center"/>
            </w:pPr>
            <w:r>
              <w:rPr>
                <w:sz w:val="24"/>
              </w:rPr>
              <w:t xml:space="preserve">Реквизиты банковской гарантии, договора поручительства </w:t>
            </w:r>
            <w:hyperlink w:history="0" w:anchor="P920" w:tooltip="&lt;27&gt; Указываются реквизиты банковской гарантии, договора поручительства. В случае если в отчетный период выдавалось несколько банковских гарантий, заключалось несколько договоров поручительства, то построчно указываются все. Если банковская гарантия выдана, договор поручительства заключен на несколько отчетных периодов, то они указываются только в одном отчетном периоде.">
              <w:r>
                <w:rPr>
                  <w:sz w:val="24"/>
                  <w:color w:val="0000ff"/>
                </w:rPr>
                <w:t xml:space="preserve">&lt;27&gt;</w:t>
              </w:r>
            </w:hyperlink>
          </w:p>
        </w:tc>
        <w:tc>
          <w:tcPr>
            <w:tcW w:w="1041" w:type="dxa"/>
          </w:tcPr>
          <w:p>
            <w:pPr>
              <w:pStyle w:val="0"/>
              <w:jc w:val="center"/>
            </w:pPr>
            <w:r>
              <w:rPr>
                <w:sz w:val="24"/>
              </w:rPr>
              <w:t xml:space="preserve">Ставка рефинансирования Центрального банка Российской Федерации на дату получения банковской гарантии, заключения договора поручительства </w:t>
            </w:r>
            <w:hyperlink w:history="0" w:anchor="P921" w:tooltip="&lt;28&gt; Указывается ключевая ставка Центрального банка Российской Федерации, действующая на дату выдачи банковской гарантии, заключения договора поручительства.">
              <w:r>
                <w:rPr>
                  <w:sz w:val="24"/>
                  <w:color w:val="0000ff"/>
                </w:rPr>
                <w:t xml:space="preserve">&lt;28&gt;</w:t>
              </w:r>
            </w:hyperlink>
          </w:p>
        </w:tc>
        <w:tc>
          <w:tcPr>
            <w:tcW w:w="766" w:type="dxa"/>
          </w:tcPr>
          <w:p>
            <w:pPr>
              <w:pStyle w:val="0"/>
              <w:jc w:val="center"/>
            </w:pPr>
            <w:r>
              <w:rPr>
                <w:sz w:val="24"/>
              </w:rPr>
              <w:t xml:space="preserve">Размер вычета с учетом вознаграждения по банковской гарантии, договору поручительства </w:t>
            </w:r>
            <w:hyperlink w:history="0" w:anchor="P922" w:tooltip="&lt;29&gt; Значение рассчитывается автоматически согласно формуле. Размер вычета с учетом вознаграждения по банковской гарантии, договору поручительства определяется как произведение размера вознаграждения (графа 27) и массы отходов, в отношении которых выполнена самостоятельная утилизация (графа 21), деленное на общую массу отходов, в отношении которых должна была быть осуществлена самостоятельная утилизация (разница графы 18 и графы 19). При этом если рассчитанное значение вычета превышает сумму экологическо...">
              <w:r>
                <w:rPr>
                  <w:sz w:val="24"/>
                  <w:color w:val="0000ff"/>
                </w:rPr>
                <w:t xml:space="preserve">&lt;29&gt;</w:t>
              </w:r>
            </w:hyperlink>
          </w:p>
        </w:tc>
        <w:tc>
          <w:tcPr>
            <w:tcW w:w="735" w:type="dxa"/>
          </w:tcPr>
          <w:p>
            <w:pPr>
              <w:pStyle w:val="0"/>
              <w:jc w:val="center"/>
            </w:pPr>
            <w:r>
              <w:rPr>
                <w:sz w:val="24"/>
              </w:rPr>
              <w:t xml:space="preserve">Сумма экологического сбора, подлежащая уплате с учетом вознаграждения, рублей </w:t>
            </w:r>
            <w:hyperlink w:history="0" w:anchor="P923" w:tooltip="&lt;30&gt; Указывается сумма экологического сбора, подлежащая уплате с учетом вычета размера вознаграждения, которая определяется как разница суммы экологического сбора, подлежащей уплате (графа 26), и размера вычета с учетом вознаграждения по банковской гарантии, договору поручительства (графа 30).">
              <w:r>
                <w:rPr>
                  <w:sz w:val="24"/>
                  <w:color w:val="0000ff"/>
                </w:rPr>
                <w:t xml:space="preserve">&lt;30&gt;</w:t>
              </w:r>
            </w:hyperlink>
          </w:p>
        </w:tc>
        <w:tc>
          <w:tcPr>
            <w:tcW w:w="533" w:type="dxa"/>
          </w:tcPr>
          <w:p>
            <w:pPr>
              <w:pStyle w:val="0"/>
              <w:jc w:val="center"/>
            </w:pPr>
            <w:r>
              <w:rPr>
                <w:sz w:val="24"/>
              </w:rPr>
              <w:t xml:space="preserve">Примечание </w:t>
            </w:r>
            <w:hyperlink w:history="0" w:anchor="P924" w:tooltip="&lt;3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&lt;31&gt;</w:t>
              </w:r>
            </w:hyperlink>
          </w:p>
        </w:tc>
      </w:tr>
      <w:tr>
        <w:tc>
          <w:tcPr>
            <w:tcW w:w="1035" w:type="dxa"/>
          </w:tcPr>
          <w:bookmarkStart w:id="723" w:name="P723"/>
          <w:bookmarkEnd w:id="723"/>
          <w:p>
            <w:pPr>
              <w:pStyle w:val="0"/>
              <w:jc w:val="center"/>
            </w:pPr>
            <w:r>
              <w:rPr>
                <w:sz w:val="24"/>
              </w:rPr>
              <w:t xml:space="preserve">16</w:t>
            </w:r>
          </w:p>
        </w:tc>
        <w:tc>
          <w:tcPr>
            <w:tcW w:w="688" w:type="dxa"/>
          </w:tcPr>
          <w:bookmarkStart w:id="724" w:name="P724"/>
          <w:bookmarkEnd w:id="724"/>
          <w:p>
            <w:pPr>
              <w:pStyle w:val="0"/>
              <w:jc w:val="center"/>
            </w:pPr>
            <w:r>
              <w:rPr>
                <w:sz w:val="24"/>
              </w:rPr>
              <w:t xml:space="preserve">17</w:t>
            </w:r>
          </w:p>
        </w:tc>
        <w:tc>
          <w:tcPr>
            <w:tcW w:w="1056" w:type="dxa"/>
          </w:tcPr>
          <w:bookmarkStart w:id="725" w:name="P725"/>
          <w:bookmarkEnd w:id="725"/>
          <w:p>
            <w:pPr>
              <w:pStyle w:val="0"/>
              <w:jc w:val="center"/>
            </w:pPr>
            <w:r>
              <w:rPr>
                <w:sz w:val="24"/>
              </w:rPr>
              <w:t xml:space="preserve">18</w:t>
            </w:r>
          </w:p>
        </w:tc>
        <w:tc>
          <w:tcPr>
            <w:tcW w:w="1050" w:type="dxa"/>
          </w:tcPr>
          <w:bookmarkStart w:id="726" w:name="P726"/>
          <w:bookmarkEnd w:id="726"/>
          <w:p>
            <w:pPr>
              <w:pStyle w:val="0"/>
              <w:jc w:val="center"/>
            </w:pPr>
            <w:r>
              <w:rPr>
                <w:sz w:val="24"/>
              </w:rPr>
              <w:t xml:space="preserve">19</w:t>
            </w:r>
          </w:p>
        </w:tc>
        <w:tc>
          <w:tcPr>
            <w:tcW w:w="705" w:type="dxa"/>
          </w:tcPr>
          <w:bookmarkStart w:id="727" w:name="P727"/>
          <w:bookmarkEnd w:id="727"/>
          <w:p>
            <w:pPr>
              <w:pStyle w:val="0"/>
              <w:jc w:val="center"/>
            </w:pPr>
            <w:r>
              <w:rPr>
                <w:sz w:val="24"/>
              </w:rPr>
              <w:t xml:space="preserve">20</w:t>
            </w:r>
          </w:p>
        </w:tc>
        <w:tc>
          <w:tcPr>
            <w:tcW w:w="928" w:type="dxa"/>
          </w:tcPr>
          <w:bookmarkStart w:id="728" w:name="P728"/>
          <w:bookmarkEnd w:id="728"/>
          <w:p>
            <w:pPr>
              <w:pStyle w:val="0"/>
              <w:jc w:val="center"/>
            </w:pPr>
            <w:r>
              <w:rPr>
                <w:sz w:val="24"/>
              </w:rPr>
              <w:t xml:space="preserve">21</w:t>
            </w:r>
          </w:p>
        </w:tc>
        <w:tc>
          <w:tcPr>
            <w:tcW w:w="844" w:type="dxa"/>
          </w:tcPr>
          <w:bookmarkStart w:id="729" w:name="P729"/>
          <w:bookmarkEnd w:id="729"/>
          <w:p>
            <w:pPr>
              <w:pStyle w:val="0"/>
              <w:jc w:val="center"/>
            </w:pPr>
            <w:r>
              <w:rPr>
                <w:sz w:val="24"/>
              </w:rPr>
              <w:t xml:space="preserve">22</w:t>
            </w:r>
          </w:p>
        </w:tc>
        <w:tc>
          <w:tcPr>
            <w:tcW w:w="639" w:type="dxa"/>
          </w:tcPr>
          <w:bookmarkStart w:id="730" w:name="P730"/>
          <w:bookmarkEnd w:id="730"/>
          <w:p>
            <w:pPr>
              <w:pStyle w:val="0"/>
              <w:jc w:val="center"/>
            </w:pPr>
            <w:r>
              <w:rPr>
                <w:sz w:val="24"/>
              </w:rPr>
              <w:t xml:space="preserve">23</w:t>
            </w:r>
          </w:p>
        </w:tc>
        <w:tc>
          <w:tcPr>
            <w:tcW w:w="602" w:type="dxa"/>
          </w:tcPr>
          <w:bookmarkStart w:id="731" w:name="P731"/>
          <w:bookmarkEnd w:id="731"/>
          <w:p>
            <w:pPr>
              <w:pStyle w:val="0"/>
              <w:jc w:val="center"/>
            </w:pPr>
            <w:r>
              <w:rPr>
                <w:sz w:val="24"/>
              </w:rPr>
              <w:t xml:space="preserve">24</w:t>
            </w:r>
          </w:p>
        </w:tc>
        <w:tc>
          <w:tcPr>
            <w:tcW w:w="783" w:type="dxa"/>
          </w:tcPr>
          <w:bookmarkStart w:id="732" w:name="P732"/>
          <w:bookmarkEnd w:id="732"/>
          <w:p>
            <w:pPr>
              <w:pStyle w:val="0"/>
              <w:jc w:val="center"/>
            </w:pPr>
            <w:r>
              <w:rPr>
                <w:sz w:val="24"/>
              </w:rPr>
              <w:t xml:space="preserve">25</w:t>
            </w:r>
          </w:p>
        </w:tc>
        <w:tc>
          <w:tcPr>
            <w:tcW w:w="684" w:type="dxa"/>
          </w:tcPr>
          <w:bookmarkStart w:id="733" w:name="P733"/>
          <w:bookmarkEnd w:id="733"/>
          <w:p>
            <w:pPr>
              <w:pStyle w:val="0"/>
              <w:jc w:val="center"/>
            </w:pPr>
            <w:r>
              <w:rPr>
                <w:sz w:val="24"/>
              </w:rPr>
              <w:t xml:space="preserve">26</w:t>
            </w:r>
          </w:p>
        </w:tc>
        <w:tc>
          <w:tcPr>
            <w:tcW w:w="774" w:type="dxa"/>
          </w:tcPr>
          <w:bookmarkStart w:id="734" w:name="P734"/>
          <w:bookmarkEnd w:id="734"/>
          <w:p>
            <w:pPr>
              <w:pStyle w:val="0"/>
              <w:jc w:val="center"/>
            </w:pPr>
            <w:r>
              <w:rPr>
                <w:sz w:val="24"/>
              </w:rPr>
              <w:t xml:space="preserve">27</w:t>
            </w:r>
          </w:p>
        </w:tc>
        <w:tc>
          <w:tcPr>
            <w:tcW w:w="720" w:type="dxa"/>
          </w:tcPr>
          <w:p>
            <w:pPr>
              <w:pStyle w:val="0"/>
              <w:jc w:val="center"/>
            </w:pPr>
            <w:r>
              <w:rPr>
                <w:sz w:val="24"/>
              </w:rPr>
              <w:t xml:space="preserve">28</w:t>
            </w:r>
          </w:p>
        </w:tc>
        <w:tc>
          <w:tcPr>
            <w:tcW w:w="1041" w:type="dxa"/>
          </w:tcPr>
          <w:bookmarkStart w:id="736" w:name="P736"/>
          <w:bookmarkEnd w:id="736"/>
          <w:p>
            <w:pPr>
              <w:pStyle w:val="0"/>
              <w:jc w:val="center"/>
            </w:pPr>
            <w:r>
              <w:rPr>
                <w:sz w:val="24"/>
              </w:rPr>
              <w:t xml:space="preserve">29</w:t>
            </w:r>
          </w:p>
        </w:tc>
        <w:tc>
          <w:tcPr>
            <w:tcW w:w="766" w:type="dxa"/>
          </w:tcPr>
          <w:bookmarkStart w:id="737" w:name="P737"/>
          <w:bookmarkEnd w:id="737"/>
          <w:p>
            <w:pPr>
              <w:pStyle w:val="0"/>
              <w:jc w:val="center"/>
            </w:pPr>
            <w:r>
              <w:rPr>
                <w:sz w:val="24"/>
              </w:rPr>
              <w:t xml:space="preserve">30</w:t>
            </w:r>
          </w:p>
        </w:tc>
        <w:tc>
          <w:tcPr>
            <w:tcW w:w="735" w:type="dxa"/>
          </w:tcPr>
          <w:bookmarkStart w:id="738" w:name="P738"/>
          <w:bookmarkEnd w:id="738"/>
          <w:p>
            <w:pPr>
              <w:pStyle w:val="0"/>
              <w:jc w:val="center"/>
            </w:pPr>
            <w:r>
              <w:rPr>
                <w:sz w:val="24"/>
              </w:rPr>
              <w:t xml:space="preserve">31</w:t>
            </w:r>
          </w:p>
        </w:tc>
        <w:tc>
          <w:tcPr>
            <w:tcW w:w="533" w:type="dxa"/>
          </w:tcPr>
          <w:p>
            <w:pPr>
              <w:pStyle w:val="0"/>
              <w:jc w:val="center"/>
            </w:pPr>
            <w:r>
              <w:rPr>
                <w:sz w:val="24"/>
              </w:rPr>
              <w:t xml:space="preserve">32</w:t>
            </w:r>
          </w:p>
        </w:tc>
      </w:tr>
      <w:tr>
        <w:tc>
          <w:tcPr>
            <w:gridSpan w:val="17"/>
            <w:tcW w:w="13583" w:type="dxa"/>
            <w:vAlign w:val="bottom"/>
          </w:tcPr>
          <w:p>
            <w:pPr>
              <w:pStyle w:val="0"/>
              <w:jc w:val="center"/>
            </w:pPr>
            <w:r>
              <w:rPr>
                <w:sz w:val="24"/>
              </w:rPr>
              <w:t xml:space="preserve">группа N</w:t>
            </w:r>
          </w:p>
        </w:tc>
      </w:tr>
      <w:tr>
        <w:tc>
          <w:tcPr>
            <w:tcW w:w="1035" w:type="dxa"/>
          </w:tcPr>
          <w:p>
            <w:pPr>
              <w:pStyle w:val="0"/>
              <w:jc w:val="center"/>
            </w:pPr>
            <w:r>
              <w:rPr>
                <w:sz w:val="24"/>
              </w:rPr>
            </w:r>
          </w:p>
        </w:tc>
        <w:tc>
          <w:tcPr>
            <w:tcW w:w="688" w:type="dxa"/>
          </w:tcPr>
          <w:p>
            <w:pPr>
              <w:pStyle w:val="0"/>
              <w:jc w:val="center"/>
            </w:pPr>
            <w:r>
              <w:rPr>
                <w:sz w:val="24"/>
              </w:rPr>
            </w:r>
          </w:p>
        </w:tc>
        <w:tc>
          <w:tcPr>
            <w:tcW w:w="1056" w:type="dxa"/>
          </w:tcPr>
          <w:p>
            <w:pPr>
              <w:pStyle w:val="0"/>
              <w:jc w:val="center"/>
            </w:pPr>
            <w:r>
              <w:rPr>
                <w:sz w:val="24"/>
              </w:rPr>
            </w:r>
          </w:p>
        </w:tc>
        <w:tc>
          <w:tcPr>
            <w:tcW w:w="1050" w:type="dxa"/>
          </w:tcPr>
          <w:p>
            <w:pPr>
              <w:pStyle w:val="0"/>
              <w:jc w:val="center"/>
            </w:pPr>
            <w:r>
              <w:rPr>
                <w:sz w:val="24"/>
              </w:rPr>
            </w:r>
          </w:p>
        </w:tc>
        <w:tc>
          <w:tcPr>
            <w:tcW w:w="705" w:type="dxa"/>
          </w:tcPr>
          <w:p>
            <w:pPr>
              <w:pStyle w:val="0"/>
              <w:jc w:val="center"/>
            </w:pPr>
            <w:r>
              <w:rPr>
                <w:sz w:val="24"/>
              </w:rPr>
            </w:r>
          </w:p>
        </w:tc>
        <w:tc>
          <w:tcPr>
            <w:tcW w:w="928" w:type="dxa"/>
          </w:tcPr>
          <w:p>
            <w:pPr>
              <w:pStyle w:val="0"/>
              <w:jc w:val="center"/>
            </w:pPr>
            <w:r>
              <w:rPr>
                <w:sz w:val="24"/>
              </w:rPr>
            </w:r>
          </w:p>
        </w:tc>
        <w:tc>
          <w:tcPr>
            <w:tcW w:w="844" w:type="dxa"/>
          </w:tcPr>
          <w:p>
            <w:pPr>
              <w:pStyle w:val="0"/>
              <w:jc w:val="center"/>
            </w:pPr>
            <w:r>
              <w:rPr>
                <w:sz w:val="24"/>
              </w:rPr>
            </w:r>
          </w:p>
        </w:tc>
        <w:tc>
          <w:tcPr>
            <w:tcW w:w="639" w:type="dxa"/>
          </w:tcPr>
          <w:p>
            <w:pPr>
              <w:pStyle w:val="0"/>
              <w:jc w:val="center"/>
            </w:pPr>
            <w:r>
              <w:rPr>
                <w:sz w:val="24"/>
              </w:rPr>
            </w:r>
          </w:p>
        </w:tc>
        <w:tc>
          <w:tcPr>
            <w:tcW w:w="602" w:type="dxa"/>
          </w:tcPr>
          <w:p>
            <w:pPr>
              <w:pStyle w:val="0"/>
              <w:jc w:val="center"/>
            </w:pPr>
            <w:r>
              <w:rPr>
                <w:sz w:val="24"/>
              </w:rPr>
            </w:r>
          </w:p>
        </w:tc>
        <w:tc>
          <w:tcPr>
            <w:tcW w:w="783" w:type="dxa"/>
          </w:tcPr>
          <w:p>
            <w:pPr>
              <w:pStyle w:val="0"/>
              <w:jc w:val="center"/>
            </w:pPr>
            <w:r>
              <w:rPr>
                <w:sz w:val="24"/>
              </w:rPr>
            </w:r>
          </w:p>
        </w:tc>
        <w:tc>
          <w:tcPr>
            <w:tcW w:w="684" w:type="dxa"/>
          </w:tcPr>
          <w:p>
            <w:pPr>
              <w:pStyle w:val="0"/>
              <w:jc w:val="center"/>
            </w:pPr>
            <w:r>
              <w:rPr>
                <w:sz w:val="24"/>
              </w:rPr>
            </w:r>
          </w:p>
        </w:tc>
        <w:tc>
          <w:tcPr>
            <w:tcW w:w="774" w:type="dxa"/>
          </w:tcPr>
          <w:p>
            <w:pPr>
              <w:pStyle w:val="0"/>
              <w:jc w:val="center"/>
            </w:pPr>
            <w:r>
              <w:rPr>
                <w:sz w:val="24"/>
              </w:rPr>
            </w:r>
          </w:p>
        </w:tc>
        <w:tc>
          <w:tcPr>
            <w:tcW w:w="720" w:type="dxa"/>
          </w:tcPr>
          <w:p>
            <w:pPr>
              <w:pStyle w:val="0"/>
              <w:jc w:val="center"/>
            </w:pPr>
            <w:r>
              <w:rPr>
                <w:sz w:val="24"/>
              </w:rPr>
            </w:r>
          </w:p>
        </w:tc>
        <w:tc>
          <w:tcPr>
            <w:tcW w:w="1041" w:type="dxa"/>
          </w:tcPr>
          <w:p>
            <w:pPr>
              <w:pStyle w:val="0"/>
              <w:jc w:val="center"/>
            </w:pPr>
            <w:r>
              <w:rPr>
                <w:sz w:val="24"/>
              </w:rPr>
            </w:r>
          </w:p>
        </w:tc>
        <w:tc>
          <w:tcPr>
            <w:tcW w:w="766" w:type="dxa"/>
          </w:tcPr>
          <w:p>
            <w:pPr>
              <w:pStyle w:val="0"/>
              <w:jc w:val="center"/>
            </w:pPr>
            <w:r>
              <w:rPr>
                <w:sz w:val="24"/>
              </w:rPr>
            </w:r>
          </w:p>
        </w:tc>
        <w:tc>
          <w:tcPr>
            <w:tcW w:w="735" w:type="dxa"/>
          </w:tcPr>
          <w:p>
            <w:pPr>
              <w:pStyle w:val="0"/>
              <w:jc w:val="center"/>
            </w:pPr>
            <w:r>
              <w:rPr>
                <w:sz w:val="24"/>
              </w:rPr>
            </w:r>
          </w:p>
        </w:tc>
        <w:tc>
          <w:tcPr>
            <w:tcW w:w="533" w:type="dxa"/>
          </w:tcPr>
          <w:p>
            <w:pPr>
              <w:pStyle w:val="0"/>
              <w:jc w:val="center"/>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759" w:name="P759"/>
          <w:bookmarkEnd w:id="759"/>
          <w:p>
            <w:pPr>
              <w:pStyle w:val="0"/>
              <w:ind w:firstLine="283"/>
              <w:jc w:val="both"/>
            </w:pPr>
            <w:r>
              <w:rPr>
                <w:sz w:val="24"/>
              </w:rPr>
              <w:t xml:space="preserve">1.1.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w:t>
            </w:r>
            <w:hyperlink w:history="0" w:anchor="P926" w:tooltip="&lt;32&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w:r>
                <w:rPr>
                  <w:sz w:val="24"/>
                  <w:color w:val="0000ff"/>
                </w:rPr>
                <w:t xml:space="preserve">&lt;32&gt;</w:t>
              </w:r>
            </w:hyperlink>
            <w:r>
              <w:rPr>
                <w:sz w:val="24"/>
              </w:rPr>
              <w:t xml:space="preserve"> _________________________________________________________</w:t>
            </w:r>
          </w:p>
          <w:p>
            <w:pPr>
              <w:pStyle w:val="0"/>
              <w:ind w:firstLine="283"/>
              <w:jc w:val="both"/>
            </w:pPr>
            <w:r>
              <w:rPr>
                <w:sz w:val="24"/>
              </w:rPr>
              <w:t xml:space="preserve">1.2. Реквизиты решения о зачете излишне уплаченного (взысканного) экологического сбора </w:t>
            </w:r>
            <w:hyperlink w:history="0" w:anchor="P927" w:tooltip="&lt;33&gt; Указываются реквизиты решения Федеральной службы по надзору в сфере природопользования о зачете излишне уплаченного (взысканного) экологического сбора в счет предстоящих платежей по экологическому сбору. В случае если производителем товаров,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2024 г. N 1990 &quot;О порядк...">
              <w:r>
                <w:rPr>
                  <w:sz w:val="24"/>
                  <w:color w:val="0000ff"/>
                </w:rPr>
                <w:t xml:space="preserve">&lt;33&gt;</w:t>
              </w:r>
            </w:hyperlink>
            <w:r>
              <w:rPr>
                <w:sz w:val="24"/>
              </w:rPr>
              <w:t xml:space="preserve"> _________________________</w:t>
            </w:r>
          </w:p>
          <w:bookmarkStart w:id="761" w:name="P761"/>
          <w:bookmarkEnd w:id="761"/>
          <w:p>
            <w:pPr>
              <w:pStyle w:val="0"/>
              <w:ind w:firstLine="283"/>
              <w:jc w:val="both"/>
            </w:pPr>
            <w:r>
              <w:rPr>
                <w:sz w:val="24"/>
              </w:rPr>
              <w:t xml:space="preserve">1.3. Итоговая сумма экологического сбора, подлежащая уплате, рублей </w:t>
            </w:r>
            <w:hyperlink w:history="0" w:anchor="P928" w:tooltip="&lt;34&gt; Указывается значение, определяемое как разность суммы экологического сбора, подлежащей уплате с учетом вознаграждения (строки графы 31),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суммы (пункт 1.1). Пункт 1.3 заполняется автоматически при использовании интерактивных форм отчетности.">
              <w:r>
                <w:rPr>
                  <w:sz w:val="24"/>
                  <w:color w:val="0000ff"/>
                </w:rPr>
                <w:t xml:space="preserve">&lt;34&gt;</w:t>
              </w:r>
            </w:hyperlink>
            <w:r>
              <w:rPr>
                <w:sz w:val="24"/>
              </w:rPr>
              <w:t xml:space="preserve"> ___________________________________________</w:t>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outlineLvl w:val="3"/>
              <w:jc w:val="center"/>
            </w:pPr>
            <w:r>
              <w:rPr>
                <w:sz w:val="24"/>
              </w:rPr>
              <w:t xml:space="preserve">2. Расчет суммы экологического сбора в отношении упаковки товаров, ввезенной на территорию Российской Федерации из государств, не являющихся членами Евразийского экономического союза, за отчетный период </w:t>
            </w:r>
            <w:hyperlink w:history="0" w:anchor="P929" w:tooltip="&lt;35&gt; При заполнении таблицы 2 в начале указывается номер и наименование группы упаковки товаров в соответствии с разделом III перечня товаров, упаковки, а затем построчно указываются позиции по упаковке товара - по каждому наименованию упаковки из указанных перечней,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полняет...">
              <w:r>
                <w:rPr>
                  <w:sz w:val="24"/>
                  <w:color w:val="0000ff"/>
                </w:rPr>
                <w:t xml:space="preserve">&lt;35&gt;</w:t>
              </w:r>
            </w:hyperlink>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765" w:name="P765"/>
          <w:bookmarkEnd w:id="765"/>
          <w:p>
            <w:pPr>
              <w:pStyle w:val="0"/>
              <w:outlineLvl w:val="4"/>
              <w:jc w:val="right"/>
            </w:pPr>
            <w:r>
              <w:rPr>
                <w:sz w:val="24"/>
              </w:rPr>
              <w:t xml:space="preserve">Таблица 2</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8"/>
        <w:gridCol w:w="822"/>
        <w:gridCol w:w="1185"/>
        <w:gridCol w:w="1155"/>
        <w:gridCol w:w="1035"/>
        <w:gridCol w:w="1095"/>
        <w:gridCol w:w="870"/>
        <w:gridCol w:w="1005"/>
        <w:gridCol w:w="750"/>
        <w:gridCol w:w="750"/>
        <w:gridCol w:w="1170"/>
        <w:gridCol w:w="821"/>
        <w:gridCol w:w="1369"/>
        <w:gridCol w:w="1020"/>
      </w:tblGrid>
      <w:tr>
        <w:tc>
          <w:tcPr>
            <w:tcW w:w="528" w:type="dxa"/>
            <w:vMerge w:val="restart"/>
          </w:tcPr>
          <w:p>
            <w:pPr>
              <w:pStyle w:val="0"/>
              <w:jc w:val="center"/>
            </w:pPr>
            <w:r>
              <w:rPr>
                <w:sz w:val="24"/>
              </w:rPr>
              <w:t xml:space="preserve">N п/п</w:t>
            </w:r>
          </w:p>
        </w:tc>
        <w:tc>
          <w:tcPr>
            <w:tcW w:w="822" w:type="dxa"/>
            <w:vMerge w:val="restart"/>
          </w:tcPr>
          <w:p>
            <w:pPr>
              <w:pStyle w:val="0"/>
              <w:jc w:val="center"/>
            </w:pPr>
            <w:r>
              <w:rPr>
                <w:sz w:val="24"/>
              </w:rPr>
              <w:t xml:space="preserve">Наименование упаковки </w:t>
            </w:r>
            <w:hyperlink w:history="0" w:anchor="P929" w:tooltip="&lt;35&gt; При заполнении таблицы 2 в начале указывается номер и наименование группы упаковки товаров в соответствии с разделом III перечня товаров, упаковки, а затем построчно указываются позиции по упаковке товара - по каждому наименованию упаковки из указанных перечней,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полняет...">
              <w:r>
                <w:rPr>
                  <w:sz w:val="24"/>
                  <w:color w:val="0000ff"/>
                </w:rPr>
                <w:t xml:space="preserve">&lt;35&gt;</w:t>
              </w:r>
            </w:hyperlink>
          </w:p>
        </w:tc>
        <w:tc>
          <w:tcPr>
            <w:tcW w:w="1185" w:type="dxa"/>
            <w:vMerge w:val="restart"/>
          </w:tcPr>
          <w:p>
            <w:pPr>
              <w:pStyle w:val="0"/>
              <w:jc w:val="center"/>
            </w:pPr>
            <w:r>
              <w:rPr>
                <w:sz w:val="24"/>
              </w:rPr>
              <w:t xml:space="preserve">Буквенное обозначение с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930" w:tooltip="&lt;36&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&lt;36&gt;</w:t>
              </w:r>
            </w:hyperlink>
          </w:p>
        </w:tc>
        <w:tc>
          <w:tcPr>
            <w:tcW w:w="1155" w:type="dxa"/>
            <w:vMerge w:val="restart"/>
          </w:tcPr>
          <w:p>
            <w:pPr>
              <w:pStyle w:val="0"/>
              <w:jc w:val="center"/>
            </w:pPr>
            <w:r>
              <w:rPr>
                <w:sz w:val="24"/>
              </w:rPr>
              <w:t xml:space="preserve">Цифровой код материала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930" w:tooltip="&lt;36&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&lt;36&gt;</w:t>
              </w:r>
            </w:hyperlink>
          </w:p>
        </w:tc>
        <w:tc>
          <w:tcPr>
            <w:tcW w:w="1035" w:type="dxa"/>
            <w:vMerge w:val="restart"/>
          </w:tcPr>
          <w:p>
            <w:pPr>
              <w:pStyle w:val="0"/>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w:t>
            </w:r>
          </w:p>
          <w:p>
            <w:pPr>
              <w:pStyle w:val="0"/>
              <w:jc w:val="center"/>
            </w:pPr>
            <w:r>
              <w:rPr>
                <w:sz w:val="24"/>
              </w:rPr>
              <w:t xml:space="preserve">(КПЕС 2008) </w:t>
            </w:r>
            <w:hyperlink w:history="0" w:anchor="P930" w:tooltip="&lt;36&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&lt;36&gt;</w:t>
              </w:r>
            </w:hyperlink>
          </w:p>
        </w:tc>
        <w:tc>
          <w:tcPr>
            <w:tcW w:w="1095" w:type="dxa"/>
            <w:vMerge w:val="restart"/>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930" w:tooltip="&lt;36&gt; Строки граф 3 - 6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quot;О безопасности упаковки&quot; (ТР ТС 005/2011), и (или) по коду по Общероссийскому классификатору продукции по видам экономической деятельности ОК 034-2014 (КПЕС 2008), и (или) по коду единой Товарной номенклатуры внешнеэкономическо...">
              <w:r>
                <w:rPr>
                  <w:sz w:val="24"/>
                  <w:color w:val="0000ff"/>
                </w:rPr>
                <w:t xml:space="preserve">&lt;36&gt;</w:t>
              </w:r>
            </w:hyperlink>
          </w:p>
        </w:tc>
        <w:tc>
          <w:tcPr>
            <w:tcW w:w="870" w:type="dxa"/>
            <w:vMerge w:val="restart"/>
          </w:tcPr>
          <w:p>
            <w:pPr>
              <w:pStyle w:val="0"/>
              <w:jc w:val="center"/>
            </w:pPr>
            <w:r>
              <w:rPr>
                <w:sz w:val="24"/>
              </w:rPr>
              <w:t xml:space="preserve">Масса упаковки, в которую помещен товар, ввезенный в течение отчетного периода</w:t>
            </w:r>
          </w:p>
          <w:p>
            <w:pPr>
              <w:pStyle w:val="0"/>
              <w:jc w:val="center"/>
            </w:pPr>
            <w:r>
              <w:rPr>
                <w:sz w:val="24"/>
              </w:rPr>
              <w:t xml:space="preserve">(М</w:t>
            </w:r>
            <w:r>
              <w:rPr>
                <w:sz w:val="24"/>
                <w:vertAlign w:val="subscript"/>
              </w:rPr>
              <w:t xml:space="preserve">уп.</w:t>
            </w:r>
            <w:r>
              <w:rPr>
                <w:sz w:val="24"/>
              </w:rPr>
              <w:t xml:space="preserve">), всего, кг </w:t>
            </w:r>
            <w:hyperlink w:history="0" w:anchor="P894" w:tooltip="&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
              <w:r>
                <w:rPr>
                  <w:sz w:val="24"/>
                  <w:color w:val="0000ff"/>
                </w:rPr>
                <w:t xml:space="preserve">&lt;4&gt;</w:t>
              </w:r>
            </w:hyperlink>
            <w:r>
              <w:rPr>
                <w:sz w:val="24"/>
              </w:rPr>
              <w:t xml:space="preserve">, </w:t>
            </w:r>
            <w:hyperlink w:history="0" w:anchor="P931" w:tooltip="&lt;37&gt; Масса указывается для каждого наименования упаковки в килограммах, округленных до целого числа по математическим правилам округления. Масса упаковки, в которую помещен товар, ввезенный в течение отчетного периода (всего) (Муп.), указывается как сумма данных строки графы 7 таблицы 2 раздела II приложения N 2 к Правилам представления отчетности о массе товаров, упаковки. С 1 января 2026 г. строка графы 7 заполняется автоматически при использовании интерактивных форм расчета.">
              <w:r>
                <w:rPr>
                  <w:sz w:val="24"/>
                  <w:color w:val="0000ff"/>
                </w:rPr>
                <w:t xml:space="preserve">&lt;37&gt;</w:t>
              </w:r>
            </w:hyperlink>
          </w:p>
        </w:tc>
        <w:tc>
          <w:tcPr>
            <w:gridSpan w:val="3"/>
            <w:tcW w:w="2505" w:type="dxa"/>
          </w:tcPr>
          <w:p>
            <w:pPr>
              <w:pStyle w:val="0"/>
              <w:jc w:val="center"/>
            </w:pPr>
            <w:r>
              <w:rPr>
                <w:sz w:val="24"/>
              </w:rPr>
              <w:t xml:space="preserve">Информация о товаре, вывезенном из Российской Федерации </w:t>
            </w:r>
            <w:hyperlink w:history="0" w:anchor="P894" w:tooltip="&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
              <w:r>
                <w:rPr>
                  <w:sz w:val="24"/>
                  <w:color w:val="0000ff"/>
                </w:rPr>
                <w:t xml:space="preserve">&lt;4&gt;</w:t>
              </w:r>
            </w:hyperlink>
          </w:p>
        </w:tc>
        <w:tc>
          <w:tcPr>
            <w:tcW w:w="1170" w:type="dxa"/>
            <w:vMerge w:val="restart"/>
          </w:tcPr>
          <w:p>
            <w:pPr>
              <w:pStyle w:val="0"/>
              <w:jc w:val="center"/>
            </w:pPr>
            <w:r>
              <w:rPr>
                <w:sz w:val="24"/>
              </w:rPr>
              <w:t xml:space="preserve">Масса товара, в отношении которого возникает обязанность обеспечивать утилизацию (без учета норматива утилизации)</w:t>
            </w:r>
          </w:p>
          <w:p>
            <w:pPr>
              <w:pStyle w:val="0"/>
              <w:jc w:val="center"/>
            </w:pPr>
            <w:r>
              <w:rPr>
                <w:sz w:val="24"/>
              </w:rPr>
              <w:t xml:space="preserve">(М</w:t>
            </w:r>
            <w:r>
              <w:rPr>
                <w:sz w:val="24"/>
                <w:vertAlign w:val="subscript"/>
              </w:rPr>
              <w:t xml:space="preserve">обяз.уп.</w:t>
            </w:r>
            <w:r>
              <w:rPr>
                <w:sz w:val="24"/>
              </w:rPr>
              <w:t xml:space="preserve">), кг </w:t>
            </w:r>
            <w:hyperlink w:history="0" w:anchor="P932" w:tooltip="&lt;38&gt; Указывается масса отходов от использования упаковки, подлежащих утилизации в отчетном периоде, без учета норматива утилизации (Мобяз.уп.), определяемая как разница между значениями Муп. (графа 7), и Мвыв.уп. (графа 8). В случае если импортер частично выполнил самостоятельную утилизацию и представил отчетность о самостоятельной утилизации, Мобяз.уп. указывается в соответствии с данными строки графы 12 таблицы 2 раздела II приложения N 2 к Правилам представления отчетности о выполнении самостоятельной...">
              <w:r>
                <w:rPr>
                  <w:sz w:val="24"/>
                  <w:color w:val="0000ff"/>
                </w:rPr>
                <w:t xml:space="preserve">&lt;38&gt;</w:t>
              </w:r>
            </w:hyperlink>
          </w:p>
        </w:tc>
        <w:tc>
          <w:tcPr>
            <w:tcW w:w="821" w:type="dxa"/>
            <w:vMerge w:val="restart"/>
          </w:tcPr>
          <w:p>
            <w:pPr>
              <w:pStyle w:val="0"/>
              <w:jc w:val="center"/>
            </w:pPr>
            <w:r>
              <w:rPr>
                <w:sz w:val="24"/>
              </w:rPr>
              <w:t xml:space="preserve">Норматив утилизации, процентов </w:t>
            </w:r>
            <w:hyperlink w:history="0" w:anchor="P909" w:tooltip="&lt;16&gt; Указывается норматив утилизации отходов от использования товаров, установленный Правительством Российской Федерации в соответствии с пунктом 2 статьи 24.2 Федерального закона &quot;Об отходах производства или потребления&quot;, и (или) процент массы упаковки, отходы от использования которой подлежат утилизации в размере, установленном частью 5 статьи 7 Федерального закона от 4 августа 2023 г. N 451-ФЗ &quot;О внесении изменений в Федеральный закон &quot;Об отходах производства или потребления&quot; и отдельные законодательн...">
              <w:r>
                <w:rPr>
                  <w:sz w:val="24"/>
                  <w:color w:val="0000ff"/>
                </w:rPr>
                <w:t xml:space="preserve">&lt;16&gt;</w:t>
              </w:r>
            </w:hyperlink>
          </w:p>
        </w:tc>
        <w:tc>
          <w:tcPr>
            <w:tcW w:w="1369" w:type="dxa"/>
            <w:vMerge w:val="restart"/>
          </w:tcPr>
          <w:p>
            <w:pPr>
              <w:pStyle w:val="0"/>
              <w:jc w:val="center"/>
            </w:pPr>
            <w:r>
              <w:rPr>
                <w:sz w:val="24"/>
              </w:rPr>
              <w:t xml:space="preserve">Масса отходов от использования упаковки, подлежащих утилизации (с учетом норматива утилизации)</w:t>
            </w:r>
          </w:p>
          <w:p>
            <w:pPr>
              <w:pStyle w:val="0"/>
              <w:jc w:val="center"/>
            </w:pPr>
            <w:r>
              <w:rPr>
                <w:sz w:val="24"/>
              </w:rPr>
              <w:t xml:space="preserve">(М</w:t>
            </w:r>
            <w:r>
              <w:rPr>
                <w:sz w:val="24"/>
                <w:vertAlign w:val="subscript"/>
              </w:rPr>
              <w:t xml:space="preserve">подл.ут.уп.</w:t>
            </w:r>
            <w:r>
              <w:rPr>
                <w:sz w:val="24"/>
              </w:rPr>
              <w:t xml:space="preserve">), кг </w:t>
            </w:r>
            <w:hyperlink w:history="0" w:anchor="P933" w:tooltip="&lt;39&gt; Указывается масса отходов от использования товаров, упаковки, подлежащих утилизации в отчетном периоде, с учетом норматива утилизации (Мподл.ут.уп.), определяемая как произведение массы отходов от использования товаров, упаковки, подлежащих утилизации в отчетном периоде без учета норматива утилизации (графа 11), и норматива утилизации (графа 12). Строка графы 13 заполняется автоматически при использовании интерактивных форм отчетности.">
              <w:r>
                <w:rPr>
                  <w:sz w:val="24"/>
                  <w:color w:val="0000ff"/>
                </w:rPr>
                <w:t xml:space="preserve">&lt;39&gt;</w:t>
              </w:r>
            </w:hyperlink>
          </w:p>
        </w:tc>
        <w:tc>
          <w:tcPr>
            <w:tcW w:w="1020" w:type="dxa"/>
            <w:vMerge w:val="restart"/>
          </w:tcPr>
          <w:p>
            <w:pPr>
              <w:pStyle w:val="0"/>
              <w:jc w:val="center"/>
            </w:pPr>
            <w:r>
              <w:rPr>
                <w:sz w:val="24"/>
              </w:rPr>
              <w:t xml:space="preserve">Масса отходов от использования упаковки, в отношении которых уплачен экологический сбор до выпуска товаров в обращение, кг </w:t>
            </w:r>
            <w:hyperlink w:history="0" w:anchor="P934" w:tooltip="&lt;40&gt; Указывается масса упаковки, в которую упакован ввезенный в отчетный период товар, в отношении которой уплачен экологический сбор до выпуска товара в обращение. Импортеры товаров, осуществившие в период с 1 января 2024 г. по 31 декабря 2025 г. ввоз товаров в упаковке, включенной в перечень отдельных видов товаров, в том числе товаров в упаковке, участвующих в эксперименте согласно приложению N 1 к Положению о проведении эксперимента, заполняют графу 14 в соответствии с данными, указанными в строке гр...">
              <w:r>
                <w:rPr>
                  <w:sz w:val="24"/>
                  <w:color w:val="0000ff"/>
                </w:rPr>
                <w:t xml:space="preserve">&lt;40&gt;</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05" w:type="dxa"/>
          </w:tcPr>
          <w:p>
            <w:pPr>
              <w:pStyle w:val="0"/>
              <w:jc w:val="center"/>
            </w:pPr>
            <w:r>
              <w:rPr>
                <w:sz w:val="24"/>
              </w:rPr>
              <w:t xml:space="preserve">Масса товаров, упаковки</w:t>
            </w:r>
          </w:p>
          <w:p>
            <w:pPr>
              <w:pStyle w:val="0"/>
              <w:jc w:val="center"/>
            </w:pPr>
            <w:r>
              <w:rPr>
                <w:sz w:val="24"/>
              </w:rPr>
              <w:t xml:space="preserve">(М</w:t>
            </w:r>
            <w:r>
              <w:rPr>
                <w:sz w:val="24"/>
                <w:vertAlign w:val="subscript"/>
              </w:rPr>
              <w:t xml:space="preserve">выв.уп.</w:t>
            </w:r>
            <w:r>
              <w:rPr>
                <w:sz w:val="24"/>
              </w:rPr>
              <w:t xml:space="preserve">), кг </w:t>
            </w:r>
            <w:hyperlink w:history="0" w:anchor="P896" w:tooltip="&lt;6&gt; Указывается масса товаров, упаковки, в отношении которых в отчетный период наступили события, предусмотренные пунктом 2 статьи 24.2-1 Федерального закона &quot;Об отходах производства и потребления&quot;, и которые вывезены в отчетном периоде из Российской Федерации (Мвыв.т.). Заполняется на основании таможенных документов и (или) на основании документов, полученных от контрагентов при осуществлении коммерческой деятельности, в случае если вывоз товаров, упаковки подтвержден в порядке, установленном Правительс...">
              <w:r>
                <w:rPr>
                  <w:sz w:val="24"/>
                  <w:color w:val="0000ff"/>
                </w:rPr>
                <w:t xml:space="preserve">&lt;6&gt;</w:t>
              </w:r>
            </w:hyperlink>
          </w:p>
        </w:tc>
        <w:tc>
          <w:tcPr>
            <w:tcW w:w="750" w:type="dxa"/>
          </w:tcPr>
          <w:p>
            <w:pPr>
              <w:pStyle w:val="0"/>
              <w:jc w:val="center"/>
            </w:pPr>
            <w:r>
              <w:rPr>
                <w:sz w:val="24"/>
              </w:rPr>
              <w:t xml:space="preserve">Сведения о лицах, осуществивших вывоз товара </w:t>
            </w:r>
            <w:hyperlink w:history="0" w:anchor="P897" w:tooltip="&lt;7&gt; В случае если в отчетном периоде определенная масса товаров, упаковки, сведения о которых указаны в строках граф 2 - 4, вывозилась из Российской Федерации, в графе отражается наименование юридического лица или фамилия, имя, отчество (при наличии) физического лица, являющегося индивидуальным предпринимателем, которые осуществили вывоз товаров, упаковки, их идентификационные номера налогоплательщиков и основной государственный регистрационный номер, либо указывается &quot;самостоятельно&quot;, если вывоз осущест...">
              <w:r>
                <w:rPr>
                  <w:sz w:val="24"/>
                  <w:color w:val="0000ff"/>
                </w:rPr>
                <w:t xml:space="preserve">&lt;7&gt;</w:t>
              </w:r>
            </w:hyperlink>
          </w:p>
        </w:tc>
        <w:tc>
          <w:tcPr>
            <w:tcW w:w="750" w:type="dxa"/>
          </w:tcPr>
          <w:p>
            <w:pPr>
              <w:pStyle w:val="0"/>
              <w:jc w:val="center"/>
            </w:pPr>
            <w:r>
              <w:rPr>
                <w:sz w:val="24"/>
              </w:rPr>
              <w:t xml:space="preserve">Реквизиты документов, подтверждающих вывоз товара </w:t>
            </w:r>
            <w:hyperlink w:history="0" w:anchor="P898" w:tooltip="&lt;8&gt; В случае если в отчетном периоде определенная масса товаров, упаковки, сведения о которых указаны в строках граф 2 - 4, вывозилась из Российской Федерации, в графе отражаются реквизиты (номер, дата) документов, подтверждающих вывоз с территории Российской Федерации товаров, упаковки.">
              <w:r>
                <w:rPr>
                  <w:sz w:val="24"/>
                  <w:color w:val="0000ff"/>
                </w:rPr>
                <w:t xml:space="preserve">&lt;8&gt;</w:t>
              </w:r>
            </w:hyperlink>
          </w:p>
        </w:tc>
        <w:tc>
          <w:tcPr>
            <w:vMerge w:val="continue"/>
          </w:tcPr>
          <w:p/>
        </w:tc>
        <w:tc>
          <w:tcPr>
            <w:vMerge w:val="continue"/>
          </w:tcPr>
          <w:p/>
        </w:tc>
        <w:tc>
          <w:tcPr>
            <w:vMerge w:val="continue"/>
          </w:tcPr>
          <w:p/>
        </w:tc>
        <w:tc>
          <w:tcPr>
            <w:vMerge w:val="continue"/>
          </w:tcPr>
          <w:p/>
        </w:tc>
      </w:tr>
      <w:tr>
        <w:tc>
          <w:tcPr>
            <w:tcW w:w="528" w:type="dxa"/>
          </w:tcPr>
          <w:p>
            <w:pPr>
              <w:pStyle w:val="0"/>
              <w:jc w:val="center"/>
            </w:pPr>
            <w:r>
              <w:rPr>
                <w:sz w:val="24"/>
              </w:rPr>
              <w:t xml:space="preserve">1</w:t>
            </w:r>
          </w:p>
        </w:tc>
        <w:tc>
          <w:tcPr>
            <w:tcW w:w="822" w:type="dxa"/>
          </w:tcPr>
          <w:bookmarkStart w:id="791" w:name="P791"/>
          <w:bookmarkEnd w:id="791"/>
          <w:p>
            <w:pPr>
              <w:pStyle w:val="0"/>
              <w:jc w:val="center"/>
            </w:pPr>
            <w:r>
              <w:rPr>
                <w:sz w:val="24"/>
              </w:rPr>
              <w:t xml:space="preserve">2</w:t>
            </w:r>
          </w:p>
        </w:tc>
        <w:tc>
          <w:tcPr>
            <w:tcW w:w="1185" w:type="dxa"/>
          </w:tcPr>
          <w:bookmarkStart w:id="792" w:name="P792"/>
          <w:bookmarkEnd w:id="792"/>
          <w:p>
            <w:pPr>
              <w:pStyle w:val="0"/>
              <w:jc w:val="center"/>
            </w:pPr>
            <w:r>
              <w:rPr>
                <w:sz w:val="24"/>
              </w:rPr>
              <w:t xml:space="preserve">3</w:t>
            </w:r>
          </w:p>
        </w:tc>
        <w:tc>
          <w:tcPr>
            <w:tcW w:w="1155" w:type="dxa"/>
          </w:tcPr>
          <w:p>
            <w:pPr>
              <w:pStyle w:val="0"/>
              <w:jc w:val="center"/>
            </w:pPr>
            <w:r>
              <w:rPr>
                <w:sz w:val="24"/>
              </w:rPr>
              <w:t xml:space="preserve">4</w:t>
            </w:r>
          </w:p>
        </w:tc>
        <w:tc>
          <w:tcPr>
            <w:tcW w:w="1035" w:type="dxa"/>
          </w:tcPr>
          <w:p>
            <w:pPr>
              <w:pStyle w:val="0"/>
              <w:jc w:val="center"/>
            </w:pPr>
            <w:r>
              <w:rPr>
                <w:sz w:val="24"/>
              </w:rPr>
              <w:t xml:space="preserve">5</w:t>
            </w:r>
          </w:p>
        </w:tc>
        <w:tc>
          <w:tcPr>
            <w:tcW w:w="1095" w:type="dxa"/>
          </w:tcPr>
          <w:bookmarkStart w:id="795" w:name="P795"/>
          <w:bookmarkEnd w:id="795"/>
          <w:p>
            <w:pPr>
              <w:pStyle w:val="0"/>
              <w:jc w:val="center"/>
            </w:pPr>
            <w:r>
              <w:rPr>
                <w:sz w:val="24"/>
              </w:rPr>
              <w:t xml:space="preserve">6</w:t>
            </w:r>
          </w:p>
        </w:tc>
        <w:tc>
          <w:tcPr>
            <w:tcW w:w="870" w:type="dxa"/>
          </w:tcPr>
          <w:bookmarkStart w:id="796" w:name="P796"/>
          <w:bookmarkEnd w:id="796"/>
          <w:p>
            <w:pPr>
              <w:pStyle w:val="0"/>
              <w:jc w:val="center"/>
            </w:pPr>
            <w:r>
              <w:rPr>
                <w:sz w:val="24"/>
              </w:rPr>
              <w:t xml:space="preserve">7</w:t>
            </w:r>
          </w:p>
        </w:tc>
        <w:tc>
          <w:tcPr>
            <w:tcW w:w="1005" w:type="dxa"/>
          </w:tcPr>
          <w:bookmarkStart w:id="797" w:name="P797"/>
          <w:bookmarkEnd w:id="797"/>
          <w:p>
            <w:pPr>
              <w:pStyle w:val="0"/>
              <w:jc w:val="center"/>
            </w:pPr>
            <w:r>
              <w:rPr>
                <w:sz w:val="24"/>
              </w:rPr>
              <w:t xml:space="preserve">8</w:t>
            </w:r>
          </w:p>
        </w:tc>
        <w:tc>
          <w:tcPr>
            <w:tcW w:w="750" w:type="dxa"/>
          </w:tcPr>
          <w:p>
            <w:pPr>
              <w:pStyle w:val="0"/>
              <w:jc w:val="center"/>
            </w:pPr>
            <w:r>
              <w:rPr>
                <w:sz w:val="24"/>
              </w:rPr>
              <w:t xml:space="preserve">9</w:t>
            </w:r>
          </w:p>
        </w:tc>
        <w:tc>
          <w:tcPr>
            <w:tcW w:w="750" w:type="dxa"/>
          </w:tcPr>
          <w:p>
            <w:pPr>
              <w:pStyle w:val="0"/>
              <w:jc w:val="center"/>
            </w:pPr>
            <w:r>
              <w:rPr>
                <w:sz w:val="24"/>
              </w:rPr>
              <w:t xml:space="preserve">10</w:t>
            </w:r>
          </w:p>
        </w:tc>
        <w:tc>
          <w:tcPr>
            <w:tcW w:w="1170" w:type="dxa"/>
          </w:tcPr>
          <w:bookmarkStart w:id="800" w:name="P800"/>
          <w:bookmarkEnd w:id="800"/>
          <w:p>
            <w:pPr>
              <w:pStyle w:val="0"/>
              <w:jc w:val="center"/>
            </w:pPr>
            <w:r>
              <w:rPr>
                <w:sz w:val="24"/>
              </w:rPr>
              <w:t xml:space="preserve">11</w:t>
            </w:r>
          </w:p>
        </w:tc>
        <w:tc>
          <w:tcPr>
            <w:tcW w:w="821" w:type="dxa"/>
          </w:tcPr>
          <w:bookmarkStart w:id="801" w:name="P801"/>
          <w:bookmarkEnd w:id="801"/>
          <w:p>
            <w:pPr>
              <w:pStyle w:val="0"/>
              <w:jc w:val="center"/>
            </w:pPr>
            <w:r>
              <w:rPr>
                <w:sz w:val="24"/>
              </w:rPr>
              <w:t xml:space="preserve">12</w:t>
            </w:r>
          </w:p>
        </w:tc>
        <w:tc>
          <w:tcPr>
            <w:tcW w:w="1369" w:type="dxa"/>
          </w:tcPr>
          <w:bookmarkStart w:id="802" w:name="P802"/>
          <w:bookmarkEnd w:id="802"/>
          <w:p>
            <w:pPr>
              <w:pStyle w:val="0"/>
              <w:jc w:val="center"/>
            </w:pPr>
            <w:r>
              <w:rPr>
                <w:sz w:val="24"/>
              </w:rPr>
              <w:t xml:space="preserve">13</w:t>
            </w:r>
          </w:p>
        </w:tc>
        <w:tc>
          <w:tcPr>
            <w:tcW w:w="1020" w:type="dxa"/>
          </w:tcPr>
          <w:bookmarkStart w:id="803" w:name="P803"/>
          <w:bookmarkEnd w:id="803"/>
          <w:p>
            <w:pPr>
              <w:pStyle w:val="0"/>
              <w:jc w:val="center"/>
            </w:pPr>
            <w:r>
              <w:rPr>
                <w:sz w:val="24"/>
              </w:rPr>
              <w:t xml:space="preserve">14</w:t>
            </w:r>
          </w:p>
        </w:tc>
      </w:tr>
      <w:tr>
        <w:tc>
          <w:tcPr>
            <w:gridSpan w:val="14"/>
            <w:tcW w:w="13575" w:type="dxa"/>
            <w:vAlign w:val="bottom"/>
          </w:tcPr>
          <w:p>
            <w:pPr>
              <w:pStyle w:val="0"/>
              <w:jc w:val="center"/>
            </w:pPr>
            <w:r>
              <w:rPr>
                <w:sz w:val="24"/>
              </w:rPr>
              <w:t xml:space="preserve">группа N</w:t>
            </w:r>
          </w:p>
        </w:tc>
      </w:tr>
      <w:tr>
        <w:tc>
          <w:tcPr>
            <w:tcW w:w="528" w:type="dxa"/>
          </w:tcPr>
          <w:p>
            <w:pPr>
              <w:pStyle w:val="0"/>
              <w:jc w:val="center"/>
            </w:pPr>
            <w:r>
              <w:rPr>
                <w:sz w:val="24"/>
              </w:rPr>
            </w:r>
          </w:p>
        </w:tc>
        <w:tc>
          <w:tcPr>
            <w:tcW w:w="822" w:type="dxa"/>
          </w:tcPr>
          <w:p>
            <w:pPr>
              <w:pStyle w:val="0"/>
              <w:jc w:val="center"/>
            </w:pPr>
            <w:r>
              <w:rPr>
                <w:sz w:val="24"/>
              </w:rPr>
            </w:r>
          </w:p>
        </w:tc>
        <w:tc>
          <w:tcPr>
            <w:tcW w:w="1185" w:type="dxa"/>
          </w:tcPr>
          <w:p>
            <w:pPr>
              <w:pStyle w:val="0"/>
              <w:jc w:val="center"/>
            </w:pPr>
            <w:r>
              <w:rPr>
                <w:sz w:val="24"/>
              </w:rPr>
            </w:r>
          </w:p>
        </w:tc>
        <w:tc>
          <w:tcPr>
            <w:tcW w:w="1155" w:type="dxa"/>
          </w:tcPr>
          <w:p>
            <w:pPr>
              <w:pStyle w:val="0"/>
              <w:jc w:val="center"/>
            </w:pPr>
            <w:r>
              <w:rPr>
                <w:sz w:val="24"/>
              </w:rPr>
            </w:r>
          </w:p>
        </w:tc>
        <w:tc>
          <w:tcPr>
            <w:tcW w:w="1035" w:type="dxa"/>
          </w:tcPr>
          <w:p>
            <w:pPr>
              <w:pStyle w:val="0"/>
              <w:jc w:val="center"/>
            </w:pPr>
            <w:r>
              <w:rPr>
                <w:sz w:val="24"/>
              </w:rPr>
            </w:r>
          </w:p>
        </w:tc>
        <w:tc>
          <w:tcPr>
            <w:tcW w:w="1095" w:type="dxa"/>
          </w:tcPr>
          <w:p>
            <w:pPr>
              <w:pStyle w:val="0"/>
              <w:jc w:val="center"/>
            </w:pPr>
            <w:r>
              <w:rPr>
                <w:sz w:val="24"/>
              </w:rPr>
            </w:r>
          </w:p>
        </w:tc>
        <w:tc>
          <w:tcPr>
            <w:tcW w:w="870" w:type="dxa"/>
          </w:tcPr>
          <w:p>
            <w:pPr>
              <w:pStyle w:val="0"/>
              <w:jc w:val="center"/>
            </w:pPr>
            <w:r>
              <w:rPr>
                <w:sz w:val="24"/>
              </w:rPr>
            </w:r>
          </w:p>
        </w:tc>
        <w:tc>
          <w:tcPr>
            <w:tcW w:w="1005" w:type="dxa"/>
          </w:tcPr>
          <w:p>
            <w:pPr>
              <w:pStyle w:val="0"/>
              <w:jc w:val="center"/>
            </w:pPr>
            <w:r>
              <w:rPr>
                <w:sz w:val="24"/>
              </w:rPr>
            </w:r>
          </w:p>
        </w:tc>
        <w:tc>
          <w:tcPr>
            <w:tcW w:w="750" w:type="dxa"/>
          </w:tcPr>
          <w:p>
            <w:pPr>
              <w:pStyle w:val="0"/>
              <w:jc w:val="center"/>
            </w:pPr>
            <w:r>
              <w:rPr>
                <w:sz w:val="24"/>
              </w:rPr>
            </w:r>
          </w:p>
        </w:tc>
        <w:tc>
          <w:tcPr>
            <w:tcW w:w="750" w:type="dxa"/>
          </w:tcPr>
          <w:p>
            <w:pPr>
              <w:pStyle w:val="0"/>
              <w:jc w:val="center"/>
            </w:pPr>
            <w:r>
              <w:rPr>
                <w:sz w:val="24"/>
              </w:rPr>
            </w:r>
          </w:p>
        </w:tc>
        <w:tc>
          <w:tcPr>
            <w:tcW w:w="1170" w:type="dxa"/>
          </w:tcPr>
          <w:p>
            <w:pPr>
              <w:pStyle w:val="0"/>
              <w:jc w:val="center"/>
            </w:pPr>
            <w:r>
              <w:rPr>
                <w:sz w:val="24"/>
              </w:rPr>
            </w:r>
          </w:p>
        </w:tc>
        <w:tc>
          <w:tcPr>
            <w:tcW w:w="821" w:type="dxa"/>
          </w:tcPr>
          <w:p>
            <w:pPr>
              <w:pStyle w:val="0"/>
              <w:jc w:val="center"/>
            </w:pPr>
            <w:r>
              <w:rPr>
                <w:sz w:val="24"/>
              </w:rPr>
            </w:r>
          </w:p>
        </w:tc>
        <w:tc>
          <w:tcPr>
            <w:tcW w:w="1369" w:type="dxa"/>
          </w:tcPr>
          <w:p>
            <w:pPr>
              <w:pStyle w:val="0"/>
              <w:jc w:val="center"/>
            </w:pPr>
            <w:r>
              <w:rPr>
                <w:sz w:val="24"/>
              </w:rPr>
            </w:r>
          </w:p>
        </w:tc>
        <w:tc>
          <w:tcPr>
            <w:tcW w:w="1020" w:type="dxa"/>
          </w:tcPr>
          <w:p>
            <w:pPr>
              <w:pStyle w:val="0"/>
              <w:jc w:val="center"/>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jc w:val="right"/>
            </w:pPr>
            <w:r>
              <w:rPr>
                <w:sz w:val="24"/>
              </w:rPr>
              <w:t xml:space="preserve">Продолжение таблицы</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85"/>
        <w:gridCol w:w="1253"/>
        <w:gridCol w:w="1594"/>
        <w:gridCol w:w="888"/>
        <w:gridCol w:w="890"/>
        <w:gridCol w:w="979"/>
        <w:gridCol w:w="881"/>
        <w:gridCol w:w="1147"/>
        <w:gridCol w:w="828"/>
        <w:gridCol w:w="1392"/>
        <w:gridCol w:w="1059"/>
        <w:gridCol w:w="1132"/>
        <w:gridCol w:w="653"/>
      </w:tblGrid>
      <w:tr>
        <w:tc>
          <w:tcPr>
            <w:tcW w:w="885" w:type="dxa"/>
          </w:tcPr>
          <w:p>
            <w:pPr>
              <w:pStyle w:val="0"/>
              <w:jc w:val="center"/>
            </w:pPr>
            <w:r>
              <w:rPr>
                <w:sz w:val="24"/>
              </w:rPr>
              <w:t xml:space="preserve">Реквизиты документов об уплате экологического сбора </w:t>
            </w:r>
            <w:hyperlink w:history="0" w:anchor="P935" w:tooltip="&lt;41&gt; Указываются реквизиты платежных документов об уплате экологического сбора в отношении товаров в упаковке, за массу отходов от использования упаковки, указанной в графе 14. Импортеры товаров, упаковки, осуществившие в период с 1 января 2024 г. по 31 декабря 2025 г. ввоз товаров в упаковке, включенной в перечень отдельных видов товаров, в том числе товаров в упаковке, участвующих в эксперименте согласно приложению N 1 к Положению о проведении эксперимента, заполняют графу 15 в соответствии с данными, ...">
              <w:r>
                <w:rPr>
                  <w:sz w:val="24"/>
                  <w:color w:val="0000ff"/>
                </w:rPr>
                <w:t xml:space="preserve">&lt;41&gt;</w:t>
              </w:r>
            </w:hyperlink>
          </w:p>
        </w:tc>
        <w:tc>
          <w:tcPr>
            <w:tcW w:w="1253" w:type="dxa"/>
          </w:tcPr>
          <w:p>
            <w:pPr>
              <w:pStyle w:val="0"/>
              <w:jc w:val="center"/>
            </w:pPr>
            <w:r>
              <w:rPr>
                <w:sz w:val="24"/>
              </w:rPr>
              <w:t xml:space="preserve">Масса отходов, в отношении которых выполнена самостоятельная утилизация (М</w:t>
            </w:r>
            <w:r>
              <w:rPr>
                <w:sz w:val="24"/>
                <w:vertAlign w:val="subscript"/>
              </w:rPr>
              <w:t xml:space="preserve">засч.уп</w:t>
            </w:r>
            <w:r>
              <w:rPr>
                <w:sz w:val="24"/>
              </w:rPr>
              <w:t xml:space="preserve">), кг </w:t>
            </w:r>
            <w:hyperlink w:history="0" w:anchor="P936" w:tooltip="&lt;42&gt; Указывается масса отходов от использования товаров, упаковки, в отношении которых выполнена самостоятельная утилизация (Мзасч.уп.), в соответствии с данными строки графы 25 таблицы 2 раздела II приложения N 2 к Правилам представления отчетности о выполнении самостоятельной утилизации. Импортеры товаров в упаковке,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
              <w:r>
                <w:rPr>
                  <w:sz w:val="24"/>
                  <w:color w:val="0000ff"/>
                </w:rPr>
                <w:t xml:space="preserve">&lt;42&gt;</w:t>
              </w:r>
            </w:hyperlink>
          </w:p>
        </w:tc>
        <w:tc>
          <w:tcPr>
            <w:tcW w:w="1594" w:type="dxa"/>
          </w:tcPr>
          <w:p>
            <w:pPr>
              <w:pStyle w:val="0"/>
              <w:jc w:val="center"/>
            </w:pPr>
            <w:r>
              <w:rPr>
                <w:sz w:val="24"/>
              </w:rPr>
              <w:t xml:space="preserve">Масса отходов, в отношении которых подлежит уплате экологический сбор</w:t>
            </w:r>
          </w:p>
          <w:p>
            <w:pPr>
              <w:pStyle w:val="0"/>
              <w:jc w:val="center"/>
            </w:pPr>
            <w:r>
              <w:rPr>
                <w:sz w:val="24"/>
              </w:rPr>
              <w:t xml:space="preserve">(М</w:t>
            </w:r>
            <w:r>
              <w:rPr>
                <w:sz w:val="24"/>
                <w:vertAlign w:val="subscript"/>
              </w:rPr>
              <w:t xml:space="preserve">эст</w:t>
            </w:r>
            <w:r>
              <w:rPr>
                <w:sz w:val="24"/>
              </w:rPr>
              <w:t xml:space="preserve">), кг </w:t>
            </w:r>
            <w:hyperlink w:history="0" w:anchor="P937" w:tooltip="&lt;43&gt; Указывается масса отходов, в отношении которых сохраняется обязанность уплатить экологический сбор, определяемая как разница граф 13, 14 и 16. Строка заполняется автоматически при использовании интерактивных форм расчета.">
              <w:r>
                <w:rPr>
                  <w:sz w:val="24"/>
                  <w:color w:val="0000ff"/>
                </w:rPr>
                <w:t xml:space="preserve">&lt;43&gt;</w:t>
              </w:r>
            </w:hyperlink>
          </w:p>
        </w:tc>
        <w:tc>
          <w:tcPr>
            <w:tcW w:w="888" w:type="dxa"/>
          </w:tcPr>
          <w:p>
            <w:pPr>
              <w:pStyle w:val="0"/>
              <w:jc w:val="center"/>
            </w:pPr>
            <w:r>
              <w:rPr>
                <w:sz w:val="24"/>
              </w:rPr>
              <w:t xml:space="preserve">Базовая ставка экологического сбора</w:t>
            </w:r>
          </w:p>
          <w:p>
            <w:pPr>
              <w:pStyle w:val="0"/>
              <w:jc w:val="center"/>
            </w:pPr>
            <w:r>
              <w:rPr>
                <w:sz w:val="24"/>
              </w:rPr>
              <w:t xml:space="preserve">(БСЭС), рублей </w:t>
            </w:r>
            <w:hyperlink w:history="0" w:anchor="P915" w:tooltip="&lt;22&gt; Указывается значение базовой ставки экологического сбора (БСЭС), установленной Правительством Российской Федерации в соответствии с пунктом 9 статьи 24.5 Федерального закона &quot;Об отходах производства и потребления&quot; для календарного года, являющегося отчетным периодом. Строка заполняется автоматически при использовании интерактивных форм расчета.">
              <w:r>
                <w:rPr>
                  <w:sz w:val="24"/>
                  <w:color w:val="0000ff"/>
                </w:rPr>
                <w:t xml:space="preserve">&lt;22&gt;</w:t>
              </w:r>
            </w:hyperlink>
          </w:p>
        </w:tc>
        <w:tc>
          <w:tcPr>
            <w:tcW w:w="890" w:type="dxa"/>
          </w:tcPr>
          <w:p>
            <w:pPr>
              <w:pStyle w:val="0"/>
              <w:jc w:val="center"/>
            </w:pPr>
            <w:r>
              <w:rPr>
                <w:sz w:val="24"/>
              </w:rPr>
              <w:t xml:space="preserve">Значение коэффициента</w:t>
            </w:r>
          </w:p>
          <w:p>
            <w:pPr>
              <w:pStyle w:val="0"/>
              <w:jc w:val="center"/>
            </w:pPr>
            <w:r>
              <w:rPr>
                <w:sz w:val="24"/>
              </w:rPr>
              <w:t xml:space="preserve">(КЭ) </w:t>
            </w:r>
            <w:hyperlink w:history="0" w:anchor="P916" w:tooltip="&lt;23&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го Пра...">
              <w:r>
                <w:rPr>
                  <w:sz w:val="24"/>
                  <w:color w:val="0000ff"/>
                </w:rPr>
                <w:t xml:space="preserve">&lt;23&gt;</w:t>
              </w:r>
            </w:hyperlink>
          </w:p>
        </w:tc>
        <w:tc>
          <w:tcPr>
            <w:tcW w:w="979" w:type="dxa"/>
          </w:tcPr>
          <w:p>
            <w:pPr>
              <w:pStyle w:val="0"/>
              <w:jc w:val="center"/>
            </w:pPr>
            <w:r>
              <w:rPr>
                <w:sz w:val="24"/>
              </w:rPr>
              <w:t xml:space="preserve">Ставка экологического сбора с учетом коэффициента</w:t>
            </w:r>
          </w:p>
          <w:p>
            <w:pPr>
              <w:pStyle w:val="0"/>
              <w:jc w:val="center"/>
            </w:pPr>
            <w:r>
              <w:rPr>
                <w:sz w:val="24"/>
              </w:rPr>
              <w:t xml:space="preserve">(СЭС), рублей </w:t>
            </w:r>
            <w:hyperlink w:history="0" w:anchor="P938" w:tooltip="&lt;44&gt; Указывается значение ставки экологического сбора (СЭС), определяемое как произведение значений БСЭС (графа 18) и КЭ (графа 19). Строка заполняется автоматически при использовании интерактивных форм отчетности.">
              <w:r>
                <w:rPr>
                  <w:sz w:val="24"/>
                  <w:color w:val="0000ff"/>
                </w:rPr>
                <w:t xml:space="preserve">&lt;44&gt;</w:t>
              </w:r>
            </w:hyperlink>
          </w:p>
        </w:tc>
        <w:tc>
          <w:tcPr>
            <w:tcW w:w="881" w:type="dxa"/>
          </w:tcPr>
          <w:p>
            <w:pPr>
              <w:pStyle w:val="0"/>
              <w:jc w:val="center"/>
            </w:pPr>
            <w:r>
              <w:rPr>
                <w:sz w:val="24"/>
              </w:rPr>
              <w:t xml:space="preserve">Сумма экологического сбора, подлежащая уплате, рублей </w:t>
            </w:r>
            <w:hyperlink w:history="0" w:anchor="P939" w:tooltip="&lt;45&gt; Указывается сумма подлежащего уплате экологического сбора, определяемая как произведение значений СЭС (графа 20) и Мэст (графа 17), деленное на 1000. Строка заполняется автоматически при использовании интерактивных форм отчетности.">
              <w:r>
                <w:rPr>
                  <w:sz w:val="24"/>
                  <w:color w:val="0000ff"/>
                </w:rPr>
                <w:t xml:space="preserve">&lt;45&gt;</w:t>
              </w:r>
            </w:hyperlink>
          </w:p>
        </w:tc>
        <w:tc>
          <w:tcPr>
            <w:tcW w:w="1147" w:type="dxa"/>
          </w:tcPr>
          <w:p>
            <w:pPr>
              <w:pStyle w:val="0"/>
              <w:jc w:val="center"/>
            </w:pPr>
            <w:r>
              <w:rPr>
                <w:sz w:val="24"/>
              </w:rPr>
              <w:t xml:space="preserve">Размер вознаграждения по банковской гарантии, договору поручительства, рублей </w:t>
            </w:r>
            <w:hyperlink w:history="0" w:anchor="P940" w:tooltip="&lt;46&gt; Указывается размер вознаграждения, уплаченного за банковскую гарантию, договор поручительства об обеспечении выполнения самостоятельной утилизации отходов от использования товаров. В случае если банковская гарантия, договор поручительства соответственно выдавалась, заключался в отношении конкретной упаковки, группы упаковки, включающей одну позицию по упаковке в соответствии с разделом III перечня товаров, упаковки, а затем указываются товарные позиции по товарам, упаковке из указанных перечней, све...">
              <w:r>
                <w:rPr>
                  <w:sz w:val="24"/>
                  <w:color w:val="0000ff"/>
                </w:rPr>
                <w:t xml:space="preserve">&lt;46&gt;</w:t>
              </w:r>
            </w:hyperlink>
          </w:p>
        </w:tc>
        <w:tc>
          <w:tcPr>
            <w:tcW w:w="828" w:type="dxa"/>
          </w:tcPr>
          <w:p>
            <w:pPr>
              <w:pStyle w:val="0"/>
              <w:jc w:val="center"/>
            </w:pPr>
            <w:r>
              <w:rPr>
                <w:sz w:val="24"/>
              </w:rPr>
              <w:t xml:space="preserve">Реквизиты банковской гарантии, договора поручительства </w:t>
            </w:r>
            <w:hyperlink w:history="0" w:anchor="P942" w:tooltip="&lt;47&gt; Указываются реквизиты банковской гарантии, договора поручительства, размер вознаграждения соответственно за выдачу, заключение которых указан в строке графы 22. В случае если в отчетный период выдавалось несколько банковских гарантий, заключалось несколько договоров поручительства, то построчно указываются все. Если банковская гарантия, договор поручительства выданы, заключены на несколько отчетных периодов, то они указываются только в одном отчетном периоде.">
              <w:r>
                <w:rPr>
                  <w:sz w:val="24"/>
                  <w:color w:val="0000ff"/>
                </w:rPr>
                <w:t xml:space="preserve">&lt;47&gt;</w:t>
              </w:r>
            </w:hyperlink>
          </w:p>
        </w:tc>
        <w:tc>
          <w:tcPr>
            <w:tcW w:w="1392" w:type="dxa"/>
          </w:tcPr>
          <w:p>
            <w:pPr>
              <w:pStyle w:val="0"/>
              <w:jc w:val="center"/>
            </w:pPr>
            <w:r>
              <w:rPr>
                <w:sz w:val="24"/>
              </w:rPr>
              <w:t xml:space="preserve">Ставка рефинансирования Центрального банка Российской Федерации на дату получения банковской гарантии, заключения договора поручительства </w:t>
            </w:r>
            <w:hyperlink w:history="0" w:anchor="P921" w:tooltip="&lt;28&gt; Указывается ключевая ставка Центрального банка Российской Федерации, действующая на дату выдачи банковской гарантии, заключения договора поручительства.">
              <w:r>
                <w:rPr>
                  <w:sz w:val="24"/>
                  <w:color w:val="0000ff"/>
                </w:rPr>
                <w:t xml:space="preserve">&lt;28&gt;</w:t>
              </w:r>
            </w:hyperlink>
          </w:p>
        </w:tc>
        <w:tc>
          <w:tcPr>
            <w:tcW w:w="1059" w:type="dxa"/>
          </w:tcPr>
          <w:p>
            <w:pPr>
              <w:pStyle w:val="0"/>
              <w:jc w:val="center"/>
            </w:pPr>
            <w:r>
              <w:rPr>
                <w:sz w:val="24"/>
              </w:rPr>
              <w:t xml:space="preserve">Размер вычета с учетом вознаграждения по банковской гарантии, договору поручительства </w:t>
            </w:r>
            <w:hyperlink w:history="0" w:anchor="P943" w:tooltip="&lt;48&gt; Значение рассчитывается автоматически согласно формуле. Размер вычета с учетом вознаграждения по банковской гарантии, договору поручительства определяется как произведение размера вознаграждения (графа 22) и массы отходов, в отношении которых выполнена самостоятельная утилизация (графа 16), деленное на общую массу отходов, в отношении которых должна быть осуществлена самостоятельная утилизация (разница графы 13 и графы 14). При этом если рассчитанное значение вычета превышает сумму экологического сб...">
              <w:r>
                <w:rPr>
                  <w:sz w:val="24"/>
                  <w:color w:val="0000ff"/>
                </w:rPr>
                <w:t xml:space="preserve">&lt;48&gt;</w:t>
              </w:r>
            </w:hyperlink>
          </w:p>
        </w:tc>
        <w:tc>
          <w:tcPr>
            <w:tcW w:w="1132" w:type="dxa"/>
          </w:tcPr>
          <w:p>
            <w:pPr>
              <w:pStyle w:val="0"/>
              <w:jc w:val="center"/>
            </w:pPr>
            <w:r>
              <w:rPr>
                <w:sz w:val="24"/>
              </w:rPr>
              <w:t xml:space="preserve">Сумма экологического сбора, подлежащая уплате с учетом вычета размера вознаграждения, рублей </w:t>
            </w:r>
            <w:hyperlink w:history="0" w:anchor="P945" w:tooltip="&lt;49&gt; Указывается сумма экологического сбора, подлежащая уплате с учетом вычета размера вознаграждения, которая определяется как разница суммы экологического сбора, подлежащей уплате (графа 21), и размера вычета с учетом вознаграждения по банковской гарантии, договору поручительства (графа 25).">
              <w:r>
                <w:rPr>
                  <w:sz w:val="24"/>
                  <w:color w:val="0000ff"/>
                </w:rPr>
                <w:t xml:space="preserve">&lt;49&gt;</w:t>
              </w:r>
            </w:hyperlink>
          </w:p>
        </w:tc>
        <w:tc>
          <w:tcPr>
            <w:tcW w:w="653" w:type="dxa"/>
          </w:tcPr>
          <w:p>
            <w:pPr>
              <w:pStyle w:val="0"/>
              <w:jc w:val="center"/>
            </w:pPr>
            <w:r>
              <w:rPr>
                <w:sz w:val="24"/>
              </w:rPr>
              <w:t xml:space="preserve">Примечание </w:t>
            </w:r>
            <w:hyperlink w:history="0" w:anchor="P924" w:tooltip="&lt;3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
              <w:r>
                <w:rPr>
                  <w:sz w:val="24"/>
                  <w:color w:val="0000ff"/>
                </w:rPr>
                <w:t xml:space="preserve">&lt;31&gt;</w:t>
              </w:r>
            </w:hyperlink>
          </w:p>
        </w:tc>
      </w:tr>
      <w:tr>
        <w:tc>
          <w:tcPr>
            <w:tcW w:w="885" w:type="dxa"/>
          </w:tcPr>
          <w:bookmarkStart w:id="839" w:name="P839"/>
          <w:bookmarkEnd w:id="839"/>
          <w:p>
            <w:pPr>
              <w:pStyle w:val="0"/>
              <w:jc w:val="center"/>
            </w:pPr>
            <w:r>
              <w:rPr>
                <w:sz w:val="24"/>
              </w:rPr>
              <w:t xml:space="preserve">15</w:t>
            </w:r>
          </w:p>
        </w:tc>
        <w:tc>
          <w:tcPr>
            <w:tcW w:w="1253" w:type="dxa"/>
          </w:tcPr>
          <w:bookmarkStart w:id="840" w:name="P840"/>
          <w:bookmarkEnd w:id="840"/>
          <w:p>
            <w:pPr>
              <w:pStyle w:val="0"/>
              <w:jc w:val="center"/>
            </w:pPr>
            <w:r>
              <w:rPr>
                <w:sz w:val="24"/>
              </w:rPr>
              <w:t xml:space="preserve">16</w:t>
            </w:r>
          </w:p>
        </w:tc>
        <w:tc>
          <w:tcPr>
            <w:tcW w:w="1594" w:type="dxa"/>
          </w:tcPr>
          <w:bookmarkStart w:id="841" w:name="P841"/>
          <w:bookmarkEnd w:id="841"/>
          <w:p>
            <w:pPr>
              <w:pStyle w:val="0"/>
              <w:jc w:val="center"/>
            </w:pPr>
            <w:r>
              <w:rPr>
                <w:sz w:val="24"/>
              </w:rPr>
              <w:t xml:space="preserve">17</w:t>
            </w:r>
          </w:p>
        </w:tc>
        <w:tc>
          <w:tcPr>
            <w:tcW w:w="888" w:type="dxa"/>
          </w:tcPr>
          <w:bookmarkStart w:id="842" w:name="P842"/>
          <w:bookmarkEnd w:id="842"/>
          <w:p>
            <w:pPr>
              <w:pStyle w:val="0"/>
              <w:jc w:val="center"/>
            </w:pPr>
            <w:r>
              <w:rPr>
                <w:sz w:val="24"/>
              </w:rPr>
              <w:t xml:space="preserve">18</w:t>
            </w:r>
          </w:p>
        </w:tc>
        <w:tc>
          <w:tcPr>
            <w:tcW w:w="890" w:type="dxa"/>
          </w:tcPr>
          <w:bookmarkStart w:id="843" w:name="P843"/>
          <w:bookmarkEnd w:id="843"/>
          <w:p>
            <w:pPr>
              <w:pStyle w:val="0"/>
              <w:jc w:val="center"/>
            </w:pPr>
            <w:r>
              <w:rPr>
                <w:sz w:val="24"/>
              </w:rPr>
              <w:t xml:space="preserve">19</w:t>
            </w:r>
          </w:p>
        </w:tc>
        <w:tc>
          <w:tcPr>
            <w:tcW w:w="979" w:type="dxa"/>
          </w:tcPr>
          <w:bookmarkStart w:id="844" w:name="P844"/>
          <w:bookmarkEnd w:id="844"/>
          <w:p>
            <w:pPr>
              <w:pStyle w:val="0"/>
              <w:jc w:val="center"/>
            </w:pPr>
            <w:r>
              <w:rPr>
                <w:sz w:val="24"/>
              </w:rPr>
              <w:t xml:space="preserve">20</w:t>
            </w:r>
          </w:p>
        </w:tc>
        <w:tc>
          <w:tcPr>
            <w:tcW w:w="881" w:type="dxa"/>
          </w:tcPr>
          <w:bookmarkStart w:id="845" w:name="P845"/>
          <w:bookmarkEnd w:id="845"/>
          <w:p>
            <w:pPr>
              <w:pStyle w:val="0"/>
              <w:jc w:val="center"/>
            </w:pPr>
            <w:r>
              <w:rPr>
                <w:sz w:val="24"/>
              </w:rPr>
              <w:t xml:space="preserve">21</w:t>
            </w:r>
          </w:p>
        </w:tc>
        <w:tc>
          <w:tcPr>
            <w:tcW w:w="1147" w:type="dxa"/>
          </w:tcPr>
          <w:bookmarkStart w:id="846" w:name="P846"/>
          <w:bookmarkEnd w:id="846"/>
          <w:p>
            <w:pPr>
              <w:pStyle w:val="0"/>
              <w:jc w:val="center"/>
            </w:pPr>
            <w:r>
              <w:rPr>
                <w:sz w:val="24"/>
              </w:rPr>
              <w:t xml:space="preserve">22</w:t>
            </w:r>
          </w:p>
        </w:tc>
        <w:tc>
          <w:tcPr>
            <w:tcW w:w="828" w:type="dxa"/>
          </w:tcPr>
          <w:p>
            <w:pPr>
              <w:pStyle w:val="0"/>
              <w:jc w:val="center"/>
            </w:pPr>
            <w:r>
              <w:rPr>
                <w:sz w:val="24"/>
              </w:rPr>
              <w:t xml:space="preserve">23</w:t>
            </w:r>
          </w:p>
        </w:tc>
        <w:tc>
          <w:tcPr>
            <w:tcW w:w="1392" w:type="dxa"/>
          </w:tcPr>
          <w:bookmarkStart w:id="848" w:name="P848"/>
          <w:bookmarkEnd w:id="848"/>
          <w:p>
            <w:pPr>
              <w:pStyle w:val="0"/>
              <w:jc w:val="center"/>
            </w:pPr>
            <w:r>
              <w:rPr>
                <w:sz w:val="24"/>
              </w:rPr>
              <w:t xml:space="preserve">24</w:t>
            </w:r>
          </w:p>
        </w:tc>
        <w:tc>
          <w:tcPr>
            <w:tcW w:w="1059" w:type="dxa"/>
          </w:tcPr>
          <w:bookmarkStart w:id="849" w:name="P849"/>
          <w:bookmarkEnd w:id="849"/>
          <w:p>
            <w:pPr>
              <w:pStyle w:val="0"/>
              <w:jc w:val="center"/>
            </w:pPr>
            <w:r>
              <w:rPr>
                <w:sz w:val="24"/>
              </w:rPr>
              <w:t xml:space="preserve">25</w:t>
            </w:r>
          </w:p>
        </w:tc>
        <w:tc>
          <w:tcPr>
            <w:tcW w:w="1132" w:type="dxa"/>
          </w:tcPr>
          <w:bookmarkStart w:id="850" w:name="P850"/>
          <w:bookmarkEnd w:id="850"/>
          <w:p>
            <w:pPr>
              <w:pStyle w:val="0"/>
              <w:jc w:val="center"/>
            </w:pPr>
            <w:r>
              <w:rPr>
                <w:sz w:val="24"/>
              </w:rPr>
              <w:t xml:space="preserve">26</w:t>
            </w:r>
          </w:p>
        </w:tc>
        <w:tc>
          <w:tcPr>
            <w:tcW w:w="653" w:type="dxa"/>
          </w:tcPr>
          <w:p>
            <w:pPr>
              <w:pStyle w:val="0"/>
              <w:jc w:val="center"/>
            </w:pPr>
            <w:r>
              <w:rPr>
                <w:sz w:val="24"/>
              </w:rPr>
              <w:t xml:space="preserve">27</w:t>
            </w:r>
          </w:p>
        </w:tc>
      </w:tr>
      <w:tr>
        <w:tc>
          <w:tcPr>
            <w:tcW w:w="885" w:type="dxa"/>
          </w:tcPr>
          <w:p>
            <w:pPr>
              <w:pStyle w:val="0"/>
            </w:pPr>
            <w:r>
              <w:rPr>
                <w:sz w:val="24"/>
              </w:rPr>
            </w:r>
          </w:p>
        </w:tc>
        <w:tc>
          <w:tcPr>
            <w:tcW w:w="1253" w:type="dxa"/>
          </w:tcPr>
          <w:p>
            <w:pPr>
              <w:pStyle w:val="0"/>
            </w:pPr>
            <w:r>
              <w:rPr>
                <w:sz w:val="24"/>
              </w:rPr>
            </w:r>
          </w:p>
        </w:tc>
        <w:tc>
          <w:tcPr>
            <w:tcW w:w="1594" w:type="dxa"/>
          </w:tcPr>
          <w:p>
            <w:pPr>
              <w:pStyle w:val="0"/>
            </w:pPr>
            <w:r>
              <w:rPr>
                <w:sz w:val="24"/>
              </w:rPr>
            </w:r>
          </w:p>
        </w:tc>
        <w:tc>
          <w:tcPr>
            <w:tcW w:w="888" w:type="dxa"/>
          </w:tcPr>
          <w:p>
            <w:pPr>
              <w:pStyle w:val="0"/>
            </w:pPr>
            <w:r>
              <w:rPr>
                <w:sz w:val="24"/>
              </w:rPr>
            </w:r>
          </w:p>
        </w:tc>
        <w:tc>
          <w:tcPr>
            <w:tcW w:w="890" w:type="dxa"/>
          </w:tcPr>
          <w:p>
            <w:pPr>
              <w:pStyle w:val="0"/>
            </w:pPr>
            <w:r>
              <w:rPr>
                <w:sz w:val="24"/>
              </w:rPr>
            </w:r>
          </w:p>
        </w:tc>
        <w:tc>
          <w:tcPr>
            <w:tcW w:w="979" w:type="dxa"/>
          </w:tcPr>
          <w:p>
            <w:pPr>
              <w:pStyle w:val="0"/>
            </w:pPr>
            <w:r>
              <w:rPr>
                <w:sz w:val="24"/>
              </w:rPr>
            </w:r>
          </w:p>
        </w:tc>
        <w:tc>
          <w:tcPr>
            <w:tcW w:w="881" w:type="dxa"/>
          </w:tcPr>
          <w:p>
            <w:pPr>
              <w:pStyle w:val="0"/>
            </w:pPr>
            <w:r>
              <w:rPr>
                <w:sz w:val="24"/>
              </w:rPr>
            </w:r>
          </w:p>
        </w:tc>
        <w:tc>
          <w:tcPr>
            <w:tcW w:w="1147" w:type="dxa"/>
          </w:tcPr>
          <w:p>
            <w:pPr>
              <w:pStyle w:val="0"/>
            </w:pPr>
            <w:r>
              <w:rPr>
                <w:sz w:val="24"/>
              </w:rPr>
            </w:r>
          </w:p>
        </w:tc>
        <w:tc>
          <w:tcPr>
            <w:tcW w:w="828" w:type="dxa"/>
          </w:tcPr>
          <w:p>
            <w:pPr>
              <w:pStyle w:val="0"/>
            </w:pPr>
            <w:r>
              <w:rPr>
                <w:sz w:val="24"/>
              </w:rPr>
            </w:r>
          </w:p>
        </w:tc>
        <w:tc>
          <w:tcPr>
            <w:tcW w:w="1392" w:type="dxa"/>
          </w:tcPr>
          <w:p>
            <w:pPr>
              <w:pStyle w:val="0"/>
            </w:pPr>
            <w:r>
              <w:rPr>
                <w:sz w:val="24"/>
              </w:rPr>
            </w:r>
          </w:p>
        </w:tc>
        <w:tc>
          <w:tcPr>
            <w:tcW w:w="1059" w:type="dxa"/>
          </w:tcPr>
          <w:p>
            <w:pPr>
              <w:pStyle w:val="0"/>
            </w:pPr>
            <w:r>
              <w:rPr>
                <w:sz w:val="24"/>
              </w:rPr>
            </w:r>
          </w:p>
        </w:tc>
        <w:tc>
          <w:tcPr>
            <w:tcW w:w="1132" w:type="dxa"/>
          </w:tcPr>
          <w:p>
            <w:pPr>
              <w:pStyle w:val="0"/>
            </w:pPr>
            <w:r>
              <w:rPr>
                <w:sz w:val="24"/>
              </w:rPr>
            </w:r>
          </w:p>
        </w:tc>
        <w:tc>
          <w:tcPr>
            <w:tcW w:w="653" w:type="dxa"/>
          </w:tcPr>
          <w:p>
            <w:pPr>
              <w:pStyle w:val="0"/>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bookmarkStart w:id="866" w:name="P866"/>
          <w:bookmarkEnd w:id="866"/>
          <w:p>
            <w:pPr>
              <w:pStyle w:val="0"/>
              <w:ind w:firstLine="283"/>
              <w:jc w:val="both"/>
            </w:pPr>
            <w:r>
              <w:rPr>
                <w:sz w:val="24"/>
              </w:rPr>
              <w:t xml:space="preserve">2.1.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w:t>
            </w:r>
            <w:hyperlink w:history="0" w:anchor="P926" w:tooltip="&lt;32&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w:r>
                <w:rPr>
                  <w:sz w:val="24"/>
                  <w:color w:val="0000ff"/>
                </w:rPr>
                <w:t xml:space="preserve">&lt;32&gt;</w:t>
              </w:r>
            </w:hyperlink>
            <w:r>
              <w:rPr>
                <w:sz w:val="24"/>
              </w:rPr>
              <w:t xml:space="preserve"> __________________________________________________________</w:t>
            </w:r>
          </w:p>
          <w:p>
            <w:pPr>
              <w:pStyle w:val="0"/>
              <w:ind w:firstLine="283"/>
              <w:jc w:val="both"/>
            </w:pPr>
            <w:r>
              <w:rPr>
                <w:sz w:val="24"/>
              </w:rPr>
              <w:t xml:space="preserve">2.2. Реквизиты решения о зачете излишне уплаченного (взысканного) экологического сбора </w:t>
            </w:r>
            <w:hyperlink w:history="0" w:anchor="P927" w:tooltip="&lt;33&gt; Указываются реквизиты решения Федеральной службы по надзору в сфере природопользования о зачете излишне уплаченного (взысканного) экологического сбора в счет предстоящих платежей по экологическому сбору. В случае если производителем товаров, импортером товаров расчет экологического сбора производится по нескольким формам, предусмотренным приложениями N 1 - 3 к Правилам взимания экологического сбора, утвержденным постановлением Правительства Российской Федерации от 30 декабря 2024 г. N 1990 &quot;О порядк...">
              <w:r>
                <w:rPr>
                  <w:sz w:val="24"/>
                  <w:color w:val="0000ff"/>
                </w:rPr>
                <w:t xml:space="preserve">&lt;33&gt;</w:t>
              </w:r>
            </w:hyperlink>
            <w:r>
              <w:rPr>
                <w:sz w:val="24"/>
              </w:rPr>
              <w:t xml:space="preserve"> __________________________</w:t>
            </w:r>
          </w:p>
          <w:bookmarkStart w:id="868" w:name="P868"/>
          <w:bookmarkEnd w:id="868"/>
          <w:p>
            <w:pPr>
              <w:pStyle w:val="0"/>
              <w:ind w:firstLine="283"/>
              <w:jc w:val="both"/>
            </w:pPr>
            <w:r>
              <w:rPr>
                <w:sz w:val="24"/>
              </w:rPr>
              <w:t xml:space="preserve">2.3. Итоговая сумма экологического сбора, подлежащая уплате, рублей </w:t>
            </w:r>
            <w:hyperlink w:history="0" w:anchor="P946" w:tooltip="&lt;50&gt; Указывается значение, определяемое как разность всех сумм экологического сбора, подлежащая уплате с учетом вычета (строки графы 26),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пункт 2.1). Пункт 2.3 заполняется автоматически при использовании интерактивных форм отчетности.">
              <w:r>
                <w:rPr>
                  <w:sz w:val="24"/>
                  <w:color w:val="0000ff"/>
                </w:rPr>
                <w:t xml:space="preserve">&lt;50&gt;</w:t>
              </w:r>
            </w:hyperlink>
            <w:r>
              <w:rPr>
                <w:sz w:val="24"/>
              </w:rPr>
              <w:t xml:space="preserve"> ____________________________________________</w:t>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ind w:firstLine="283"/>
              <w:jc w:val="both"/>
            </w:pPr>
            <w:r>
              <w:rPr>
                <w:sz w:val="24"/>
              </w:rPr>
              <w:t xml:space="preserve">К настоящему расчету прилагаются следующие документы:</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12"/>
        <w:gridCol w:w="12648"/>
      </w:tblGrid>
      <w:tr>
        <w:tc>
          <w:tcPr>
            <w:gridSpan w:val="2"/>
            <w:tcW w:w="13560" w:type="dxa"/>
          </w:tcPr>
          <w:p>
            <w:pPr>
              <w:pStyle w:val="0"/>
              <w:jc w:val="center"/>
            </w:pPr>
            <w:r>
              <w:rPr>
                <w:sz w:val="24"/>
              </w:rPr>
              <w:t xml:space="preserve">Наименование прилагаемого документа</w:t>
            </w:r>
          </w:p>
        </w:tc>
      </w:tr>
      <w:tr>
        <w:tc>
          <w:tcPr>
            <w:tcW w:w="912" w:type="dxa"/>
          </w:tcPr>
          <w:p>
            <w:pPr>
              <w:pStyle w:val="0"/>
              <w:jc w:val="center"/>
            </w:pPr>
            <w:r>
              <w:rPr>
                <w:sz w:val="24"/>
              </w:rPr>
              <w:t xml:space="preserve">1.</w:t>
            </w:r>
          </w:p>
        </w:tc>
        <w:tc>
          <w:tcPr>
            <w:tcW w:w="12648" w:type="dxa"/>
          </w:tcPr>
          <w:p>
            <w:pPr>
              <w:pStyle w:val="0"/>
            </w:pPr>
            <w:r>
              <w:rPr>
                <w:sz w:val="24"/>
              </w:rPr>
            </w:r>
          </w:p>
        </w:tc>
      </w:tr>
    </w:tbl>
    <w:p>
      <w:pPr>
        <w:pStyle w:val="0"/>
        <w:jc w:val="right"/>
      </w:pPr>
      <w:r>
        <w:rPr>
          <w:sz w:val="24"/>
        </w:rPr>
      </w:r>
    </w:p>
    <w:tbl>
      <w:tblPr>
        <w:tblInd w:w="0" w:type="dxa"/>
        <w:tblLayout w:type="fixed"/>
        <w:tblCellMar>
          <w:top w:w="102" w:type="dxa"/>
          <w:left w:w="62" w:type="dxa"/>
          <w:bottom w:w="102" w:type="dxa"/>
          <w:right w:w="62" w:type="dxa"/>
        </w:tblCellMar>
      </w:tblPr>
      <w:tblGrid>
        <w:gridCol w:w="13575"/>
      </w:tblGrid>
      <w:tr>
        <w:tc>
          <w:tcPr>
            <w:tcW w:w="13575" w:type="dxa"/>
            <w:tcBorders>
              <w:top w:val="nil"/>
              <w:left w:val="nil"/>
              <w:bottom w:val="nil"/>
              <w:right w:val="nil"/>
            </w:tcBorders>
          </w:tcPr>
          <w:p>
            <w:pPr>
              <w:pStyle w:val="0"/>
              <w:ind w:firstLine="283"/>
              <w:jc w:val="both"/>
            </w:pPr>
            <w:r>
              <w:rPr>
                <w:sz w:val="24"/>
              </w:rPr>
              <w:t xml:space="preserve">Полноту и достоверность сведений, представленных в настоящем расчете и прилагаемых к нему документах, подтверждаю.</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6660"/>
        <w:gridCol w:w="340"/>
        <w:gridCol w:w="4603"/>
        <w:gridCol w:w="389"/>
        <w:gridCol w:w="1608"/>
      </w:tblGrid>
      <w:tr>
        <w:tc>
          <w:tcPr>
            <w:tcW w:w="6660" w:type="dxa"/>
            <w:vAlign w:val="bottom"/>
            <w:tcBorders>
              <w:top w:val="nil"/>
              <w:left w:val="nil"/>
              <w:bottom w:val="nil"/>
              <w:right w:val="nil"/>
            </w:tcBorders>
          </w:tcPr>
          <w:p>
            <w:pPr>
              <w:pStyle w:val="0"/>
            </w:pPr>
            <w:r>
              <w:rPr>
                <w:sz w:val="24"/>
              </w:rPr>
              <w:t xml:space="preserve">Должностное лицо, ответственное за представление расчета (руководитель юридического лица или лицо, уполномоченное на осуществление действий от имени юридического лица, либо индивидуальный предприниматель)</w:t>
            </w:r>
          </w:p>
        </w:tc>
        <w:tc>
          <w:tcPr>
            <w:tcW w:w="340" w:type="dxa"/>
            <w:tcBorders>
              <w:top w:val="nil"/>
              <w:left w:val="nil"/>
              <w:bottom w:val="nil"/>
              <w:right w:val="nil"/>
            </w:tcBorders>
          </w:tcPr>
          <w:p>
            <w:pPr>
              <w:pStyle w:val="0"/>
            </w:pPr>
            <w:r>
              <w:rPr>
                <w:sz w:val="24"/>
              </w:rPr>
            </w:r>
          </w:p>
        </w:tc>
        <w:tc>
          <w:tcPr>
            <w:tcW w:w="4603" w:type="dxa"/>
            <w:tcBorders>
              <w:top w:val="nil"/>
              <w:left w:val="nil"/>
              <w:bottom w:val="single" w:sz="4"/>
              <w:right w:val="nil"/>
            </w:tcBorders>
          </w:tcPr>
          <w:p>
            <w:pPr>
              <w:pStyle w:val="0"/>
            </w:pPr>
            <w:r>
              <w:rPr>
                <w:sz w:val="24"/>
              </w:rPr>
            </w:r>
          </w:p>
        </w:tc>
        <w:tc>
          <w:tcPr>
            <w:tcW w:w="389" w:type="dxa"/>
            <w:tcBorders>
              <w:top w:val="nil"/>
              <w:left w:val="nil"/>
              <w:bottom w:val="nil"/>
              <w:right w:val="nil"/>
            </w:tcBorders>
          </w:tcPr>
          <w:p>
            <w:pPr>
              <w:pStyle w:val="0"/>
            </w:pPr>
            <w:r>
              <w:rPr>
                <w:sz w:val="24"/>
              </w:rPr>
            </w:r>
          </w:p>
        </w:tc>
        <w:tc>
          <w:tcPr>
            <w:tcW w:w="1608" w:type="dxa"/>
            <w:tcBorders>
              <w:top w:val="nil"/>
              <w:left w:val="nil"/>
              <w:bottom w:val="single" w:sz="4"/>
              <w:right w:val="nil"/>
            </w:tcBorders>
          </w:tcPr>
          <w:p>
            <w:pPr>
              <w:pStyle w:val="0"/>
            </w:pPr>
            <w:r>
              <w:rPr>
                <w:sz w:val="24"/>
              </w:rPr>
            </w:r>
          </w:p>
        </w:tc>
      </w:tr>
      <w:tr>
        <w:tc>
          <w:tcPr>
            <w:tcW w:w="66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603" w:type="dxa"/>
            <w:tcBorders>
              <w:top w:val="single" w:sz="4"/>
              <w:left w:val="nil"/>
              <w:bottom w:val="nil"/>
              <w:right w:val="nil"/>
            </w:tcBorders>
          </w:tcPr>
          <w:p>
            <w:pPr>
              <w:pStyle w:val="0"/>
              <w:jc w:val="center"/>
            </w:pPr>
            <w:r>
              <w:rPr>
                <w:sz w:val="24"/>
              </w:rPr>
              <w:t xml:space="preserve">(фамилия, имя, отчество (при наличии)</w:t>
            </w:r>
          </w:p>
        </w:tc>
        <w:tc>
          <w:tcPr>
            <w:tcW w:w="389" w:type="dxa"/>
            <w:tcBorders>
              <w:top w:val="nil"/>
              <w:left w:val="nil"/>
              <w:bottom w:val="nil"/>
              <w:right w:val="nil"/>
            </w:tcBorders>
          </w:tcPr>
          <w:p>
            <w:pPr>
              <w:pStyle w:val="0"/>
              <w:jc w:val="center"/>
            </w:pPr>
            <w:r>
              <w:rPr>
                <w:sz w:val="24"/>
              </w:rPr>
            </w:r>
          </w:p>
        </w:tc>
        <w:tc>
          <w:tcPr>
            <w:tcW w:w="1608" w:type="dxa"/>
            <w:tcBorders>
              <w:top w:val="single" w:sz="4"/>
              <w:left w:val="nil"/>
              <w:bottom w:val="nil"/>
              <w:right w:val="nil"/>
            </w:tcBorders>
          </w:tcPr>
          <w:p>
            <w:pPr>
              <w:pStyle w:val="0"/>
              <w:jc w:val="center"/>
            </w:pPr>
            <w:r>
              <w:rPr>
                <w:sz w:val="24"/>
              </w:rPr>
              <w:t xml:space="preserve">(дата)</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890" w:name="P890"/>
    <w:bookmarkEnd w:id="890"/>
    <w:p>
      <w:pPr>
        <w:pStyle w:val="0"/>
        <w:spacing w:before="240" w:line-rule="auto"/>
        <w:ind w:firstLine="540"/>
        <w:jc w:val="both"/>
      </w:pPr>
      <w:r>
        <w:rPr>
          <w:sz w:val="24"/>
        </w:rPr>
        <w:t xml:space="preserve">&lt;1&gt; Сведения </w:t>
      </w:r>
      <w:hyperlink w:history="0" w:anchor="P612" w:tooltip="Раздел I. Общие сведения об импортере товаров, упаковки, в том числе товаров в упаковке &lt;1&gt;">
        <w:r>
          <w:rPr>
            <w:sz w:val="24"/>
            <w:color w:val="0000ff"/>
          </w:rPr>
          <w:t xml:space="preserve">раздела I</w:t>
        </w:r>
      </w:hyperlink>
      <w:r>
        <w:rPr>
          <w:sz w:val="24"/>
        </w:rPr>
        <w:t xml:space="preserve"> настоящего расчета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891" w:name="P891"/>
    <w:bookmarkEnd w:id="891"/>
    <w:p>
      <w:pPr>
        <w:pStyle w:val="0"/>
        <w:spacing w:before="240" w:line-rule="auto"/>
        <w:ind w:firstLine="540"/>
        <w:jc w:val="both"/>
      </w:pPr>
      <w:r>
        <w:rPr>
          <w:sz w:val="24"/>
        </w:rPr>
        <w:t xml:space="preserve">&lt;2&gt; При заполнении </w:t>
      </w:r>
      <w:hyperlink w:history="0" w:anchor="P640" w:tooltip="Таблица 1">
        <w:r>
          <w:rPr>
            <w:sz w:val="24"/>
            <w:color w:val="0000ff"/>
          </w:rPr>
          <w:t xml:space="preserve">таблицы 1</w:t>
        </w:r>
      </w:hyperlink>
      <w:r>
        <w:rPr>
          <w:sz w:val="24"/>
        </w:rPr>
        <w:t xml:space="preserve"> в начале указываются номер и наименование группы товаров, упаковки, отходы от использования которых подлежат утилизации в отчетном периоде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отходы от использования которых подлежат утилизации, на 2024 год и </w:t>
      </w:r>
      <w:r>
        <w:rPr>
          <w:sz w:val="24"/>
        </w:rPr>
        <w:t xml:space="preserve">перечня</w:t>
      </w:r>
      <w:r>
        <w:rPr>
          <w:sz w:val="24"/>
        </w:rPr>
        <w:t xml:space="preserve"> товаров, упаковки, отходы от использования которых подлежат утилизации, утвержденных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 (далее - перечни товаров, упаковки), а затем построчно указываются товарные позиции по товарам, упаковке из перечней товаров, упаковки.</w:t>
      </w:r>
    </w:p>
    <w:p>
      <w:pPr>
        <w:pStyle w:val="0"/>
        <w:spacing w:before="240" w:line-rule="auto"/>
        <w:ind w:firstLine="540"/>
        <w:jc w:val="both"/>
      </w:pPr>
      <w:r>
        <w:rPr>
          <w:sz w:val="24"/>
        </w:rPr>
        <w:t xml:space="preserve">Товарные позиции 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абзаце двадцать седьмом </w:t>
      </w:r>
      <w:r>
        <w:rPr>
          <w:sz w:val="24"/>
        </w:rPr>
        <w:t xml:space="preserve">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построчно по товарам, имеющим выданный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и по товарам, в отношении которых такой сертификат соответствия отсутствует.</w:t>
      </w:r>
    </w:p>
    <w:bookmarkStart w:id="893" w:name="P893"/>
    <w:bookmarkEnd w:id="893"/>
    <w:p>
      <w:pPr>
        <w:pStyle w:val="0"/>
        <w:spacing w:before="240" w:line-rule="auto"/>
        <w:ind w:firstLine="540"/>
        <w:jc w:val="both"/>
      </w:pPr>
      <w:r>
        <w:rPr>
          <w:sz w:val="24"/>
        </w:rPr>
        <w:t xml:space="preserve">&lt;3&gt; Наименование и код по каждому товару, упаковке указываются по единой Товарной </w:t>
      </w:r>
      <w:r>
        <w:rPr>
          <w:sz w:val="24"/>
        </w:rPr>
        <w:t xml:space="preserve">номенклатуре</w:t>
      </w:r>
      <w:r>
        <w:rPr>
          <w:sz w:val="24"/>
        </w:rPr>
        <w:t xml:space="preserve"> внешнеэкономической деятельности Евразийского экономического союза (ТН ВЭД ЕАЭС).</w:t>
      </w:r>
    </w:p>
    <w:bookmarkStart w:id="894" w:name="P894"/>
    <w:bookmarkEnd w:id="894"/>
    <w:p>
      <w:pPr>
        <w:pStyle w:val="0"/>
        <w:spacing w:before="240" w:line-rule="auto"/>
        <w:ind w:firstLine="540"/>
        <w:jc w:val="both"/>
      </w:pPr>
      <w:r>
        <w:rPr>
          <w:sz w:val="24"/>
        </w:rPr>
        <w:t xml:space="preserve">&lt;4&gt; Графы не заполняются импортерами товаров, в том числе товаров в упаковке, частично выполнившими самостоятельную утилизацию и представившими отчетность о самостоятельной утилизации, а также импортерами товаров, осуществившими в период с 1 января 2024 г. по 31 декабря 2025 г. ввоз товаров, упаковки, включенных в </w:t>
      </w:r>
      <w:r>
        <w:rPr>
          <w:sz w:val="24"/>
        </w:rPr>
        <w:t xml:space="preserve">перечень</w:t>
      </w:r>
      <w:r>
        <w:rPr>
          <w:sz w:val="24"/>
        </w:rPr>
        <w:t xml:space="preserve"> отдельных видов товаров, в том числе товаров в упаковке, участвующих в эксперименте, предусмотренный приложением N 1 к Положению о проведении эксперимента в отношении отдельных групп товаров, в том числе товаров в упаковке, утвержденному постановлением Правительства Российской Федерации от 1 июня 2024 г. N 750 "О проведении эксперимента в отношении отдельных групп товаров, в том числе товаров в упаковке" (далее - Положение о проведении эксперимента).</w:t>
      </w:r>
    </w:p>
    <w:bookmarkStart w:id="895" w:name="P895"/>
    <w:bookmarkEnd w:id="895"/>
    <w:p>
      <w:pPr>
        <w:pStyle w:val="0"/>
        <w:spacing w:before="240" w:line-rule="auto"/>
        <w:ind w:firstLine="540"/>
        <w:jc w:val="both"/>
      </w:pPr>
      <w:r>
        <w:rPr>
          <w:sz w:val="24"/>
        </w:rPr>
        <w:t xml:space="preserve">&lt;5&gt; Масса указывается для каждого наименования товара, упаковки в килограммах, округленных до целого числа по математическим правилам округления. Масса товара, упаковки, ввезенных в течение отчетного периода (всего) (М</w:t>
      </w:r>
      <w:r>
        <w:rPr>
          <w:sz w:val="24"/>
          <w:vertAlign w:val="subscript"/>
        </w:rPr>
        <w:t xml:space="preserve">т.</w:t>
      </w:r>
      <w:r>
        <w:rPr>
          <w:sz w:val="24"/>
        </w:rPr>
        <w:t xml:space="preserve">), указывается как сумма значений строк </w:t>
      </w:r>
      <w:r>
        <w:rPr>
          <w:sz w:val="24"/>
        </w:rPr>
        <w:t xml:space="preserve">графы 5</w:t>
      </w:r>
      <w:r>
        <w:rPr>
          <w:sz w:val="24"/>
        </w:rPr>
        <w:t xml:space="preserve"> таблицы 1 раздела II приложения N 2 к Правилам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утвержденным постановлением Правительства Российской Федерации от 31 мая 2024 г. N 741 "Об утверждении Правил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(далее - Правила представления отчетности о массе товаров, упаковки). С 1 января 2026 г. строка </w:t>
      </w:r>
      <w:hyperlink w:history="0" w:anchor="P669" w:tooltip="5">
        <w:r>
          <w:rPr>
            <w:sz w:val="24"/>
            <w:color w:val="0000ff"/>
          </w:rPr>
          <w:t xml:space="preserve">графы 5</w:t>
        </w:r>
      </w:hyperlink>
      <w:r>
        <w:rPr>
          <w:sz w:val="24"/>
        </w:rPr>
        <w:t xml:space="preserve"> заполняется автоматически при использовании интерактивных форм расчета экологического сбора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расчета).</w:t>
      </w:r>
    </w:p>
    <w:bookmarkStart w:id="896" w:name="P896"/>
    <w:bookmarkEnd w:id="896"/>
    <w:p>
      <w:pPr>
        <w:pStyle w:val="0"/>
        <w:spacing w:before="240" w:line-rule="auto"/>
        <w:ind w:firstLine="540"/>
        <w:jc w:val="both"/>
      </w:pPr>
      <w:r>
        <w:rPr>
          <w:sz w:val="24"/>
        </w:rPr>
        <w:t xml:space="preserve">&lt;6&gt; Указывается масса товаров, упаковки, в отношении которых в отчетный период наступили события, предусмотренные </w:t>
      </w:r>
      <w:r>
        <w:rPr>
          <w:sz w:val="24"/>
        </w:rPr>
        <w:t xml:space="preserve">пунктом 2 статьи 24.2-1</w:t>
      </w:r>
      <w:r>
        <w:rPr>
          <w:sz w:val="24"/>
        </w:rPr>
        <w:t xml:space="preserve"> Федерального закона "Об отходах производства и потребления", и которые вывезены в отчетном периоде из Российской Федерации (М</w:t>
      </w:r>
      <w:r>
        <w:rPr>
          <w:sz w:val="24"/>
          <w:vertAlign w:val="subscript"/>
        </w:rPr>
        <w:t xml:space="preserve">выв.т.</w:t>
      </w:r>
      <w:r>
        <w:rPr>
          <w:sz w:val="24"/>
        </w:rPr>
        <w:t xml:space="preserve">). Заполняется на основании таможенных документов и (или) на основании документов, полученных от контрагентов при осуществлении коммерческой деятельности, в случае если вывоз товаров, упаковки подтвержден в порядке, установленном Правительством Российской Федерации в соответствии с </w:t>
      </w:r>
      <w:r>
        <w:rPr>
          <w:sz w:val="24"/>
        </w:rPr>
        <w:t xml:space="preserve">пунктом 5 статьи 24.5</w:t>
      </w:r>
      <w:r>
        <w:rPr>
          <w:sz w:val="24"/>
        </w:rPr>
        <w:t xml:space="preserve"> Федерального закона "Об отходах производства и потребления". В отношении упаковки данная графа заполняется как в случае, если упаковка вывозилась в качестве товара, так и в случае вывоза товара, который был помещен в данную упаковку. В случае отсутствия у импортера товаров информации и документов (в том числе полученных от контрагентов), подтверждающих вывоз с территории Российской Федерации товаров, упаковки, сведения о которых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в строке </w:t>
      </w:r>
      <w:hyperlink w:history="0" w:anchor="P670" w:tooltip="6">
        <w:r>
          <w:rPr>
            <w:sz w:val="24"/>
            <w:color w:val="0000ff"/>
          </w:rPr>
          <w:t xml:space="preserve">графы 6</w:t>
        </w:r>
      </w:hyperlink>
      <w:r>
        <w:rPr>
          <w:sz w:val="24"/>
        </w:rPr>
        <w:t xml:space="preserve"> ставится значение "0".</w:t>
      </w:r>
    </w:p>
    <w:bookmarkStart w:id="897" w:name="P897"/>
    <w:bookmarkEnd w:id="897"/>
    <w:p>
      <w:pPr>
        <w:pStyle w:val="0"/>
        <w:spacing w:before="240" w:line-rule="auto"/>
        <w:ind w:firstLine="540"/>
        <w:jc w:val="both"/>
      </w:pPr>
      <w:r>
        <w:rPr>
          <w:sz w:val="24"/>
        </w:rPr>
        <w:t xml:space="preserve">&lt;7&gt; В случае если в отчетном периоде определенная масса товаров, упаковки, сведения о которых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вывозилась из Российской Федерации, в графе отражается наименование юридического лица или фамилия, имя, отчество (при наличии) физического лица, являющегося индивидуальным предпринимателем, которые осуществили вывоз товаров, упаковки, их идентификационные номера налогоплательщиков и основной государственный регистрационный номер, либо указывается "самостоятельно", если вывоз осуществлялся импортером товара.</w:t>
      </w:r>
    </w:p>
    <w:bookmarkStart w:id="898" w:name="P898"/>
    <w:bookmarkEnd w:id="898"/>
    <w:p>
      <w:pPr>
        <w:pStyle w:val="0"/>
        <w:spacing w:before="240" w:line-rule="auto"/>
        <w:ind w:firstLine="540"/>
        <w:jc w:val="both"/>
      </w:pPr>
      <w:r>
        <w:rPr>
          <w:sz w:val="24"/>
        </w:rPr>
        <w:t xml:space="preserve">&lt;8&gt; В случае если в отчетном периоде определенная масса товаров, упаковки, сведения о которых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вывозилась из Российской Федерации, в графе отражаются реквизиты (номер, дата) документов, подтверждающих вывоз с территории Российской Федерации товаров, упаковки.</w:t>
      </w:r>
    </w:p>
    <w:bookmarkStart w:id="899" w:name="P899"/>
    <w:bookmarkEnd w:id="899"/>
    <w:p>
      <w:pPr>
        <w:pStyle w:val="0"/>
        <w:spacing w:before="240" w:line-rule="auto"/>
        <w:ind w:firstLine="540"/>
        <w:jc w:val="both"/>
      </w:pPr>
      <w:r>
        <w:rPr>
          <w:sz w:val="24"/>
        </w:rPr>
        <w:t xml:space="preserve">&lt;9&gt; Указывается общая масса товара,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используемого импортерами товаров (в случае если импортер одновременно является производителем конечного товара) самостоятельно или переданного другим лицам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r>
        <w:rPr>
          <w:sz w:val="24"/>
        </w:rPr>
        <w:t xml:space="preserve">пунктом 2 статьи 24.1</w:t>
      </w:r>
      <w:r>
        <w:rPr>
          <w:sz w:val="24"/>
        </w:rPr>
        <w:t xml:space="preserve"> Федерального закона "Об отходах производства и потребления". При отсутствии таких товаров в строках </w:t>
      </w:r>
      <w:hyperlink w:history="0" w:anchor="P673" w:tooltip="9">
        <w:r>
          <w:rPr>
            <w:sz w:val="24"/>
            <w:color w:val="0000ff"/>
          </w:rPr>
          <w:t xml:space="preserve">граф 9</w:t>
        </w:r>
      </w:hyperlink>
      <w:r>
        <w:rPr>
          <w:sz w:val="24"/>
        </w:rPr>
        <w:t xml:space="preserve"> - </w:t>
      </w:r>
      <w:hyperlink w:history="0" w:anchor="P675" w:tooltip="11">
        <w:r>
          <w:rPr>
            <w:sz w:val="24"/>
            <w:color w:val="0000ff"/>
          </w:rPr>
          <w:t xml:space="preserve">11</w:t>
        </w:r>
      </w:hyperlink>
      <w:r>
        <w:rPr>
          <w:sz w:val="24"/>
        </w:rPr>
        <w:t xml:space="preserve"> ставится значение "0".</w:t>
      </w:r>
    </w:p>
    <w:bookmarkStart w:id="900" w:name="P900"/>
    <w:bookmarkEnd w:id="900"/>
    <w:p>
      <w:pPr>
        <w:pStyle w:val="0"/>
        <w:spacing w:before="240" w:line-rule="auto"/>
        <w:ind w:firstLine="540"/>
        <w:jc w:val="both"/>
      </w:pPr>
      <w:r>
        <w:rPr>
          <w:sz w:val="24"/>
        </w:rPr>
        <w:t xml:space="preserve">&lt;10&gt; Указывается масса товара,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используемого импортерами товаров (в случае если импортер одновременно является производителем конечного товара) самостоятельно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r>
        <w:rPr>
          <w:sz w:val="24"/>
        </w:rPr>
        <w:t xml:space="preserve">пунктом 2 статьи 24.1</w:t>
      </w:r>
      <w:r>
        <w:rPr>
          <w:sz w:val="24"/>
        </w:rPr>
        <w:t xml:space="preserve"> Федерального закона "Об отходах производства и потребления".</w:t>
      </w:r>
    </w:p>
    <w:bookmarkStart w:id="901" w:name="P901"/>
    <w:bookmarkEnd w:id="901"/>
    <w:p>
      <w:pPr>
        <w:pStyle w:val="0"/>
        <w:spacing w:before="240" w:line-rule="auto"/>
        <w:ind w:firstLine="540"/>
        <w:jc w:val="both"/>
      </w:pPr>
      <w:r>
        <w:rPr>
          <w:sz w:val="24"/>
        </w:rPr>
        <w:t xml:space="preserve">&lt;11&gt; Указывается масса товара,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переданного другим лицам в качестве сырья, материалов, запасных частей, комплектующих при производстве товаров, включенных в перечни товаров, упаковки,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r>
        <w:rPr>
          <w:sz w:val="24"/>
        </w:rPr>
        <w:t xml:space="preserve">пунктом 2 статьи 24.1</w:t>
      </w:r>
      <w:r>
        <w:rPr>
          <w:sz w:val="24"/>
        </w:rPr>
        <w:t xml:space="preserve"> Федерального закона "Об отходах производства и потребления" (М</w:t>
      </w:r>
      <w:r>
        <w:rPr>
          <w:sz w:val="24"/>
          <w:vertAlign w:val="subscript"/>
        </w:rPr>
        <w:t xml:space="preserve">зап.</w:t>
      </w:r>
      <w:r>
        <w:rPr>
          <w:sz w:val="24"/>
        </w:rPr>
        <w:t xml:space="preserve">). В случае отсутствия у импортера товаров информации и документов, подтверждающих передачу лицам, указанным в строке </w:t>
      </w:r>
      <w:hyperlink w:history="0" w:anchor="P676" w:tooltip="12">
        <w:r>
          <w:rPr>
            <w:sz w:val="24"/>
            <w:color w:val="0000ff"/>
          </w:rPr>
          <w:t xml:space="preserve">графы 12</w:t>
        </w:r>
      </w:hyperlink>
      <w:r>
        <w:rPr>
          <w:sz w:val="24"/>
        </w:rPr>
        <w:t xml:space="preserve">, товаров для использования в качестве сырья, материалов, запасных частей, комплектующих, в строке </w:t>
      </w:r>
      <w:hyperlink w:history="0" w:anchor="P675" w:tooltip="11">
        <w:r>
          <w:rPr>
            <w:sz w:val="24"/>
            <w:color w:val="0000ff"/>
          </w:rPr>
          <w:t xml:space="preserve">графы 11</w:t>
        </w:r>
      </w:hyperlink>
      <w:r>
        <w:rPr>
          <w:sz w:val="24"/>
        </w:rPr>
        <w:t xml:space="preserve"> ставится значение "0".</w:t>
      </w:r>
    </w:p>
    <w:bookmarkStart w:id="902" w:name="P902"/>
    <w:bookmarkEnd w:id="902"/>
    <w:p>
      <w:pPr>
        <w:pStyle w:val="0"/>
        <w:spacing w:before="240" w:line-rule="auto"/>
        <w:ind w:firstLine="540"/>
        <w:jc w:val="both"/>
      </w:pPr>
      <w:r>
        <w:rPr>
          <w:sz w:val="24"/>
        </w:rPr>
        <w:t xml:space="preserve">&lt;12&gt; Указывается наименование юридического лица или фамилия, имя, отчество (при наличии) физического лица, являющегося индивидуальным предпринимателем, сведения о котором в качестве производителя товаров, импортера товаров, которые обязаны обеспечивать утилизацию отходов, содержатся в реестре таких лиц, являющемся информационной подсистемой единой федеральной государственной информационной системы учета отходов от использования товаров, и которому передан товар,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для использования в качестве сырья, материалов, запасных частей, комплектующих при производстве товаров, включенных в перечни товаров, упаковки.</w:t>
      </w:r>
    </w:p>
    <w:p>
      <w:pPr>
        <w:pStyle w:val="0"/>
        <w:spacing w:before="240" w:line-rule="auto"/>
        <w:ind w:firstLine="540"/>
        <w:jc w:val="both"/>
      </w:pPr>
      <w:r>
        <w:rPr>
          <w:sz w:val="24"/>
        </w:rPr>
        <w:t xml:space="preserve">Указывается наименование юридического лица или фамилия, имя, отчество (при наличии) физического лица, являющегося индивидуальным предпринимателем, которому передан товар,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для использования в качестве сырья, материалов, запасных частей, комплектующих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r>
        <w:rPr>
          <w:sz w:val="24"/>
        </w:rPr>
        <w:t xml:space="preserve">пунктом 2 статьи 24.1</w:t>
      </w:r>
      <w:r>
        <w:rPr>
          <w:sz w:val="24"/>
        </w:rPr>
        <w:t xml:space="preserve"> Федерального закона "Об отходах производства и потребления".</w:t>
      </w:r>
    </w:p>
    <w:bookmarkStart w:id="904" w:name="P904"/>
    <w:bookmarkEnd w:id="904"/>
    <w:p>
      <w:pPr>
        <w:pStyle w:val="0"/>
        <w:spacing w:before="240" w:line-rule="auto"/>
        <w:ind w:firstLine="540"/>
        <w:jc w:val="both"/>
      </w:pPr>
      <w:r>
        <w:rPr>
          <w:sz w:val="24"/>
        </w:rPr>
        <w:t xml:space="preserve">&lt;13&gt; Указываются реквизиты (номер, дата) товарно-сопроводительных документов и иных документов (договоров, заключенных между производителем товаров, импортером товаров, реализуемых в качестве сырья, материалов, запасных частей, комплектующих, и юридическим лицом или индивидуальным предпринимателем (производителем конечного товара), которому импортер товаров реализует их в качестве сырья, материалов, запасных частей, комплектующих, акты приема-передачи, акты выполненных работ и иные документы), подтверждающих передачу производителями товаров, импортерами товаров лицам, указанных в строке </w:t>
      </w:r>
      <w:hyperlink w:history="0" w:anchor="P676" w:tooltip="12">
        <w:r>
          <w:rPr>
            <w:sz w:val="24"/>
            <w:color w:val="0000ff"/>
          </w:rPr>
          <w:t xml:space="preserve">графы 12</w:t>
        </w:r>
      </w:hyperlink>
      <w:r>
        <w:rPr>
          <w:sz w:val="24"/>
        </w:rPr>
        <w:t xml:space="preserve">, товаров для использования в качестве сырья, материалов, запасных частей, комплектующих.</w:t>
      </w:r>
    </w:p>
    <w:bookmarkStart w:id="905" w:name="P905"/>
    <w:bookmarkEnd w:id="905"/>
    <w:p>
      <w:pPr>
        <w:pStyle w:val="0"/>
        <w:spacing w:before="240" w:line-rule="auto"/>
        <w:ind w:firstLine="540"/>
        <w:jc w:val="both"/>
      </w:pPr>
      <w:r>
        <w:rPr>
          <w:sz w:val="24"/>
        </w:rPr>
        <w:t xml:space="preserve">&lt;14&gt; Указываются наименование и код товара (товаров) по Общероссийскому </w:t>
      </w:r>
      <w:r>
        <w:rPr>
          <w:sz w:val="24"/>
        </w:rPr>
        <w:t xml:space="preserve">классификатору</w:t>
      </w:r>
      <w:r>
        <w:rPr>
          <w:sz w:val="24"/>
        </w:rPr>
        <w:t xml:space="preserve"> продукции по видам экономической деятельности ОК 034-2014 (КПЕС 2008) согласно товарным позициям по товарам, упаковке, предусмотренным </w:t>
      </w:r>
      <w:r>
        <w:rPr>
          <w:sz w:val="24"/>
        </w:rPr>
        <w:t xml:space="preserve">разделами I</w:t>
      </w:r>
      <w:r>
        <w:rPr>
          <w:sz w:val="24"/>
        </w:rPr>
        <w:t xml:space="preserve"> и </w:t>
      </w:r>
      <w:r>
        <w:rPr>
          <w:sz w:val="24"/>
        </w:rPr>
        <w:t xml:space="preserve">II</w:t>
      </w:r>
      <w:r>
        <w:rPr>
          <w:sz w:val="24"/>
        </w:rPr>
        <w:t xml:space="preserve"> перечня товаров, упаковки, при производстве которых в качестве сырья, материалов, запасных частей, комплектующих использован и (или) передан для использования товар,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w:t>
      </w:r>
    </w:p>
    <w:p>
      <w:pPr>
        <w:pStyle w:val="0"/>
        <w:spacing w:before="240" w:line-rule="auto"/>
        <w:ind w:firstLine="540"/>
        <w:jc w:val="both"/>
      </w:pPr>
      <w:r>
        <w:rPr>
          <w:sz w:val="24"/>
        </w:rPr>
        <w:t xml:space="preserve">Указываются наименование и код товара (товаров) по Общероссийскому </w:t>
      </w:r>
      <w:r>
        <w:rPr>
          <w:sz w:val="24"/>
        </w:rPr>
        <w:t xml:space="preserve">классификатору</w:t>
      </w:r>
      <w:r>
        <w:rPr>
          <w:sz w:val="24"/>
        </w:rPr>
        <w:t xml:space="preserve"> продукции по видам экономической деятельности ОК 034-2014 (КПЕС 2008), являющегося (являющихся) транспортными средствами, в отношении которого (которых) уплачивается утилизационный сбор, виды и категории которых устанавливаются в соответствии с </w:t>
      </w:r>
      <w:r>
        <w:rPr>
          <w:sz w:val="24"/>
        </w:rPr>
        <w:t xml:space="preserve">пунктом 2 статьи 24.1</w:t>
      </w:r>
      <w:r>
        <w:rPr>
          <w:sz w:val="24"/>
        </w:rPr>
        <w:t xml:space="preserve"> Федерального закона "Об отходах производства и потребления" и при производстве которых в качестве сырья, материалов, запасных частей, комплектующих использован и (или) передан для использования товар,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w:t>
      </w:r>
    </w:p>
    <w:p>
      <w:pPr>
        <w:pStyle w:val="0"/>
        <w:spacing w:before="240" w:line-rule="auto"/>
        <w:ind w:firstLine="540"/>
        <w:jc w:val="both"/>
      </w:pPr>
      <w:r>
        <w:rPr>
          <w:sz w:val="24"/>
        </w:rPr>
        <w:t xml:space="preserve">В случае передачи товара, сведения о котором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в качестве сырья, материалов, запасных частей, комплектующих лицам, сведения о которых указаны в строке </w:t>
      </w:r>
      <w:hyperlink w:history="0" w:anchor="P676" w:tooltip="12">
        <w:r>
          <w:rPr>
            <w:sz w:val="24"/>
            <w:color w:val="0000ff"/>
          </w:rPr>
          <w:t xml:space="preserve">графы 12</w:t>
        </w:r>
      </w:hyperlink>
      <w:r>
        <w:rPr>
          <w:sz w:val="24"/>
        </w:rPr>
        <w:t xml:space="preserve">, производителем товара, импортером товара указываются сведения в строках </w:t>
      </w:r>
      <w:hyperlink w:history="0" w:anchor="P678" w:tooltip="14">
        <w:r>
          <w:rPr>
            <w:sz w:val="24"/>
            <w:color w:val="0000ff"/>
          </w:rPr>
          <w:t xml:space="preserve">граф 14</w:t>
        </w:r>
      </w:hyperlink>
      <w:r>
        <w:rPr>
          <w:sz w:val="24"/>
        </w:rPr>
        <w:t xml:space="preserve"> и </w:t>
      </w:r>
      <w:hyperlink w:history="0" w:anchor="P679" w:tooltip="15">
        <w:r>
          <w:rPr>
            <w:sz w:val="24"/>
            <w:color w:val="0000ff"/>
          </w:rPr>
          <w:t xml:space="preserve">15</w:t>
        </w:r>
      </w:hyperlink>
      <w:r>
        <w:rPr>
          <w:sz w:val="24"/>
        </w:rPr>
        <w:t xml:space="preserve"> на основании информации, полученной от указанных лиц.</w:t>
      </w:r>
    </w:p>
    <w:bookmarkStart w:id="908" w:name="P908"/>
    <w:bookmarkEnd w:id="908"/>
    <w:p>
      <w:pPr>
        <w:pStyle w:val="0"/>
        <w:spacing w:before="240" w:line-rule="auto"/>
        <w:ind w:firstLine="540"/>
        <w:jc w:val="both"/>
      </w:pPr>
      <w:r>
        <w:rPr>
          <w:sz w:val="24"/>
        </w:rPr>
        <w:t xml:space="preserve">&lt;15&gt; Указывается масса отходов от использования товаров, упаковки, подлежащих утилизации в отчетном периоде без учета норматива утилизации (М</w:t>
      </w:r>
      <w:r>
        <w:rPr>
          <w:sz w:val="24"/>
          <w:vertAlign w:val="subscript"/>
        </w:rPr>
        <w:t xml:space="preserve">обяз.т.</w:t>
      </w:r>
      <w:r>
        <w:rPr>
          <w:sz w:val="24"/>
        </w:rPr>
        <w:t xml:space="preserve">), определяемая как разница между значениями М</w:t>
      </w:r>
      <w:r>
        <w:rPr>
          <w:sz w:val="24"/>
          <w:vertAlign w:val="subscript"/>
        </w:rPr>
        <w:t xml:space="preserve">т.</w:t>
      </w:r>
      <w:r>
        <w:rPr>
          <w:sz w:val="24"/>
        </w:rPr>
        <w:t xml:space="preserve"> </w:t>
      </w:r>
      <w:hyperlink w:history="0" w:anchor="P669" w:tooltip="5">
        <w:r>
          <w:rPr>
            <w:sz w:val="24"/>
            <w:color w:val="0000ff"/>
          </w:rPr>
          <w:t xml:space="preserve">(графа 5)</w:t>
        </w:r>
      </w:hyperlink>
      <w:r>
        <w:rPr>
          <w:sz w:val="24"/>
        </w:rPr>
        <w:t xml:space="preserve">, и М</w:t>
      </w:r>
      <w:r>
        <w:rPr>
          <w:sz w:val="24"/>
          <w:vertAlign w:val="subscript"/>
        </w:rPr>
        <w:t xml:space="preserve">выв.</w:t>
      </w:r>
      <w:r>
        <w:rPr>
          <w:sz w:val="24"/>
        </w:rPr>
        <w:t xml:space="preserve"> </w:t>
      </w:r>
      <w:hyperlink w:history="0" w:anchor="P670" w:tooltip="6">
        <w:r>
          <w:rPr>
            <w:sz w:val="24"/>
            <w:color w:val="0000ff"/>
          </w:rPr>
          <w:t xml:space="preserve">(графа 6)</w:t>
        </w:r>
      </w:hyperlink>
      <w:r>
        <w:rPr>
          <w:sz w:val="24"/>
        </w:rPr>
        <w:t xml:space="preserve">, и М</w:t>
      </w:r>
      <w:r>
        <w:rPr>
          <w:sz w:val="24"/>
          <w:vertAlign w:val="subscript"/>
        </w:rPr>
        <w:t xml:space="preserve">зап.</w:t>
      </w:r>
      <w:r>
        <w:rPr>
          <w:sz w:val="24"/>
        </w:rPr>
        <w:t xml:space="preserve"> </w:t>
      </w:r>
      <w:hyperlink w:history="0" w:anchor="P673" w:tooltip="9">
        <w:r>
          <w:rPr>
            <w:sz w:val="24"/>
            <w:color w:val="0000ff"/>
          </w:rPr>
          <w:t xml:space="preserve">(графа 9)</w:t>
        </w:r>
      </w:hyperlink>
      <w:r>
        <w:rPr>
          <w:sz w:val="24"/>
        </w:rPr>
        <w:t xml:space="preserve">. В случае если импортер частично выполнил самостоятельную утилизацию и представил отчетность о самостоятельной утилизации, М</w:t>
      </w:r>
      <w:r>
        <w:rPr>
          <w:sz w:val="24"/>
          <w:vertAlign w:val="subscript"/>
        </w:rPr>
        <w:t xml:space="preserve">обяз.т.</w:t>
      </w:r>
      <w:r>
        <w:rPr>
          <w:sz w:val="24"/>
        </w:rPr>
        <w:t xml:space="preserve"> указывается в соответствии с данными строки </w:t>
      </w:r>
      <w:r>
        <w:rPr>
          <w:sz w:val="24"/>
        </w:rPr>
        <w:t xml:space="preserve">графы 17</w:t>
      </w:r>
      <w:r>
        <w:rPr>
          <w:sz w:val="24"/>
        </w:rPr>
        <w:t xml:space="preserve"> таблицы 1 раздела II приложения N 2 к Правилам представления производителями товаров, импортерами товаров отчетности о выполнении самостоятельной утилизации отходов от использования товаров, утвержденным постановлением Правительства Российской Федерации от 31 мая 2024 г. N 742 "Об утверждении Правил представления производителями товаров, импортерами товаров отчетности о выполнении самостоятельной утилизации отходов от использования товаров" (далее - Правила представления отчетности о выполнении самостоятельной утилизации). В случае если импортер осуществил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М</w:t>
      </w:r>
      <w:r>
        <w:rPr>
          <w:sz w:val="24"/>
          <w:vertAlign w:val="subscript"/>
        </w:rPr>
        <w:t xml:space="preserve">обяз.т.</w:t>
      </w:r>
      <w:r>
        <w:rPr>
          <w:sz w:val="24"/>
        </w:rPr>
        <w:t xml:space="preserve"> указывается в соответствии с данными строки </w:t>
      </w:r>
      <w:r>
        <w:rPr>
          <w:sz w:val="24"/>
        </w:rPr>
        <w:t xml:space="preserve">графы 19</w:t>
      </w:r>
      <w:r>
        <w:rPr>
          <w:sz w:val="24"/>
        </w:rPr>
        <w:t xml:space="preserve"> таблицы 1 раздела II приложения N 2 к Положению о проведении эксперимента. С 1 января 2026 г. строка </w:t>
      </w:r>
      <w:hyperlink w:history="0" w:anchor="P723" w:tooltip="16">
        <w:r>
          <w:rPr>
            <w:sz w:val="24"/>
            <w:color w:val="0000ff"/>
          </w:rPr>
          <w:t xml:space="preserve">графы 16</w:t>
        </w:r>
      </w:hyperlink>
      <w:r>
        <w:rPr>
          <w:sz w:val="24"/>
        </w:rPr>
        <w:t xml:space="preserve"> заполняется автоматически при использовании интерактивных форм отчетности электронного сервиса "личный кабинет" единой федеральной государственной информационной системы учета отходов от использования товаров, или федеральной государственной информационной системы "Единый портал государственных и муниципальных услуг (функций)", или электронного сервиса, представленного на официальном сайте Федеральной службы по надзору в сфере природопользования в информационно-телекоммуникационной сети "Интернет" (далее - интерактивные формы отчетности).</w:t>
      </w:r>
    </w:p>
    <w:bookmarkStart w:id="909" w:name="P909"/>
    <w:bookmarkEnd w:id="909"/>
    <w:p>
      <w:pPr>
        <w:pStyle w:val="0"/>
        <w:spacing w:before="240" w:line-rule="auto"/>
        <w:ind w:firstLine="540"/>
        <w:jc w:val="both"/>
      </w:pPr>
      <w:r>
        <w:rPr>
          <w:sz w:val="24"/>
        </w:rPr>
        <w:t xml:space="preserve">&lt;16&gt; Указывается норматив утилизации отходов от использования товаров, установленный Правительством Российской Федерации в соответствии с </w:t>
      </w:r>
      <w:r>
        <w:rPr>
          <w:sz w:val="24"/>
        </w:rPr>
        <w:t xml:space="preserve">пунктом 2 статьи 24.2</w:t>
      </w:r>
      <w:r>
        <w:rPr>
          <w:sz w:val="24"/>
        </w:rPr>
        <w:t xml:space="preserve"> Федерального закона "Об отходах производства или потребления", и (или) процент массы упаковки, отходы от использования которой подлежат утилизации в размере, установленном </w:t>
      </w:r>
      <w:r>
        <w:rPr>
          <w:sz w:val="24"/>
        </w:rPr>
        <w:t xml:space="preserve">частью 5 статьи 7</w:t>
      </w:r>
      <w:r>
        <w:rPr>
          <w:sz w:val="24"/>
        </w:rPr>
        <w:t xml:space="preserve"> Федерального закона от 4 августа 2023 г. N 451-ФЗ "О внесении изменений в Федеральный закон "Об отходах производства или потребления" и отдельные законодательные акты Российской Федерации", а с 1 января 2027 г. - в размере, установленном </w:t>
      </w:r>
      <w:r>
        <w:rPr>
          <w:sz w:val="24"/>
        </w:rPr>
        <w:t xml:space="preserve">пунктом 4 статьи 24.2</w:t>
      </w:r>
      <w:r>
        <w:rPr>
          <w:sz w:val="24"/>
        </w:rPr>
        <w:t xml:space="preserve"> Федерального закона "Об отходах производства или потребления" (N). Строка графы заполняется автоматически при использовании интерактивных форм расчета.</w:t>
      </w:r>
    </w:p>
    <w:bookmarkStart w:id="910" w:name="P910"/>
    <w:bookmarkEnd w:id="910"/>
    <w:p>
      <w:pPr>
        <w:pStyle w:val="0"/>
        <w:spacing w:before="240" w:line-rule="auto"/>
        <w:ind w:firstLine="540"/>
        <w:jc w:val="both"/>
      </w:pPr>
      <w:r>
        <w:rPr>
          <w:sz w:val="24"/>
        </w:rPr>
        <w:t xml:space="preserve">&lt;17&gt; Указывается масса отходов от использования товаров, упаковки, подлежащих утилизации в отчетном периоде с учетом норматива утилизации (М</w:t>
      </w:r>
      <w:r>
        <w:rPr>
          <w:sz w:val="24"/>
          <w:vertAlign w:val="subscript"/>
        </w:rPr>
        <w:t xml:space="preserve">подл.ут.т.</w:t>
      </w:r>
      <w:r>
        <w:rPr>
          <w:sz w:val="24"/>
        </w:rPr>
        <w:t xml:space="preserve">), определяемая как произведение массы отходов от использования товаров, упаковки, подлежащих утилизации в отчетном периоде без учета норматива утилизации (М</w:t>
      </w:r>
      <w:r>
        <w:rPr>
          <w:sz w:val="24"/>
          <w:vertAlign w:val="subscript"/>
        </w:rPr>
        <w:t xml:space="preserve">обяз.т.</w:t>
      </w:r>
      <w:r>
        <w:rPr>
          <w:sz w:val="24"/>
        </w:rPr>
        <w:t xml:space="preserve">) </w:t>
      </w:r>
      <w:hyperlink w:history="0" w:anchor="P723" w:tooltip="16">
        <w:r>
          <w:rPr>
            <w:sz w:val="24"/>
            <w:color w:val="0000ff"/>
          </w:rPr>
          <w:t xml:space="preserve">(графа 16)</w:t>
        </w:r>
      </w:hyperlink>
      <w:r>
        <w:rPr>
          <w:sz w:val="24"/>
        </w:rPr>
        <w:t xml:space="preserve">, и норматива </w:t>
      </w:r>
      <w:hyperlink w:history="0" w:anchor="P724" w:tooltip="17">
        <w:r>
          <w:rPr>
            <w:sz w:val="24"/>
            <w:color w:val="0000ff"/>
          </w:rPr>
          <w:t xml:space="preserve">(графа 17)</w:t>
        </w:r>
      </w:hyperlink>
      <w:r>
        <w:rPr>
          <w:sz w:val="24"/>
        </w:rPr>
        <w:t xml:space="preserve">. Строка </w:t>
      </w:r>
      <w:hyperlink w:history="0" w:anchor="P725" w:tooltip="18">
        <w:r>
          <w:rPr>
            <w:sz w:val="24"/>
            <w:color w:val="0000ff"/>
          </w:rPr>
          <w:t xml:space="preserve">графы 18</w:t>
        </w:r>
      </w:hyperlink>
      <w:r>
        <w:rPr>
          <w:sz w:val="24"/>
        </w:rPr>
        <w:t xml:space="preserve"> заполняется автоматически при использовании интерактивных форм отчетности.</w:t>
      </w:r>
    </w:p>
    <w:bookmarkStart w:id="911" w:name="P911"/>
    <w:bookmarkEnd w:id="911"/>
    <w:p>
      <w:pPr>
        <w:pStyle w:val="0"/>
        <w:spacing w:before="240" w:line-rule="auto"/>
        <w:ind w:firstLine="540"/>
        <w:jc w:val="both"/>
      </w:pPr>
      <w:r>
        <w:rPr>
          <w:sz w:val="24"/>
        </w:rPr>
        <w:t xml:space="preserve">&lt;18&gt; Указывается масса товара, упаковки, ввезенных в отчетный период, в отношении которых уплачен экологический сбор до выпуска их в обращение.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726" w:tooltip="19">
        <w:r>
          <w:rPr>
            <w:sz w:val="24"/>
            <w:color w:val="0000ff"/>
          </w:rPr>
          <w:t xml:space="preserve">графу 19</w:t>
        </w:r>
      </w:hyperlink>
      <w:r>
        <w:rPr>
          <w:sz w:val="24"/>
        </w:rPr>
        <w:t xml:space="preserve"> в соответствии с данными, указанными в строке </w:t>
      </w:r>
      <w:r>
        <w:rPr>
          <w:sz w:val="24"/>
        </w:rPr>
        <w:t xml:space="preserve">графы 22</w:t>
      </w:r>
      <w:r>
        <w:rPr>
          <w:sz w:val="24"/>
        </w:rPr>
        <w:t xml:space="preserve"> таблицы 1 раздела II приложения N 2 к Положению о проведении эксперимента.</w:t>
      </w:r>
    </w:p>
    <w:bookmarkStart w:id="912" w:name="P912"/>
    <w:bookmarkEnd w:id="912"/>
    <w:p>
      <w:pPr>
        <w:pStyle w:val="0"/>
        <w:spacing w:before="240" w:line-rule="auto"/>
        <w:ind w:firstLine="540"/>
        <w:jc w:val="both"/>
      </w:pPr>
      <w:r>
        <w:rPr>
          <w:sz w:val="24"/>
        </w:rPr>
        <w:t xml:space="preserve">&lt;19&gt; Указываются реквизиты платежных документов об уплате экологического сбора в отношении товаров, упаковки, указанных в </w:t>
      </w:r>
      <w:hyperlink w:history="0" w:anchor="P726" w:tooltip="19">
        <w:r>
          <w:rPr>
            <w:sz w:val="24"/>
            <w:color w:val="0000ff"/>
          </w:rPr>
          <w:t xml:space="preserve">графе 19</w:t>
        </w:r>
      </w:hyperlink>
      <w:r>
        <w:rPr>
          <w:sz w:val="24"/>
        </w:rPr>
        <w:t xml:space="preserve">.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727" w:tooltip="20">
        <w:r>
          <w:rPr>
            <w:sz w:val="24"/>
            <w:color w:val="0000ff"/>
          </w:rPr>
          <w:t xml:space="preserve">графу 20</w:t>
        </w:r>
      </w:hyperlink>
      <w:r>
        <w:rPr>
          <w:sz w:val="24"/>
        </w:rPr>
        <w:t xml:space="preserve"> в соответствии с данными, указанными в строке </w:t>
      </w:r>
      <w:r>
        <w:rPr>
          <w:sz w:val="24"/>
        </w:rPr>
        <w:t xml:space="preserve">графы 23</w:t>
      </w:r>
      <w:r>
        <w:rPr>
          <w:sz w:val="24"/>
        </w:rPr>
        <w:t xml:space="preserve"> таблицы 1 раздела II приложения N 2 к Положению о проведении эксперимента.</w:t>
      </w:r>
    </w:p>
    <w:bookmarkStart w:id="913" w:name="P913"/>
    <w:bookmarkEnd w:id="913"/>
    <w:p>
      <w:pPr>
        <w:pStyle w:val="0"/>
        <w:spacing w:before="240" w:line-rule="auto"/>
        <w:ind w:firstLine="540"/>
        <w:jc w:val="both"/>
      </w:pPr>
      <w:r>
        <w:rPr>
          <w:sz w:val="24"/>
        </w:rPr>
        <w:t xml:space="preserve">&lt;20&gt; Указывается масса отходов от использования товаров, упаковки, в отношении которых выполнена самостоятельная утилизация (М</w:t>
      </w:r>
      <w:r>
        <w:rPr>
          <w:sz w:val="24"/>
          <w:vertAlign w:val="subscript"/>
        </w:rPr>
        <w:t xml:space="preserve">засч.т.</w:t>
      </w:r>
      <w:r>
        <w:rPr>
          <w:sz w:val="24"/>
        </w:rPr>
        <w:t xml:space="preserve">), в соответствии с данными строки </w:t>
      </w:r>
      <w:r>
        <w:rPr>
          <w:sz w:val="24"/>
        </w:rPr>
        <w:t xml:space="preserve">графы 30</w:t>
      </w:r>
      <w:r>
        <w:rPr>
          <w:sz w:val="24"/>
        </w:rPr>
        <w:t xml:space="preserve"> таблицы 1 раздела II приложения N 2 к Правилам представления отчетности о выполнении самостоятельной утилизации. Импортеры товаров, упаковки,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728" w:tooltip="21">
        <w:r>
          <w:rPr>
            <w:sz w:val="24"/>
            <w:color w:val="0000ff"/>
          </w:rPr>
          <w:t xml:space="preserve">графу 21</w:t>
        </w:r>
      </w:hyperlink>
      <w:r>
        <w:rPr>
          <w:sz w:val="24"/>
        </w:rPr>
        <w:t xml:space="preserve"> в соответствии с данными строки </w:t>
      </w:r>
      <w:r>
        <w:rPr>
          <w:sz w:val="24"/>
        </w:rPr>
        <w:t xml:space="preserve">графы 16</w:t>
      </w:r>
      <w:r>
        <w:rPr>
          <w:sz w:val="24"/>
        </w:rPr>
        <w:t xml:space="preserve"> таблицы 1 раздела II приложения N 3 к Положению о проведении эксперимента. С 1 января 2026 г. строка </w:t>
      </w:r>
      <w:hyperlink w:history="0" w:anchor="P728" w:tooltip="21">
        <w:r>
          <w:rPr>
            <w:sz w:val="24"/>
            <w:color w:val="0000ff"/>
          </w:rPr>
          <w:t xml:space="preserve">графы 21</w:t>
        </w:r>
      </w:hyperlink>
      <w:r>
        <w:rPr>
          <w:sz w:val="24"/>
        </w:rPr>
        <w:t xml:space="preserve"> заполняется автоматически при использовании интерактивных форм отчетности. Импортеры товаров, упаковки, которые не обеспечили самостоятельную утилизацию и не представили отчетность о выполнении самостоятельной утилизации, указывают в </w:t>
      </w:r>
      <w:hyperlink w:history="0" w:anchor="P728" w:tooltip="21">
        <w:r>
          <w:rPr>
            <w:sz w:val="24"/>
            <w:color w:val="0000ff"/>
          </w:rPr>
          <w:t xml:space="preserve">графе 21</w:t>
        </w:r>
      </w:hyperlink>
      <w:r>
        <w:rPr>
          <w:sz w:val="24"/>
        </w:rPr>
        <w:t xml:space="preserve"> значение "0".</w:t>
      </w:r>
    </w:p>
    <w:bookmarkStart w:id="914" w:name="P914"/>
    <w:bookmarkEnd w:id="914"/>
    <w:p>
      <w:pPr>
        <w:pStyle w:val="0"/>
        <w:spacing w:before="240" w:line-rule="auto"/>
        <w:ind w:firstLine="540"/>
        <w:jc w:val="both"/>
      </w:pPr>
      <w:r>
        <w:rPr>
          <w:sz w:val="24"/>
        </w:rPr>
        <w:t xml:space="preserve">&lt;21&gt; Указывается масса отходов, в отношении которых сохраняется обязанность уплатить экологический сбор, определяется как разница </w:t>
      </w:r>
      <w:hyperlink w:history="0" w:anchor="P725" w:tooltip="18">
        <w:r>
          <w:rPr>
            <w:sz w:val="24"/>
            <w:color w:val="0000ff"/>
          </w:rPr>
          <w:t xml:space="preserve">граф 18</w:t>
        </w:r>
      </w:hyperlink>
      <w:r>
        <w:rPr>
          <w:sz w:val="24"/>
        </w:rPr>
        <w:t xml:space="preserve">, </w:t>
      </w:r>
      <w:hyperlink w:history="0" w:anchor="P726" w:tooltip="19">
        <w:r>
          <w:rPr>
            <w:sz w:val="24"/>
            <w:color w:val="0000ff"/>
          </w:rPr>
          <w:t xml:space="preserve">19</w:t>
        </w:r>
      </w:hyperlink>
      <w:r>
        <w:rPr>
          <w:sz w:val="24"/>
        </w:rPr>
        <w:t xml:space="preserve"> и </w:t>
      </w:r>
      <w:hyperlink w:history="0" w:anchor="P728" w:tooltip="21">
        <w:r>
          <w:rPr>
            <w:sz w:val="24"/>
            <w:color w:val="0000ff"/>
          </w:rPr>
          <w:t xml:space="preserve">21</w:t>
        </w:r>
      </w:hyperlink>
      <w:r>
        <w:rPr>
          <w:sz w:val="24"/>
        </w:rPr>
        <w:t xml:space="preserve">. Строка заполняется автоматически при использовании интерактивных форм расчета.</w:t>
      </w:r>
    </w:p>
    <w:bookmarkStart w:id="915" w:name="P915"/>
    <w:bookmarkEnd w:id="915"/>
    <w:p>
      <w:pPr>
        <w:pStyle w:val="0"/>
        <w:spacing w:before="240" w:line-rule="auto"/>
        <w:ind w:firstLine="540"/>
        <w:jc w:val="both"/>
      </w:pPr>
      <w:r>
        <w:rPr>
          <w:sz w:val="24"/>
        </w:rPr>
        <w:t xml:space="preserve">&lt;22&gt; Указывается значение базовой ставки экологического сбора (БСЭС), установленной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916" w:name="P916"/>
    <w:bookmarkEnd w:id="916"/>
    <w:p>
      <w:pPr>
        <w:pStyle w:val="0"/>
        <w:spacing w:before="240" w:line-rule="auto"/>
        <w:ind w:firstLine="540"/>
        <w:jc w:val="both"/>
      </w:pPr>
      <w:r>
        <w:rPr>
          <w:sz w:val="24"/>
        </w:rPr>
        <w:t xml:space="preserve">&lt;23&gt; Указывается значение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(КЭ), установленного Правительством Российской Федерации в соответствии с </w:t>
      </w:r>
      <w:r>
        <w:rPr>
          <w:sz w:val="24"/>
        </w:rPr>
        <w:t xml:space="preserve">пунктом 9 статьи 24.5</w:t>
      </w:r>
      <w:r>
        <w:rPr>
          <w:sz w:val="24"/>
        </w:rPr>
        <w:t xml:space="preserve"> Федерального закона "Об отходах производства и потребления" для календарного года, являющегося отчетным периодом. Строка заполняется автоматически при использовании интерактивных форм расчета.</w:t>
      </w:r>
    </w:p>
    <w:bookmarkStart w:id="917" w:name="P917"/>
    <w:bookmarkEnd w:id="917"/>
    <w:p>
      <w:pPr>
        <w:pStyle w:val="0"/>
        <w:spacing w:before="240" w:line-rule="auto"/>
        <w:ind w:firstLine="540"/>
        <w:jc w:val="both"/>
      </w:pPr>
      <w:r>
        <w:rPr>
          <w:sz w:val="24"/>
        </w:rPr>
        <w:t xml:space="preserve">&lt;24&gt; Указывается значение ставки экологического сбора (СЭС), определяемое как произведение значений БСЭС </w:t>
      </w:r>
      <w:hyperlink w:history="0" w:anchor="P730" w:tooltip="23">
        <w:r>
          <w:rPr>
            <w:sz w:val="24"/>
            <w:color w:val="0000ff"/>
          </w:rPr>
          <w:t xml:space="preserve">(графа 23)</w:t>
        </w:r>
      </w:hyperlink>
      <w:r>
        <w:rPr>
          <w:sz w:val="24"/>
        </w:rPr>
        <w:t xml:space="preserve"> и КЭ </w:t>
      </w:r>
      <w:hyperlink w:history="0" w:anchor="P731" w:tooltip="24">
        <w:r>
          <w:rPr>
            <w:sz w:val="24"/>
            <w:color w:val="0000ff"/>
          </w:rPr>
          <w:t xml:space="preserve">(графа 24)</w:t>
        </w:r>
      </w:hyperlink>
      <w:r>
        <w:rPr>
          <w:sz w:val="24"/>
        </w:rPr>
        <w:t xml:space="preserve">. Строка заполняется автоматически при использовании интерактивных форм отчетности.</w:t>
      </w:r>
    </w:p>
    <w:bookmarkStart w:id="918" w:name="P918"/>
    <w:bookmarkEnd w:id="918"/>
    <w:p>
      <w:pPr>
        <w:pStyle w:val="0"/>
        <w:spacing w:before="240" w:line-rule="auto"/>
        <w:ind w:firstLine="540"/>
        <w:jc w:val="both"/>
      </w:pPr>
      <w:r>
        <w:rPr>
          <w:sz w:val="24"/>
        </w:rPr>
        <w:t xml:space="preserve">&lt;25&gt; Указывается сумма подлежащего уплате экологического сбора, определяемая как произведение значений СЭС </w:t>
      </w:r>
      <w:hyperlink w:history="0" w:anchor="P732" w:tooltip="25">
        <w:r>
          <w:rPr>
            <w:sz w:val="24"/>
            <w:color w:val="0000ff"/>
          </w:rPr>
          <w:t xml:space="preserve">(графа 25)</w:t>
        </w:r>
      </w:hyperlink>
      <w:r>
        <w:rPr>
          <w:sz w:val="24"/>
        </w:rPr>
        <w:t xml:space="preserve"> и М</w:t>
      </w:r>
      <w:r>
        <w:rPr>
          <w:sz w:val="24"/>
          <w:vertAlign w:val="subscript"/>
        </w:rPr>
        <w:t xml:space="preserve">эст</w:t>
      </w:r>
      <w:r>
        <w:rPr>
          <w:sz w:val="24"/>
        </w:rPr>
        <w:t xml:space="preserve"> </w:t>
      </w:r>
      <w:hyperlink w:history="0" w:anchor="P729" w:tooltip="22">
        <w:r>
          <w:rPr>
            <w:sz w:val="24"/>
            <w:color w:val="0000ff"/>
          </w:rPr>
          <w:t xml:space="preserve">(графа 22)</w:t>
        </w:r>
      </w:hyperlink>
      <w:r>
        <w:rPr>
          <w:sz w:val="24"/>
        </w:rPr>
        <w:t xml:space="preserve">, деленное на 1000. Строка заполняется автоматически при использовании интерактивных форм отчетности.</w:t>
      </w:r>
    </w:p>
    <w:bookmarkStart w:id="919" w:name="P919"/>
    <w:bookmarkEnd w:id="919"/>
    <w:p>
      <w:pPr>
        <w:pStyle w:val="0"/>
        <w:spacing w:before="240" w:line-rule="auto"/>
        <w:ind w:firstLine="540"/>
        <w:jc w:val="both"/>
      </w:pPr>
      <w:r>
        <w:rPr>
          <w:sz w:val="24"/>
        </w:rPr>
        <w:t xml:space="preserve">&lt;26&gt; Указывается размер вознаграждения, уплаченного за заключение договора поручительства, банковской гарантии об обеспечении выполнения самостоятельной утилизации отходов от использования товаров. В случае если банковская гарантия, договор поручительства соответственно выдавалась, заключался в отношении конкретного товара, упаковки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сведения о которых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размер вознаграждения указывается в соответствующей строке </w:t>
      </w:r>
      <w:hyperlink w:history="0" w:anchor="P734" w:tooltip="27">
        <w:r>
          <w:rPr>
            <w:sz w:val="24"/>
            <w:color w:val="0000ff"/>
          </w:rPr>
          <w:t xml:space="preserve">графы 27</w:t>
        </w:r>
      </w:hyperlink>
      <w:r>
        <w:rPr>
          <w:sz w:val="24"/>
        </w:rPr>
        <w:t xml:space="preserve">. В случае если банковская гарантия, договор поручительства соответственно выдавалась, заключался в отношении нескольких товаров, упаковки, группы товаров, упаковки или групп товаров, упаковки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размер вознаграждения указывается в строке </w:t>
      </w:r>
      <w:hyperlink w:history="0" w:anchor="P734" w:tooltip="27">
        <w:r>
          <w:rPr>
            <w:sz w:val="24"/>
            <w:color w:val="0000ff"/>
          </w:rPr>
          <w:t xml:space="preserve">графы 27</w:t>
        </w:r>
      </w:hyperlink>
      <w:r>
        <w:rPr>
          <w:sz w:val="24"/>
        </w:rPr>
        <w:t xml:space="preserve"> по одной из строк товаров, упаковки, в отношении которых выдана банковская гарантия, заключен договор поручительства. В случае если в отчетный период выдавалось несколько банковских гарантий, заключалось несколько договоров поручительства, то указывается сумма всех вознаграждений построчно по каждой банковской гарантии, договору поручительства. Если банковская гарантия, договор поручительства выданы, заключены на несколько отчетных периодов, то размер вознаграждения по ним указывается только в одном отчетном периоде.</w:t>
      </w:r>
    </w:p>
    <w:bookmarkStart w:id="920" w:name="P920"/>
    <w:bookmarkEnd w:id="920"/>
    <w:p>
      <w:pPr>
        <w:pStyle w:val="0"/>
        <w:spacing w:before="240" w:line-rule="auto"/>
        <w:ind w:firstLine="540"/>
        <w:jc w:val="both"/>
      </w:pPr>
      <w:r>
        <w:rPr>
          <w:sz w:val="24"/>
        </w:rPr>
        <w:t xml:space="preserve">&lt;27&gt; Указываются реквизиты банковской гарантии, договора поручительства. В случае если в отчетный период выдавалось несколько банковских гарантий, заключалось несколько договоров поручительства, то построчно указываются все. Если банковская гарантия выдана, договор поручительства заключен на несколько отчетных периодов, то они указываются только в одном отчетном периоде.</w:t>
      </w:r>
    </w:p>
    <w:bookmarkStart w:id="921" w:name="P921"/>
    <w:bookmarkEnd w:id="921"/>
    <w:p>
      <w:pPr>
        <w:pStyle w:val="0"/>
        <w:spacing w:before="240" w:line-rule="auto"/>
        <w:ind w:firstLine="540"/>
        <w:jc w:val="both"/>
      </w:pPr>
      <w:r>
        <w:rPr>
          <w:sz w:val="24"/>
        </w:rPr>
        <w:t xml:space="preserve">&lt;28&gt; Указывается ключевая ставка Центрального банка Российской Федерации, действующая на дату выдачи банковской гарантии, заключения договора поручительства.</w:t>
      </w:r>
    </w:p>
    <w:bookmarkStart w:id="922" w:name="P922"/>
    <w:bookmarkEnd w:id="922"/>
    <w:p>
      <w:pPr>
        <w:pStyle w:val="0"/>
        <w:spacing w:before="240" w:line-rule="auto"/>
        <w:ind w:firstLine="540"/>
        <w:jc w:val="both"/>
      </w:pPr>
      <w:r>
        <w:rPr>
          <w:sz w:val="24"/>
        </w:rPr>
        <w:t xml:space="preserve">&lt;29&gt; Значение рассчитывается автоматически согласно формуле. Размер вычета с учетом вознаграждения по банковской гарантии, договору поручительства определяется как произведение размера вознаграждения </w:t>
      </w:r>
      <w:hyperlink w:history="0" w:anchor="P734" w:tooltip="27">
        <w:r>
          <w:rPr>
            <w:sz w:val="24"/>
            <w:color w:val="0000ff"/>
          </w:rPr>
          <w:t xml:space="preserve">(графа 27)</w:t>
        </w:r>
      </w:hyperlink>
      <w:r>
        <w:rPr>
          <w:sz w:val="24"/>
        </w:rPr>
        <w:t xml:space="preserve"> и массы отходов, в отношении которых выполнена самостоятельная утилизация </w:t>
      </w:r>
      <w:hyperlink w:history="0" w:anchor="P728" w:tooltip="21">
        <w:r>
          <w:rPr>
            <w:sz w:val="24"/>
            <w:color w:val="0000ff"/>
          </w:rPr>
          <w:t xml:space="preserve">(графа 21)</w:t>
        </w:r>
      </w:hyperlink>
      <w:r>
        <w:rPr>
          <w:sz w:val="24"/>
        </w:rPr>
        <w:t xml:space="preserve">, деленное на общую массу отходов, в отношении которых должна была быть осуществлена самостоятельная утилизация (разница </w:t>
      </w:r>
      <w:hyperlink w:history="0" w:anchor="P725" w:tooltip="18">
        <w:r>
          <w:rPr>
            <w:sz w:val="24"/>
            <w:color w:val="0000ff"/>
          </w:rPr>
          <w:t xml:space="preserve">графы 18</w:t>
        </w:r>
      </w:hyperlink>
      <w:r>
        <w:rPr>
          <w:sz w:val="24"/>
        </w:rPr>
        <w:t xml:space="preserve"> и </w:t>
      </w:r>
      <w:hyperlink w:history="0" w:anchor="P726" w:tooltip="19">
        <w:r>
          <w:rPr>
            <w:sz w:val="24"/>
            <w:color w:val="0000ff"/>
          </w:rPr>
          <w:t xml:space="preserve">графы 19</w:t>
        </w:r>
      </w:hyperlink>
      <w:r>
        <w:rPr>
          <w:sz w:val="24"/>
        </w:rPr>
        <w:t xml:space="preserve">). При этом если рассчитанное значение вычета превышает сумму экологического сбора за отчетный период </w:t>
      </w:r>
      <w:hyperlink w:history="0" w:anchor="P733" w:tooltip="26">
        <w:r>
          <w:rPr>
            <w:sz w:val="24"/>
            <w:color w:val="0000ff"/>
          </w:rPr>
          <w:t xml:space="preserve">(графа 26)</w:t>
        </w:r>
      </w:hyperlink>
      <w:r>
        <w:rPr>
          <w:sz w:val="24"/>
        </w:rPr>
        <w:t xml:space="preserve">, умноженную на две трети ставки рефинансирования Центрального банка Российской Федерации, действовавшей на дату получения банковской гарантии или заключения договора поручительства </w:t>
      </w:r>
      <w:hyperlink w:history="0" w:anchor="P736" w:tooltip="29">
        <w:r>
          <w:rPr>
            <w:sz w:val="24"/>
            <w:color w:val="0000ff"/>
          </w:rPr>
          <w:t xml:space="preserve">(графа 29)</w:t>
        </w:r>
      </w:hyperlink>
      <w:r>
        <w:rPr>
          <w:sz w:val="24"/>
        </w:rPr>
        <w:t xml:space="preserve">, то указывается максимально допустимое значение вычета, рассчитанное как сумма экологического сбора за отчетный период </w:t>
      </w:r>
      <w:hyperlink w:history="0" w:anchor="P733" w:tooltip="26">
        <w:r>
          <w:rPr>
            <w:sz w:val="24"/>
            <w:color w:val="0000ff"/>
          </w:rPr>
          <w:t xml:space="preserve">(графа 26)</w:t>
        </w:r>
      </w:hyperlink>
      <w:r>
        <w:rPr>
          <w:sz w:val="24"/>
        </w:rPr>
        <w:t xml:space="preserve">, умноженная на две трети ставки рефинансирования Центрального банка Российской Федерации, действовавшей на дату получения банковской гарантии или заключения договора поручительства </w:t>
      </w:r>
      <w:hyperlink w:history="0" w:anchor="P736" w:tooltip="29">
        <w:r>
          <w:rPr>
            <w:sz w:val="24"/>
            <w:color w:val="0000ff"/>
          </w:rPr>
          <w:t xml:space="preserve">(графа 29)</w:t>
        </w:r>
      </w:hyperlink>
      <w:r>
        <w:rPr>
          <w:sz w:val="24"/>
        </w:rPr>
        <w:t xml:space="preserve">. В случае если банковская гарантия, договор поручительства соответственно выдавалась, заключался в отношении конкретного товара, упаковки в соответствии с </w:t>
      </w:r>
      <w:r>
        <w:rPr>
          <w:sz w:val="24"/>
        </w:rPr>
        <w:t xml:space="preserve">разделами I</w:t>
      </w:r>
      <w:r>
        <w:rPr>
          <w:sz w:val="24"/>
        </w:rPr>
        <w:t xml:space="preserve"> и </w:t>
      </w:r>
      <w:r>
        <w:rPr>
          <w:sz w:val="24"/>
        </w:rPr>
        <w:t xml:space="preserve">II</w:t>
      </w:r>
      <w:r>
        <w:rPr>
          <w:sz w:val="24"/>
        </w:rPr>
        <w:t xml:space="preserve"> перечней товаров, упаковки, сведения о которых указаны в строках </w:t>
      </w:r>
      <w:hyperlink w:history="0" w:anchor="P666" w:tooltip="2">
        <w:r>
          <w:rPr>
            <w:sz w:val="24"/>
            <w:color w:val="0000ff"/>
          </w:rPr>
          <w:t xml:space="preserve">граф 2</w:t>
        </w:r>
      </w:hyperlink>
      <w:r>
        <w:rPr>
          <w:sz w:val="24"/>
        </w:rPr>
        <w:t xml:space="preserve"> - </w:t>
      </w:r>
      <w:hyperlink w:history="0" w:anchor="P668" w:tooltip="4">
        <w:r>
          <w:rPr>
            <w:sz w:val="24"/>
            <w:color w:val="0000ff"/>
          </w:rPr>
          <w:t xml:space="preserve">4</w:t>
        </w:r>
      </w:hyperlink>
      <w:r>
        <w:rPr>
          <w:sz w:val="24"/>
        </w:rPr>
        <w:t xml:space="preserve">, размер вычета рассчитывается для соответствующей строки </w:t>
      </w:r>
      <w:hyperlink w:history="0" w:anchor="P737" w:tooltip="30">
        <w:r>
          <w:rPr>
            <w:sz w:val="24"/>
            <w:color w:val="0000ff"/>
          </w:rPr>
          <w:t xml:space="preserve">графы 30</w:t>
        </w:r>
      </w:hyperlink>
      <w:r>
        <w:rPr>
          <w:sz w:val="24"/>
        </w:rPr>
        <w:t xml:space="preserve">. Если банковская гарантия выдана, договор поручительства заключен в отношении нескольких товаров, упаковки, группы товаров, упаковки или групп товаров, упаковки в соответствии с </w:t>
      </w:r>
      <w:r>
        <w:rPr>
          <w:sz w:val="24"/>
        </w:rPr>
        <w:t xml:space="preserve">разделами I</w:t>
      </w:r>
      <w:r>
        <w:rPr>
          <w:sz w:val="24"/>
        </w:rPr>
        <w:t xml:space="preserve"> и </w:t>
      </w:r>
      <w:r>
        <w:rPr>
          <w:sz w:val="24"/>
        </w:rPr>
        <w:t xml:space="preserve">II</w:t>
      </w:r>
      <w:r>
        <w:rPr>
          <w:sz w:val="24"/>
        </w:rPr>
        <w:t xml:space="preserve"> перечней товаров, упаковки, включенных в расчет, то размер вычета определяется по указанной формуле с использованием размера вознаграждения по банковской гарантии, договору поручительства, суммы масс отходов, в отношении которых выполнена самостоятельная утилизация (строки </w:t>
      </w:r>
      <w:hyperlink w:history="0" w:anchor="P728" w:tooltip="21">
        <w:r>
          <w:rPr>
            <w:sz w:val="24"/>
            <w:color w:val="0000ff"/>
          </w:rPr>
          <w:t xml:space="preserve">графы 21</w:t>
        </w:r>
      </w:hyperlink>
      <w:r>
        <w:rPr>
          <w:sz w:val="24"/>
        </w:rPr>
        <w:t xml:space="preserve">), суммы масс отходов, в отношении которых должна была быть осуществлена самостоятельная утилизация (разница сумм строк </w:t>
      </w:r>
      <w:hyperlink w:history="0" w:anchor="P725" w:tooltip="18">
        <w:r>
          <w:rPr>
            <w:sz w:val="24"/>
            <w:color w:val="0000ff"/>
          </w:rPr>
          <w:t xml:space="preserve">графы 18</w:t>
        </w:r>
      </w:hyperlink>
      <w:r>
        <w:rPr>
          <w:sz w:val="24"/>
        </w:rPr>
        <w:t xml:space="preserve"> и сумм строк </w:t>
      </w:r>
      <w:hyperlink w:history="0" w:anchor="P726" w:tooltip="19">
        <w:r>
          <w:rPr>
            <w:sz w:val="24"/>
            <w:color w:val="0000ff"/>
          </w:rPr>
          <w:t xml:space="preserve">графы 19</w:t>
        </w:r>
      </w:hyperlink>
      <w:r>
        <w:rPr>
          <w:sz w:val="24"/>
        </w:rPr>
        <w:t xml:space="preserve">) и суммы строк </w:t>
      </w:r>
      <w:hyperlink w:history="0" w:anchor="P733" w:tooltip="26">
        <w:r>
          <w:rPr>
            <w:sz w:val="24"/>
            <w:color w:val="0000ff"/>
          </w:rPr>
          <w:t xml:space="preserve">графы 26</w:t>
        </w:r>
      </w:hyperlink>
      <w:r>
        <w:rPr>
          <w:sz w:val="24"/>
        </w:rPr>
        <w:t xml:space="preserve"> (сумма экологического сбора за отчетный период) по всем товарам, упаковке в соответствии с </w:t>
      </w:r>
      <w:r>
        <w:rPr>
          <w:sz w:val="24"/>
        </w:rPr>
        <w:t xml:space="preserve">разделами I</w:t>
      </w:r>
      <w:r>
        <w:rPr>
          <w:sz w:val="24"/>
        </w:rPr>
        <w:t xml:space="preserve"> и </w:t>
      </w:r>
      <w:r>
        <w:rPr>
          <w:sz w:val="24"/>
        </w:rPr>
        <w:t xml:space="preserve">II</w:t>
      </w:r>
      <w:r>
        <w:rPr>
          <w:sz w:val="24"/>
        </w:rPr>
        <w:t xml:space="preserve"> перечней товаров, упаковки, в отношении которых выдана банковская гарантия, заключен договор поручительства. При этом полученный размер вычета с учетом вознаграждения по банковской гарантии, договору поручительства распределяется по строкам </w:t>
      </w:r>
      <w:hyperlink w:history="0" w:anchor="P737" w:tooltip="30">
        <w:r>
          <w:rPr>
            <w:sz w:val="24"/>
            <w:color w:val="0000ff"/>
          </w:rPr>
          <w:t xml:space="preserve">графы 30</w:t>
        </w:r>
      </w:hyperlink>
      <w:r>
        <w:rPr>
          <w:sz w:val="24"/>
        </w:rPr>
        <w:t xml:space="preserve"> по всем товарам, упаковке в соответствии с </w:t>
      </w:r>
      <w:r>
        <w:rPr>
          <w:sz w:val="24"/>
        </w:rPr>
        <w:t xml:space="preserve">разделами I</w:t>
      </w:r>
      <w:r>
        <w:rPr>
          <w:sz w:val="24"/>
        </w:rPr>
        <w:t xml:space="preserve"> и </w:t>
      </w:r>
      <w:r>
        <w:rPr>
          <w:sz w:val="24"/>
        </w:rPr>
        <w:t xml:space="preserve">II</w:t>
      </w:r>
      <w:r>
        <w:rPr>
          <w:sz w:val="24"/>
        </w:rPr>
        <w:t xml:space="preserve"> перечня товаров, упаковки, в отношении которых выдана банковская гарантия, заключен договор поручительства, пропорционально значению массы отходов, в отношении которых выполнена самостоятельная утилизация </w:t>
      </w:r>
      <w:hyperlink w:history="0" w:anchor="P728" w:tooltip="21">
        <w:r>
          <w:rPr>
            <w:sz w:val="24"/>
            <w:color w:val="0000ff"/>
          </w:rPr>
          <w:t xml:space="preserve">(графа 21)</w:t>
        </w:r>
      </w:hyperlink>
      <w:r>
        <w:rPr>
          <w:sz w:val="24"/>
        </w:rPr>
        <w:t xml:space="preserve">, к сумме масс отходов, в отношении которых выполнена самостоятельная утилизация (строки </w:t>
      </w:r>
      <w:hyperlink w:history="0" w:anchor="P728" w:tooltip="21">
        <w:r>
          <w:rPr>
            <w:sz w:val="24"/>
            <w:color w:val="0000ff"/>
          </w:rPr>
          <w:t xml:space="preserve">графы 21</w:t>
        </w:r>
      </w:hyperlink>
      <w:r>
        <w:rPr>
          <w:sz w:val="24"/>
        </w:rPr>
        <w:t xml:space="preserve">) по указанным позициям товаров, упаковки. В случае наличия нескольких банковских гарантий и (или) договоров поручительства по одной товарной позиции для расчета максимально допустимого значения вычета используется среднее арифметическое значение ставок рефинансирования Центрального банка Российской Федерации, действовавших на дату получения банковской гарантии или заключения договора поручительства (строки </w:t>
      </w:r>
      <w:hyperlink w:history="0" w:anchor="P736" w:tooltip="29">
        <w:r>
          <w:rPr>
            <w:sz w:val="24"/>
            <w:color w:val="0000ff"/>
          </w:rPr>
          <w:t xml:space="preserve">графы 29</w:t>
        </w:r>
      </w:hyperlink>
      <w:r>
        <w:rPr>
          <w:sz w:val="24"/>
        </w:rPr>
        <w:t xml:space="preserve">), и в формуле расчета используется сумма размеров вознаграждения по всем банковским гарантиям и (или) договорам поручительства по указанной товарной позиции (строки </w:t>
      </w:r>
      <w:hyperlink w:history="0" w:anchor="P734" w:tooltip="27">
        <w:r>
          <w:rPr>
            <w:sz w:val="24"/>
            <w:color w:val="0000ff"/>
          </w:rPr>
          <w:t xml:space="preserve">графы 27</w:t>
        </w:r>
      </w:hyperlink>
      <w:r>
        <w:rPr>
          <w:sz w:val="24"/>
        </w:rPr>
        <w:t xml:space="preserve">).</w:t>
      </w:r>
    </w:p>
    <w:bookmarkStart w:id="923" w:name="P923"/>
    <w:bookmarkEnd w:id="923"/>
    <w:p>
      <w:pPr>
        <w:pStyle w:val="0"/>
        <w:spacing w:before="240" w:line-rule="auto"/>
        <w:ind w:firstLine="540"/>
        <w:jc w:val="both"/>
      </w:pPr>
      <w:r>
        <w:rPr>
          <w:sz w:val="24"/>
        </w:rPr>
        <w:t xml:space="preserve">&lt;30&gt; Указывается сумма экологического сбора, подлежащая уплате с учетом вычета размера вознаграждения, которая определяется как разница суммы экологического сбора, подлежащей уплате </w:t>
      </w:r>
      <w:hyperlink w:history="0" w:anchor="P733" w:tooltip="26">
        <w:r>
          <w:rPr>
            <w:sz w:val="24"/>
            <w:color w:val="0000ff"/>
          </w:rPr>
          <w:t xml:space="preserve">(графа 26)</w:t>
        </w:r>
      </w:hyperlink>
      <w:r>
        <w:rPr>
          <w:sz w:val="24"/>
        </w:rPr>
        <w:t xml:space="preserve">, и размера вычета с учетом вознаграждения по банковской гарантии, договору поручительства </w:t>
      </w:r>
      <w:hyperlink w:history="0" w:anchor="P737" w:tooltip="30">
        <w:r>
          <w:rPr>
            <w:sz w:val="24"/>
            <w:color w:val="0000ff"/>
          </w:rPr>
          <w:t xml:space="preserve">(графа 30)</w:t>
        </w:r>
      </w:hyperlink>
      <w:r>
        <w:rPr>
          <w:sz w:val="24"/>
        </w:rPr>
        <w:t xml:space="preserve">.</w:t>
      </w:r>
    </w:p>
    <w:bookmarkStart w:id="924" w:name="P924"/>
    <w:bookmarkEnd w:id="924"/>
    <w:p>
      <w:pPr>
        <w:pStyle w:val="0"/>
        <w:spacing w:before="240" w:line-rule="auto"/>
        <w:ind w:firstLine="540"/>
        <w:jc w:val="both"/>
      </w:pPr>
      <w:r>
        <w:rPr>
          <w:sz w:val="24"/>
        </w:rPr>
        <w:t xml:space="preserve">&lt;31&gt; Строка заполняется при необходимости (на усмотрение производителя товара, импортера товара в случае необходимости представления разъяснений, дополнений и т.п.).</w:t>
      </w:r>
    </w:p>
    <w:p>
      <w:pPr>
        <w:pStyle w:val="0"/>
        <w:spacing w:before="240" w:line-rule="auto"/>
        <w:ind w:firstLine="540"/>
        <w:jc w:val="both"/>
      </w:pPr>
      <w:r>
        <w:rPr>
          <w:sz w:val="24"/>
        </w:rPr>
        <w:t xml:space="preserve">По товарам, в отношении которых критерий наличия технической возможности утилизации отходов от их использования требует определения уровня канцерогенной безопасности входящих в них материалов, указанным в абзаце двадцать седьмом </w:t>
      </w:r>
      <w:r>
        <w:rPr>
          <w:sz w:val="24"/>
        </w:rPr>
        <w:t xml:space="preserve">пункта 8</w:t>
      </w:r>
      <w:r>
        <w:rPr>
          <w:sz w:val="24"/>
        </w:rPr>
        <w:t xml:space="preserve">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утвержденной постановлением Правительства Российской Федерации от 29 декабря 2023 г. N 2392 "Об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указываются номер и дата выданного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 для выполнения работ по сертификации, сертификата соответствия требованиям </w:t>
      </w:r>
      <w:r>
        <w:rPr>
          <w:sz w:val="24"/>
        </w:rPr>
        <w:t xml:space="preserve">пункта 4.2 раздела 4</w:t>
      </w:r>
      <w:r>
        <w:rPr>
          <w:sz w:val="24"/>
        </w:rPr>
        <w:t xml:space="preserve"> национального стандарта Российской Федерации ГОСТ Р 51893-2024 "Шины пневматические. Общие технические требования безопасности", утвержденного 12 сентября 2024 г. и введенного в действие с 1 сентября 2025 г. (при наличии).</w:t>
      </w:r>
    </w:p>
    <w:bookmarkStart w:id="926" w:name="P926"/>
    <w:bookmarkEnd w:id="926"/>
    <w:p>
      <w:pPr>
        <w:pStyle w:val="0"/>
        <w:spacing w:before="240" w:line-rule="auto"/>
        <w:ind w:firstLine="540"/>
        <w:jc w:val="both"/>
      </w:pPr>
      <w:r>
        <w:rPr>
          <w:sz w:val="24"/>
        </w:rPr>
        <w:t xml:space="preserve">&lt;32&gt; Указывается сумма излишне уплаченного (взысканного) экологического сбора, в отношении которой Федеральной службой по надзору в сфере природопользования принято решение о зачете в счет предстоящих платежей по экологическому сбору. В случае если производителем товара, импортером товаров расчет экологического сбора производится по нескольким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 </w:t>
      </w:r>
      <w:hyperlink w:history="0" w:anchor="P609" w:tooltip="РАСЧЕТ СУММЫ ЭКОЛОГИЧЕСКОГО СБОРА">
        <w:r>
          <w:rPr>
            <w:sz w:val="24"/>
            <w:color w:val="0000ff"/>
          </w:rPr>
          <w:t xml:space="preserve">3</w:t>
        </w:r>
      </w:hyperlink>
      <w:r>
        <w:rPr>
          <w:sz w:val="24"/>
        </w:rPr>
        <w:t xml:space="preserve"> к Правилам взимания экологического сбора, утвержденным постановлением Правительства Российской Федерации от 30 декабря 2024 г. N 1990 "О порядке взимания экологического сбора", сумма указывается однократно в любой из таких форм. В случае отсутствия такого решения или указания данной суммы в иной форме в </w:t>
      </w:r>
      <w:hyperlink w:history="0" w:anchor="P759" w:tooltip="1.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lt;32&gt; _________________________________________________________">
        <w:r>
          <w:rPr>
            <w:sz w:val="24"/>
            <w:color w:val="0000ff"/>
          </w:rPr>
          <w:t xml:space="preserve">пунктах 1.1</w:t>
        </w:r>
      </w:hyperlink>
      <w:r>
        <w:rPr>
          <w:sz w:val="24"/>
        </w:rPr>
        <w:t xml:space="preserve"> и </w:t>
      </w:r>
      <w:hyperlink w:history="0" w:anchor="P866" w:tooltip="2.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lt;32&gt; __________________________________________________________">
        <w:r>
          <w:rPr>
            <w:sz w:val="24"/>
            <w:color w:val="0000ff"/>
          </w:rPr>
          <w:t xml:space="preserve">2.1</w:t>
        </w:r>
      </w:hyperlink>
      <w:r>
        <w:rPr>
          <w:sz w:val="24"/>
        </w:rPr>
        <w:t xml:space="preserve"> ставится "0".</w:t>
      </w:r>
    </w:p>
    <w:bookmarkStart w:id="927" w:name="P927"/>
    <w:bookmarkEnd w:id="927"/>
    <w:p>
      <w:pPr>
        <w:pStyle w:val="0"/>
        <w:spacing w:before="240" w:line-rule="auto"/>
        <w:ind w:firstLine="540"/>
        <w:jc w:val="both"/>
      </w:pPr>
      <w:r>
        <w:rPr>
          <w:sz w:val="24"/>
        </w:rPr>
        <w:t xml:space="preserve">&lt;33&gt; Указываются реквизиты решения Федеральной службы по надзору в сфере природопользования о зачете излишне уплаченного (взысканного) экологического сбора в счет предстоящих платежей по экологическому сбору. В случае если производителем товаров, импортером товаров расчет экологического сбора производится по нескольким формам, предусмотренным </w:t>
      </w:r>
      <w:hyperlink w:history="0" w:anchor="P113" w:tooltip="                     РАСЧЕТ СУММЫ ЭКОЛОГИЧЕСКОГО СБОРА">
        <w:r>
          <w:rPr>
            <w:sz w:val="24"/>
            <w:color w:val="0000ff"/>
          </w:rPr>
          <w:t xml:space="preserve">приложениями N 1</w:t>
        </w:r>
      </w:hyperlink>
      <w:r>
        <w:rPr>
          <w:sz w:val="24"/>
        </w:rPr>
        <w:t xml:space="preserve"> - </w:t>
      </w:r>
      <w:hyperlink w:history="0" w:anchor="P609" w:tooltip="РАСЧЕТ СУММЫ ЭКОЛОГИЧЕСКОГО СБОРА">
        <w:r>
          <w:rPr>
            <w:sz w:val="24"/>
            <w:color w:val="0000ff"/>
          </w:rPr>
          <w:t xml:space="preserve">3</w:t>
        </w:r>
      </w:hyperlink>
      <w:r>
        <w:rPr>
          <w:sz w:val="24"/>
        </w:rPr>
        <w:t xml:space="preserve"> к Правилам взимания экологического сбора, утвержденным постановлением Правительства Российской Федерации от 30 декабря 2024 г. N 1990 "О порядке взимания экологического сбора", сумма указывается однократно в любой из таких форм.</w:t>
      </w:r>
    </w:p>
    <w:bookmarkStart w:id="928" w:name="P928"/>
    <w:bookmarkEnd w:id="928"/>
    <w:p>
      <w:pPr>
        <w:pStyle w:val="0"/>
        <w:spacing w:before="240" w:line-rule="auto"/>
        <w:ind w:firstLine="540"/>
        <w:jc w:val="both"/>
      </w:pPr>
      <w:r>
        <w:rPr>
          <w:sz w:val="24"/>
        </w:rPr>
        <w:t xml:space="preserve">&lt;34&gt; Указывается значение, определяемое как разность суммы экологического сбора, подлежащей уплате с учетом вознаграждения (строки </w:t>
      </w:r>
      <w:hyperlink w:history="0" w:anchor="P738" w:tooltip="31">
        <w:r>
          <w:rPr>
            <w:sz w:val="24"/>
            <w:color w:val="0000ff"/>
          </w:rPr>
          <w:t xml:space="preserve">графы 31</w:t>
        </w:r>
      </w:hyperlink>
      <w:r>
        <w:rPr>
          <w:sz w:val="24"/>
        </w:rPr>
        <w:t xml:space="preserve">),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суммы </w:t>
      </w:r>
      <w:hyperlink w:history="0" w:anchor="P759" w:tooltip="1.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lt;32&gt; _________________________________________________________">
        <w:r>
          <w:rPr>
            <w:sz w:val="24"/>
            <w:color w:val="0000ff"/>
          </w:rPr>
          <w:t xml:space="preserve">(пункт 1.1)</w:t>
        </w:r>
      </w:hyperlink>
      <w:r>
        <w:rPr>
          <w:sz w:val="24"/>
        </w:rPr>
        <w:t xml:space="preserve">. </w:t>
      </w:r>
      <w:hyperlink w:history="0" w:anchor="P761" w:tooltip="1.3. Итоговая сумма экологического сбора, подлежащая уплате, рублей &lt;34&gt; ___________________________________________">
        <w:r>
          <w:rPr>
            <w:sz w:val="24"/>
            <w:color w:val="0000ff"/>
          </w:rPr>
          <w:t xml:space="preserve">Пункт 1.3</w:t>
        </w:r>
      </w:hyperlink>
      <w:r>
        <w:rPr>
          <w:sz w:val="24"/>
        </w:rPr>
        <w:t xml:space="preserve"> заполняется автоматически при использовании интерактивных форм отчетности.</w:t>
      </w:r>
    </w:p>
    <w:bookmarkStart w:id="929" w:name="P929"/>
    <w:bookmarkEnd w:id="929"/>
    <w:p>
      <w:pPr>
        <w:pStyle w:val="0"/>
        <w:spacing w:before="240" w:line-rule="auto"/>
        <w:ind w:firstLine="540"/>
        <w:jc w:val="both"/>
      </w:pPr>
      <w:r>
        <w:rPr>
          <w:sz w:val="24"/>
        </w:rPr>
        <w:t xml:space="preserve">&lt;35&gt; При заполнении </w:t>
      </w:r>
      <w:hyperlink w:history="0" w:anchor="P765" w:tooltip="Таблица 2">
        <w:r>
          <w:rPr>
            <w:sz w:val="24"/>
            <w:color w:val="0000ff"/>
          </w:rPr>
          <w:t xml:space="preserve">таблицы 2</w:t>
        </w:r>
      </w:hyperlink>
      <w:r>
        <w:rPr>
          <w:sz w:val="24"/>
        </w:rPr>
        <w:t xml:space="preserve"> в начале указывается номер и наименование группы упаковки товаров в соответствии с </w:t>
      </w:r>
      <w:r>
        <w:rPr>
          <w:sz w:val="24"/>
        </w:rPr>
        <w:t xml:space="preserve">разделом III</w:t>
      </w:r>
      <w:r>
        <w:rPr>
          <w:sz w:val="24"/>
        </w:rPr>
        <w:t xml:space="preserve"> перечня товаров, упаковки, а затем построчно указываются позиции по упаковке товара - по каждому наименованию упаковки из указанных перечней, идентифицируемой по материалу, из которого сделана упаковка товара (для упаковки товара из комбинированных материалов - по основному материалу по массе и композиции) и дополнительно по виду материала упаковки - отдельными строками. Заполняется импортером товара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указанные перечни.</w:t>
      </w:r>
    </w:p>
    <w:bookmarkStart w:id="930" w:name="P930"/>
    <w:bookmarkEnd w:id="930"/>
    <w:p>
      <w:pPr>
        <w:pStyle w:val="0"/>
        <w:spacing w:before="240" w:line-rule="auto"/>
        <w:ind w:firstLine="540"/>
        <w:jc w:val="both"/>
      </w:pPr>
      <w:r>
        <w:rPr>
          <w:sz w:val="24"/>
        </w:rPr>
        <w:t xml:space="preserve">&lt;36&gt; Строки </w:t>
      </w:r>
      <w:hyperlink w:history="0" w:anchor="P792" w:tooltip="3">
        <w:r>
          <w:rPr>
            <w:sz w:val="24"/>
            <w:color w:val="0000ff"/>
          </w:rPr>
          <w:t xml:space="preserve">граф 3</w:t>
        </w:r>
      </w:hyperlink>
      <w:r>
        <w:rPr>
          <w:sz w:val="24"/>
        </w:rPr>
        <w:t xml:space="preserve"> - </w:t>
      </w:r>
      <w:hyperlink w:history="0" w:anchor="P795" w:tooltip="6">
        <w:r>
          <w:rPr>
            <w:sz w:val="24"/>
            <w:color w:val="0000ff"/>
          </w:rPr>
          <w:t xml:space="preserve">6</w:t>
        </w:r>
      </w:hyperlink>
      <w:r>
        <w:rPr>
          <w:sz w:val="24"/>
        </w:rPr>
        <w:t xml:space="preserve"> таблицы 2 заполняются импортером товара в зависимости от маркировки упаковки ввозимого товара в упаковке, позволяющей импортеру товара идентифицировать упаковку по буквенному обозначению и цифровому коду упаковки по техническому </w:t>
      </w:r>
      <w:r>
        <w:rPr>
          <w:sz w:val="24"/>
        </w:rPr>
        <w:t xml:space="preserve">регламенту</w:t>
      </w:r>
      <w:r>
        <w:rPr>
          <w:sz w:val="24"/>
        </w:rPr>
        <w:t xml:space="preserve"> Таможенного союза "О безопасности упаковки" (ТР ТС 005/2011), и (или) по коду по Общероссийскому </w:t>
      </w:r>
      <w:r>
        <w:rPr>
          <w:sz w:val="24"/>
        </w:rPr>
        <w:t xml:space="preserve">классификатору</w:t>
      </w:r>
      <w:r>
        <w:rPr>
          <w:sz w:val="24"/>
        </w:rPr>
        <w:t xml:space="preserve"> продукции по видам экономической деятельности ОК 034-2014 (КПЕС 2008), и (или) по коду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w:t>
      </w:r>
    </w:p>
    <w:bookmarkStart w:id="931" w:name="P931"/>
    <w:bookmarkEnd w:id="931"/>
    <w:p>
      <w:pPr>
        <w:pStyle w:val="0"/>
        <w:spacing w:before="240" w:line-rule="auto"/>
        <w:ind w:firstLine="540"/>
        <w:jc w:val="both"/>
      </w:pPr>
      <w:r>
        <w:rPr>
          <w:sz w:val="24"/>
        </w:rPr>
        <w:t xml:space="preserve">&lt;37&gt; Масса указывается для каждого наименования упаковки в килограммах, округленных до целого числа по математическим правилам округления. Масса упаковки, в которую помещен товар, ввезенный в течение отчетного периода (всего) (М</w:t>
      </w:r>
      <w:r>
        <w:rPr>
          <w:sz w:val="24"/>
          <w:vertAlign w:val="subscript"/>
        </w:rPr>
        <w:t xml:space="preserve">уп.</w:t>
      </w:r>
      <w:r>
        <w:rPr>
          <w:sz w:val="24"/>
        </w:rPr>
        <w:t xml:space="preserve">), указывается как сумма данных строки </w:t>
      </w:r>
      <w:r>
        <w:rPr>
          <w:sz w:val="24"/>
        </w:rPr>
        <w:t xml:space="preserve">графы 7</w:t>
      </w:r>
      <w:r>
        <w:rPr>
          <w:sz w:val="24"/>
        </w:rPr>
        <w:t xml:space="preserve"> таблицы 2 раздела II приложения N 2 к Правилам представления отчетности о массе товаров, упаковки. С 1 января 2026 г. строка </w:t>
      </w:r>
      <w:hyperlink w:history="0" w:anchor="P796" w:tooltip="7">
        <w:r>
          <w:rPr>
            <w:sz w:val="24"/>
            <w:color w:val="0000ff"/>
          </w:rPr>
          <w:t xml:space="preserve">графы 7</w:t>
        </w:r>
      </w:hyperlink>
      <w:r>
        <w:rPr>
          <w:sz w:val="24"/>
        </w:rPr>
        <w:t xml:space="preserve"> заполняется автоматически при использовании интерактивных форм расчета.</w:t>
      </w:r>
    </w:p>
    <w:bookmarkStart w:id="932" w:name="P932"/>
    <w:bookmarkEnd w:id="932"/>
    <w:p>
      <w:pPr>
        <w:pStyle w:val="0"/>
        <w:spacing w:before="240" w:line-rule="auto"/>
        <w:ind w:firstLine="540"/>
        <w:jc w:val="both"/>
      </w:pPr>
      <w:r>
        <w:rPr>
          <w:sz w:val="24"/>
        </w:rPr>
        <w:t xml:space="preserve">&lt;38&gt; Указывается масса отходов от использования упаковки, подлежащих утилизации в отчетном периоде, без учета норматива утилизации (М</w:t>
      </w:r>
      <w:r>
        <w:rPr>
          <w:sz w:val="24"/>
          <w:vertAlign w:val="subscript"/>
        </w:rPr>
        <w:t xml:space="preserve">обяз.уп.</w:t>
      </w:r>
      <w:r>
        <w:rPr>
          <w:sz w:val="24"/>
        </w:rPr>
        <w:t xml:space="preserve">), определяемая как разница между значениями М</w:t>
      </w:r>
      <w:r>
        <w:rPr>
          <w:sz w:val="24"/>
          <w:vertAlign w:val="subscript"/>
        </w:rPr>
        <w:t xml:space="preserve">уп.</w:t>
      </w:r>
      <w:r>
        <w:rPr>
          <w:sz w:val="24"/>
        </w:rPr>
        <w:t xml:space="preserve"> </w:t>
      </w:r>
      <w:hyperlink w:history="0" w:anchor="P796" w:tooltip="7">
        <w:r>
          <w:rPr>
            <w:sz w:val="24"/>
            <w:color w:val="0000ff"/>
          </w:rPr>
          <w:t xml:space="preserve">(графа 7)</w:t>
        </w:r>
      </w:hyperlink>
      <w:r>
        <w:rPr>
          <w:sz w:val="24"/>
        </w:rPr>
        <w:t xml:space="preserve">, и М</w:t>
      </w:r>
      <w:r>
        <w:rPr>
          <w:sz w:val="24"/>
          <w:vertAlign w:val="subscript"/>
        </w:rPr>
        <w:t xml:space="preserve">выв.уп.</w:t>
      </w:r>
      <w:r>
        <w:rPr>
          <w:sz w:val="24"/>
        </w:rPr>
        <w:t xml:space="preserve"> </w:t>
      </w:r>
      <w:hyperlink w:history="0" w:anchor="P797" w:tooltip="8">
        <w:r>
          <w:rPr>
            <w:sz w:val="24"/>
            <w:color w:val="0000ff"/>
          </w:rPr>
          <w:t xml:space="preserve">(графа 8)</w:t>
        </w:r>
      </w:hyperlink>
      <w:r>
        <w:rPr>
          <w:sz w:val="24"/>
        </w:rPr>
        <w:t xml:space="preserve">. В случае если импортер частично выполнил самостоятельную утилизацию и представил отчетность о самостоятельной утилизации, М</w:t>
      </w:r>
      <w:r>
        <w:rPr>
          <w:sz w:val="24"/>
          <w:vertAlign w:val="subscript"/>
        </w:rPr>
        <w:t xml:space="preserve">обяз.уп.</w:t>
      </w:r>
      <w:r>
        <w:rPr>
          <w:sz w:val="24"/>
        </w:rPr>
        <w:t xml:space="preserve"> указывается в соответствии с данными строки </w:t>
      </w:r>
      <w:r>
        <w:rPr>
          <w:sz w:val="24"/>
        </w:rPr>
        <w:t xml:space="preserve">графы 12</w:t>
      </w:r>
      <w:r>
        <w:rPr>
          <w:sz w:val="24"/>
        </w:rPr>
        <w:t xml:space="preserve"> таблицы 2 раздела II приложения N 2 к Правилам представления отчетности о выполнении самостоятельной утилизации. В случае если импортер осуществил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М</w:t>
      </w:r>
      <w:r>
        <w:rPr>
          <w:sz w:val="24"/>
          <w:vertAlign w:val="subscript"/>
        </w:rPr>
        <w:t xml:space="preserve">обяз.уп.</w:t>
      </w:r>
      <w:r>
        <w:rPr>
          <w:sz w:val="24"/>
        </w:rPr>
        <w:t xml:space="preserve"> указывается в соответствии с данными строки </w:t>
      </w:r>
      <w:r>
        <w:rPr>
          <w:sz w:val="24"/>
        </w:rPr>
        <w:t xml:space="preserve">графы 14</w:t>
      </w:r>
      <w:r>
        <w:rPr>
          <w:sz w:val="24"/>
        </w:rPr>
        <w:t xml:space="preserve"> таблицы 2 раздела II приложения N 2 к Положению о проведении эксперимента. С 1 января 2026 г. строка </w:t>
      </w:r>
      <w:hyperlink w:history="0" w:anchor="P800" w:tooltip="11">
        <w:r>
          <w:rPr>
            <w:sz w:val="24"/>
            <w:color w:val="0000ff"/>
          </w:rPr>
          <w:t xml:space="preserve">графы 11</w:t>
        </w:r>
      </w:hyperlink>
      <w:r>
        <w:rPr>
          <w:sz w:val="24"/>
        </w:rPr>
        <w:t xml:space="preserve"> заполняется автоматически при использовании интерактивных форм отчетности.</w:t>
      </w:r>
    </w:p>
    <w:bookmarkStart w:id="933" w:name="P933"/>
    <w:bookmarkEnd w:id="933"/>
    <w:p>
      <w:pPr>
        <w:pStyle w:val="0"/>
        <w:spacing w:before="240" w:line-rule="auto"/>
        <w:ind w:firstLine="540"/>
        <w:jc w:val="both"/>
      </w:pPr>
      <w:r>
        <w:rPr>
          <w:sz w:val="24"/>
        </w:rPr>
        <w:t xml:space="preserve">&lt;39&gt; Указывается масса отходов от использования товаров, упаковки, подлежащих утилизации в отчетном периоде, с учетом норматива утилизации (М</w:t>
      </w:r>
      <w:r>
        <w:rPr>
          <w:sz w:val="24"/>
          <w:vertAlign w:val="subscript"/>
        </w:rPr>
        <w:t xml:space="preserve">подл.ут.уп.</w:t>
      </w:r>
      <w:r>
        <w:rPr>
          <w:sz w:val="24"/>
        </w:rPr>
        <w:t xml:space="preserve">), определяемая как произведение массы отходов от использования товаров, упаковки, подлежащих утилизации в отчетном периоде без учета норматива утилизации </w:t>
      </w:r>
      <w:hyperlink w:history="0" w:anchor="P800" w:tooltip="11">
        <w:r>
          <w:rPr>
            <w:sz w:val="24"/>
            <w:color w:val="0000ff"/>
          </w:rPr>
          <w:t xml:space="preserve">(графа 11)</w:t>
        </w:r>
      </w:hyperlink>
      <w:r>
        <w:rPr>
          <w:sz w:val="24"/>
        </w:rPr>
        <w:t xml:space="preserve">, и норматива утилизации </w:t>
      </w:r>
      <w:hyperlink w:history="0" w:anchor="P801" w:tooltip="12">
        <w:r>
          <w:rPr>
            <w:sz w:val="24"/>
            <w:color w:val="0000ff"/>
          </w:rPr>
          <w:t xml:space="preserve">(графа 12)</w:t>
        </w:r>
      </w:hyperlink>
      <w:r>
        <w:rPr>
          <w:sz w:val="24"/>
        </w:rPr>
        <w:t xml:space="preserve">. Строка </w:t>
      </w:r>
      <w:hyperlink w:history="0" w:anchor="P802" w:tooltip="13">
        <w:r>
          <w:rPr>
            <w:sz w:val="24"/>
            <w:color w:val="0000ff"/>
          </w:rPr>
          <w:t xml:space="preserve">графы 13</w:t>
        </w:r>
      </w:hyperlink>
      <w:r>
        <w:rPr>
          <w:sz w:val="24"/>
        </w:rPr>
        <w:t xml:space="preserve"> заполняется автоматически при использовании интерактивных форм отчетности.</w:t>
      </w:r>
    </w:p>
    <w:bookmarkStart w:id="934" w:name="P934"/>
    <w:bookmarkEnd w:id="934"/>
    <w:p>
      <w:pPr>
        <w:pStyle w:val="0"/>
        <w:spacing w:before="240" w:line-rule="auto"/>
        <w:ind w:firstLine="540"/>
        <w:jc w:val="both"/>
      </w:pPr>
      <w:r>
        <w:rPr>
          <w:sz w:val="24"/>
        </w:rPr>
        <w:t xml:space="preserve">&lt;40&gt; Указывается масса упаковки, в которую упакован ввезенный в отчетный период товар, в отношении которой уплачен экологический сбор до выпуска товара в обращение. Импортеры товаров, осуществившие в период с 1 января 2024 г. по 31 декабря 2025 г. ввоз товаров в упаковке, включенной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803" w:tooltip="14">
        <w:r>
          <w:rPr>
            <w:sz w:val="24"/>
            <w:color w:val="0000ff"/>
          </w:rPr>
          <w:t xml:space="preserve">графу 14</w:t>
        </w:r>
      </w:hyperlink>
      <w:r>
        <w:rPr>
          <w:sz w:val="24"/>
        </w:rPr>
        <w:t xml:space="preserve"> в соответствии с данными, указанными в строке </w:t>
      </w:r>
      <w:r>
        <w:rPr>
          <w:sz w:val="24"/>
        </w:rPr>
        <w:t xml:space="preserve">графы 17</w:t>
      </w:r>
      <w:r>
        <w:rPr>
          <w:sz w:val="24"/>
        </w:rPr>
        <w:t xml:space="preserve"> таблицы 2 раздела II приложения N 2 к Положению о проведении эксперимента.</w:t>
      </w:r>
    </w:p>
    <w:bookmarkStart w:id="935" w:name="P935"/>
    <w:bookmarkEnd w:id="935"/>
    <w:p>
      <w:pPr>
        <w:pStyle w:val="0"/>
        <w:spacing w:before="240" w:line-rule="auto"/>
        <w:ind w:firstLine="540"/>
        <w:jc w:val="both"/>
      </w:pPr>
      <w:r>
        <w:rPr>
          <w:sz w:val="24"/>
        </w:rPr>
        <w:t xml:space="preserve">&lt;41&gt; Указываются реквизиты платежных документов об уплате экологического сбора в отношении товаров в упаковке, за массу отходов от использования упаковки, указанной в </w:t>
      </w:r>
      <w:hyperlink w:history="0" w:anchor="P803" w:tooltip="14">
        <w:r>
          <w:rPr>
            <w:sz w:val="24"/>
            <w:color w:val="0000ff"/>
          </w:rPr>
          <w:t xml:space="preserve">графе 14</w:t>
        </w:r>
      </w:hyperlink>
      <w:r>
        <w:rPr>
          <w:sz w:val="24"/>
        </w:rPr>
        <w:t xml:space="preserve">. Импортеры товаров, упаковки, осуществившие в период с 1 января 2024 г. по 31 декабря 2025 г. ввоз товаров в упаковке, включенной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839" w:tooltip="15">
        <w:r>
          <w:rPr>
            <w:sz w:val="24"/>
            <w:color w:val="0000ff"/>
          </w:rPr>
          <w:t xml:space="preserve">графу 15</w:t>
        </w:r>
      </w:hyperlink>
      <w:r>
        <w:rPr>
          <w:sz w:val="24"/>
        </w:rPr>
        <w:t xml:space="preserve"> в соответствии с данными, указанными в </w:t>
      </w:r>
      <w:r>
        <w:rPr>
          <w:sz w:val="24"/>
        </w:rPr>
        <w:t xml:space="preserve">графе 18</w:t>
      </w:r>
      <w:r>
        <w:rPr>
          <w:sz w:val="24"/>
        </w:rPr>
        <w:t xml:space="preserve"> таблицы 2 раздела II приложения N 2 к Положению о проведении эксперимента.</w:t>
      </w:r>
    </w:p>
    <w:bookmarkStart w:id="936" w:name="P936"/>
    <w:bookmarkEnd w:id="936"/>
    <w:p>
      <w:pPr>
        <w:pStyle w:val="0"/>
        <w:spacing w:before="240" w:line-rule="auto"/>
        <w:ind w:firstLine="540"/>
        <w:jc w:val="both"/>
      </w:pPr>
      <w:r>
        <w:rPr>
          <w:sz w:val="24"/>
        </w:rPr>
        <w:t xml:space="preserve">&lt;42&gt; Указывается масса отходов от использования товаров, упаковки, в отношении которых выполнена самостоятельная утилизация (М</w:t>
      </w:r>
      <w:r>
        <w:rPr>
          <w:sz w:val="24"/>
          <w:vertAlign w:val="subscript"/>
        </w:rPr>
        <w:t xml:space="preserve">засч.уп.</w:t>
      </w:r>
      <w:r>
        <w:rPr>
          <w:sz w:val="24"/>
        </w:rPr>
        <w:t xml:space="preserve">), в соответствии с данными строки </w:t>
      </w:r>
      <w:r>
        <w:rPr>
          <w:sz w:val="24"/>
        </w:rPr>
        <w:t xml:space="preserve">графы 25</w:t>
      </w:r>
      <w:r>
        <w:rPr>
          <w:sz w:val="24"/>
        </w:rPr>
        <w:t xml:space="preserve"> таблицы 2 раздела II приложения N 2 к Правилам представления отчетности о выполнении самостоятельной утилизации. Импортеры товаров в упаковке, осуществившие в период с 1 января 2024 г. по 31 декабря 2025 г. ввоз товаров, упаковки, включенных в перечень отдельных видов товаров, в том числе товаров в упаковке, участвующих в эксперименте согласно </w:t>
      </w:r>
      <w:r>
        <w:rPr>
          <w:sz w:val="24"/>
        </w:rPr>
        <w:t xml:space="preserve">приложению N 1</w:t>
      </w:r>
      <w:r>
        <w:rPr>
          <w:sz w:val="24"/>
        </w:rPr>
        <w:t xml:space="preserve"> к Положению о проведении эксперимента, заполняют </w:t>
      </w:r>
      <w:hyperlink w:history="0" w:anchor="P840" w:tooltip="16">
        <w:r>
          <w:rPr>
            <w:sz w:val="24"/>
            <w:color w:val="0000ff"/>
          </w:rPr>
          <w:t xml:space="preserve">графу 16</w:t>
        </w:r>
      </w:hyperlink>
      <w:r>
        <w:rPr>
          <w:sz w:val="24"/>
        </w:rPr>
        <w:t xml:space="preserve"> в соответствии с данными строки </w:t>
      </w:r>
      <w:r>
        <w:rPr>
          <w:sz w:val="24"/>
        </w:rPr>
        <w:t xml:space="preserve">графы 18</w:t>
      </w:r>
      <w:r>
        <w:rPr>
          <w:sz w:val="24"/>
        </w:rPr>
        <w:t xml:space="preserve"> таблицы 2 раздела II приложения N 3 к Положению о проведении эксперимента. С 1 января 2026 г. строка </w:t>
      </w:r>
      <w:hyperlink w:history="0" w:anchor="P840" w:tooltip="16">
        <w:r>
          <w:rPr>
            <w:sz w:val="24"/>
            <w:color w:val="0000ff"/>
          </w:rPr>
          <w:t xml:space="preserve">графы 16</w:t>
        </w:r>
      </w:hyperlink>
      <w:r>
        <w:rPr>
          <w:sz w:val="24"/>
        </w:rPr>
        <w:t xml:space="preserve"> заполняется автоматически при использовании интерактивных форм отчетности. Импортеры товаров в упаковке, которые не обеспечили самостоятельную утилизацию и не представили отчетность о выполнении самостоятельной утилизации, указывают в </w:t>
      </w:r>
      <w:hyperlink w:history="0" w:anchor="P840" w:tooltip="16">
        <w:r>
          <w:rPr>
            <w:sz w:val="24"/>
            <w:color w:val="0000ff"/>
          </w:rPr>
          <w:t xml:space="preserve">графе 16</w:t>
        </w:r>
      </w:hyperlink>
      <w:r>
        <w:rPr>
          <w:sz w:val="24"/>
        </w:rPr>
        <w:t xml:space="preserve"> значение "0".</w:t>
      </w:r>
    </w:p>
    <w:bookmarkStart w:id="937" w:name="P937"/>
    <w:bookmarkEnd w:id="937"/>
    <w:p>
      <w:pPr>
        <w:pStyle w:val="0"/>
        <w:spacing w:before="240" w:line-rule="auto"/>
        <w:ind w:firstLine="540"/>
        <w:jc w:val="both"/>
      </w:pPr>
      <w:r>
        <w:rPr>
          <w:sz w:val="24"/>
        </w:rPr>
        <w:t xml:space="preserve">&lt;43&gt; Указывается масса отходов, в отношении которых сохраняется обязанность уплатить экологический сбор, определяемая как разница </w:t>
      </w:r>
      <w:hyperlink w:history="0" w:anchor="P802" w:tooltip="13">
        <w:r>
          <w:rPr>
            <w:sz w:val="24"/>
            <w:color w:val="0000ff"/>
          </w:rPr>
          <w:t xml:space="preserve">граф 13</w:t>
        </w:r>
      </w:hyperlink>
      <w:r>
        <w:rPr>
          <w:sz w:val="24"/>
        </w:rPr>
        <w:t xml:space="preserve">, </w:t>
      </w:r>
      <w:hyperlink w:history="0" w:anchor="P803" w:tooltip="14">
        <w:r>
          <w:rPr>
            <w:sz w:val="24"/>
            <w:color w:val="0000ff"/>
          </w:rPr>
          <w:t xml:space="preserve">14</w:t>
        </w:r>
      </w:hyperlink>
      <w:r>
        <w:rPr>
          <w:sz w:val="24"/>
        </w:rPr>
        <w:t xml:space="preserve"> и </w:t>
      </w:r>
      <w:hyperlink w:history="0" w:anchor="P840" w:tooltip="16">
        <w:r>
          <w:rPr>
            <w:sz w:val="24"/>
            <w:color w:val="0000ff"/>
          </w:rPr>
          <w:t xml:space="preserve">16</w:t>
        </w:r>
      </w:hyperlink>
      <w:r>
        <w:rPr>
          <w:sz w:val="24"/>
        </w:rPr>
        <w:t xml:space="preserve">. Строка заполняется автоматически при использовании интерактивных форм расчета.</w:t>
      </w:r>
    </w:p>
    <w:bookmarkStart w:id="938" w:name="P938"/>
    <w:bookmarkEnd w:id="938"/>
    <w:p>
      <w:pPr>
        <w:pStyle w:val="0"/>
        <w:spacing w:before="240" w:line-rule="auto"/>
        <w:ind w:firstLine="540"/>
        <w:jc w:val="both"/>
      </w:pPr>
      <w:r>
        <w:rPr>
          <w:sz w:val="24"/>
        </w:rPr>
        <w:t xml:space="preserve">&lt;44&gt; Указывается значение ставки экологического сбора (СЭС), определяемое как произведение значений БСЭС </w:t>
      </w:r>
      <w:hyperlink w:history="0" w:anchor="P842" w:tooltip="18">
        <w:r>
          <w:rPr>
            <w:sz w:val="24"/>
            <w:color w:val="0000ff"/>
          </w:rPr>
          <w:t xml:space="preserve">(графа 18)</w:t>
        </w:r>
      </w:hyperlink>
      <w:r>
        <w:rPr>
          <w:sz w:val="24"/>
        </w:rPr>
        <w:t xml:space="preserve"> и КЭ </w:t>
      </w:r>
      <w:hyperlink w:history="0" w:anchor="P843" w:tooltip="19">
        <w:r>
          <w:rPr>
            <w:sz w:val="24"/>
            <w:color w:val="0000ff"/>
          </w:rPr>
          <w:t xml:space="preserve">(графа 19)</w:t>
        </w:r>
      </w:hyperlink>
      <w:r>
        <w:rPr>
          <w:sz w:val="24"/>
        </w:rPr>
        <w:t xml:space="preserve">. Строка заполняется автоматически при использовании интерактивных форм отчетности.</w:t>
      </w:r>
    </w:p>
    <w:bookmarkStart w:id="939" w:name="P939"/>
    <w:bookmarkEnd w:id="939"/>
    <w:p>
      <w:pPr>
        <w:pStyle w:val="0"/>
        <w:spacing w:before="240" w:line-rule="auto"/>
        <w:ind w:firstLine="540"/>
        <w:jc w:val="both"/>
      </w:pPr>
      <w:r>
        <w:rPr>
          <w:sz w:val="24"/>
        </w:rPr>
        <w:t xml:space="preserve">&lt;45&gt; Указывается сумма подлежащего уплате экологического сбора, определяемая как произведение значений СЭС </w:t>
      </w:r>
      <w:hyperlink w:history="0" w:anchor="P844" w:tooltip="20">
        <w:r>
          <w:rPr>
            <w:sz w:val="24"/>
            <w:color w:val="0000ff"/>
          </w:rPr>
          <w:t xml:space="preserve">(графа 20)</w:t>
        </w:r>
      </w:hyperlink>
      <w:r>
        <w:rPr>
          <w:sz w:val="24"/>
        </w:rPr>
        <w:t xml:space="preserve"> и М</w:t>
      </w:r>
      <w:r>
        <w:rPr>
          <w:sz w:val="24"/>
          <w:vertAlign w:val="subscript"/>
        </w:rPr>
        <w:t xml:space="preserve">эст</w:t>
      </w:r>
      <w:r>
        <w:rPr>
          <w:sz w:val="24"/>
        </w:rPr>
        <w:t xml:space="preserve"> </w:t>
      </w:r>
      <w:hyperlink w:history="0" w:anchor="P841" w:tooltip="17">
        <w:r>
          <w:rPr>
            <w:sz w:val="24"/>
            <w:color w:val="0000ff"/>
          </w:rPr>
          <w:t xml:space="preserve">(графа 17)</w:t>
        </w:r>
      </w:hyperlink>
      <w:r>
        <w:rPr>
          <w:sz w:val="24"/>
        </w:rPr>
        <w:t xml:space="preserve">, деленное на 1000. Строка заполняется автоматически при использовании интерактивных форм отчетности.</w:t>
      </w:r>
    </w:p>
    <w:bookmarkStart w:id="940" w:name="P940"/>
    <w:bookmarkEnd w:id="940"/>
    <w:p>
      <w:pPr>
        <w:pStyle w:val="0"/>
        <w:spacing w:before="240" w:line-rule="auto"/>
        <w:ind w:firstLine="540"/>
        <w:jc w:val="both"/>
      </w:pPr>
      <w:r>
        <w:rPr>
          <w:sz w:val="24"/>
        </w:rPr>
        <w:t xml:space="preserve">&lt;46&gt; Указывается размер вознаграждения, уплаченного за банковскую гарантию, договор поручительства об обеспечении выполнения самостоятельной утилизации отходов от использования товаров. В случае если банковская гарантия, договор поручительства соответственно выдавалась, заключался в отношении конкретной упаковки, группы упаковки, включающей одну позицию по упаковке в соответствии с </w:t>
      </w:r>
      <w:r>
        <w:rPr>
          <w:sz w:val="24"/>
        </w:rPr>
        <w:t xml:space="preserve">разделом III</w:t>
      </w:r>
      <w:r>
        <w:rPr>
          <w:sz w:val="24"/>
        </w:rPr>
        <w:t xml:space="preserve"> перечня товаров, упаковки, а затем указываются товарные позиции по товарам, упаковке из указанных перечней, сведения о которых указаны в строках </w:t>
      </w:r>
      <w:hyperlink w:history="0" w:anchor="P791" w:tooltip="2">
        <w:r>
          <w:rPr>
            <w:sz w:val="24"/>
            <w:color w:val="0000ff"/>
          </w:rPr>
          <w:t xml:space="preserve">граф 2</w:t>
        </w:r>
      </w:hyperlink>
      <w:r>
        <w:rPr>
          <w:sz w:val="24"/>
        </w:rPr>
        <w:t xml:space="preserve"> - </w:t>
      </w:r>
      <w:hyperlink w:history="0" w:anchor="P795" w:tooltip="6">
        <w:r>
          <w:rPr>
            <w:sz w:val="24"/>
            <w:color w:val="0000ff"/>
          </w:rPr>
          <w:t xml:space="preserve">6</w:t>
        </w:r>
      </w:hyperlink>
      <w:r>
        <w:rPr>
          <w:sz w:val="24"/>
        </w:rPr>
        <w:t xml:space="preserve">, размер вознаграждения указывается в соответствующей строке </w:t>
      </w:r>
      <w:hyperlink w:history="0" w:anchor="P846" w:tooltip="22">
        <w:r>
          <w:rPr>
            <w:sz w:val="24"/>
            <w:color w:val="0000ff"/>
          </w:rPr>
          <w:t xml:space="preserve">графы 22</w:t>
        </w:r>
      </w:hyperlink>
      <w:r>
        <w:rPr>
          <w:sz w:val="24"/>
        </w:rPr>
        <w:t xml:space="preserve">. В случае если банковская гарантия, договор поручительства соответственно выдавалась, заключался в отношении нескольких позиций по упаковке, группе упаковки, состоящей из нескольких позиций по упаковке, нескольких групп упаковки в соответствии с </w:t>
      </w:r>
      <w:r>
        <w:rPr>
          <w:sz w:val="24"/>
        </w:rPr>
        <w:t xml:space="preserve">разделом III</w:t>
      </w:r>
      <w:r>
        <w:rPr>
          <w:sz w:val="24"/>
        </w:rPr>
        <w:t xml:space="preserve"> перечня товаров, упаковки, а затем построчно указываются товарные позиции по товарам, упаковке из указанных перечней товаров, упаковки, размер вознаграждения указывается в строке </w:t>
      </w:r>
      <w:hyperlink w:history="0" w:anchor="P846" w:tooltip="22">
        <w:r>
          <w:rPr>
            <w:sz w:val="24"/>
            <w:color w:val="0000ff"/>
          </w:rPr>
          <w:t xml:space="preserve">графы 22</w:t>
        </w:r>
      </w:hyperlink>
      <w:r>
        <w:rPr>
          <w:sz w:val="24"/>
        </w:rPr>
        <w:t xml:space="preserve"> по одной из строк позиций по упаковке, в отношении которых выдана банковская гарантия, заключен договор поручительства.</w:t>
      </w:r>
    </w:p>
    <w:p>
      <w:pPr>
        <w:pStyle w:val="0"/>
        <w:spacing w:before="240" w:line-rule="auto"/>
        <w:ind w:firstLine="540"/>
        <w:jc w:val="both"/>
      </w:pPr>
      <w:r>
        <w:rPr>
          <w:sz w:val="24"/>
        </w:rPr>
        <w:t xml:space="preserve">В случае если в отчетный период выдавалось несколько банковских гарантий, заключалось несколько договоров поручительства, то указывается сумма всех вознаграждений и построчно по каждой банковской гарантии, договору поручительства. Если банковская гарантия выдана, договор поручительства заключен на несколько отчетных периодов, то размер вознаграждения по ним указывается только в одном отчетном периоде.</w:t>
      </w:r>
    </w:p>
    <w:bookmarkStart w:id="942" w:name="P942"/>
    <w:bookmarkEnd w:id="942"/>
    <w:p>
      <w:pPr>
        <w:pStyle w:val="0"/>
        <w:spacing w:before="240" w:line-rule="auto"/>
        <w:ind w:firstLine="540"/>
        <w:jc w:val="both"/>
      </w:pPr>
      <w:r>
        <w:rPr>
          <w:sz w:val="24"/>
        </w:rPr>
        <w:t xml:space="preserve">&lt;47&gt; Указываются реквизиты банковской гарантии, договора поручительства, размер вознаграждения соответственно за выдачу, заключение которых указан в строке </w:t>
      </w:r>
      <w:hyperlink w:history="0" w:anchor="P846" w:tooltip="22">
        <w:r>
          <w:rPr>
            <w:sz w:val="24"/>
            <w:color w:val="0000ff"/>
          </w:rPr>
          <w:t xml:space="preserve">графы 22</w:t>
        </w:r>
      </w:hyperlink>
      <w:r>
        <w:rPr>
          <w:sz w:val="24"/>
        </w:rPr>
        <w:t xml:space="preserve">. В случае если в отчетный период выдавалось несколько банковских гарантий, заключалось несколько договоров поручительства, то построчно указываются все. Если банковская гарантия, договор поручительства выданы, заключены на несколько отчетных периодов, то они указываются только в одном отчетном периоде.</w:t>
      </w:r>
    </w:p>
    <w:bookmarkStart w:id="943" w:name="P943"/>
    <w:bookmarkEnd w:id="943"/>
    <w:p>
      <w:pPr>
        <w:pStyle w:val="0"/>
        <w:spacing w:before="240" w:line-rule="auto"/>
        <w:ind w:firstLine="540"/>
        <w:jc w:val="both"/>
      </w:pPr>
      <w:r>
        <w:rPr>
          <w:sz w:val="24"/>
        </w:rPr>
        <w:t xml:space="preserve">&lt;48&gt; Значение рассчитывается автоматически согласно формуле. Размер вычета с учетом вознаграждения по банковской гарантии, договору поручительства определяется как произведение размера вознаграждения </w:t>
      </w:r>
      <w:hyperlink w:history="0" w:anchor="P846" w:tooltip="22">
        <w:r>
          <w:rPr>
            <w:sz w:val="24"/>
            <w:color w:val="0000ff"/>
          </w:rPr>
          <w:t xml:space="preserve">(графа 22)</w:t>
        </w:r>
      </w:hyperlink>
      <w:r>
        <w:rPr>
          <w:sz w:val="24"/>
        </w:rPr>
        <w:t xml:space="preserve"> и массы отходов, в отношении которых выполнена самостоятельная утилизация </w:t>
      </w:r>
      <w:hyperlink w:history="0" w:anchor="P840" w:tooltip="16">
        <w:r>
          <w:rPr>
            <w:sz w:val="24"/>
            <w:color w:val="0000ff"/>
          </w:rPr>
          <w:t xml:space="preserve">(графа 16)</w:t>
        </w:r>
      </w:hyperlink>
      <w:r>
        <w:rPr>
          <w:sz w:val="24"/>
        </w:rPr>
        <w:t xml:space="preserve">, деленное на общую массу отходов, в отношении которых должна быть осуществлена самостоятельная утилизация (разница </w:t>
      </w:r>
      <w:hyperlink w:history="0" w:anchor="P802" w:tooltip="13">
        <w:r>
          <w:rPr>
            <w:sz w:val="24"/>
            <w:color w:val="0000ff"/>
          </w:rPr>
          <w:t xml:space="preserve">графы 13</w:t>
        </w:r>
      </w:hyperlink>
      <w:r>
        <w:rPr>
          <w:sz w:val="24"/>
        </w:rPr>
        <w:t xml:space="preserve"> и </w:t>
      </w:r>
      <w:hyperlink w:history="0" w:anchor="P803" w:tooltip="14">
        <w:r>
          <w:rPr>
            <w:sz w:val="24"/>
            <w:color w:val="0000ff"/>
          </w:rPr>
          <w:t xml:space="preserve">графы 14</w:t>
        </w:r>
      </w:hyperlink>
      <w:r>
        <w:rPr>
          <w:sz w:val="24"/>
        </w:rPr>
        <w:t xml:space="preserve">). При этом если рассчитанное значение вычета превышает сумму экологического сбора за отчетный период </w:t>
      </w:r>
      <w:hyperlink w:history="0" w:anchor="P845" w:tooltip="21">
        <w:r>
          <w:rPr>
            <w:sz w:val="24"/>
            <w:color w:val="0000ff"/>
          </w:rPr>
          <w:t xml:space="preserve">(графа 21)</w:t>
        </w:r>
      </w:hyperlink>
      <w:r>
        <w:rPr>
          <w:sz w:val="24"/>
        </w:rPr>
        <w:t xml:space="preserve">, умноженную на две трети ставки рефинансирования Центрального банка Российской Федерации, действовавшей на дату получения банковской гарантии или заключения договора поручительства </w:t>
      </w:r>
      <w:hyperlink w:history="0" w:anchor="P848" w:tooltip="24">
        <w:r>
          <w:rPr>
            <w:sz w:val="24"/>
            <w:color w:val="0000ff"/>
          </w:rPr>
          <w:t xml:space="preserve">(графа 24)</w:t>
        </w:r>
      </w:hyperlink>
      <w:r>
        <w:rPr>
          <w:sz w:val="24"/>
        </w:rPr>
        <w:t xml:space="preserve">, то указывается максимально допустимое значение вычета, рассчитанное как сумма экологического сбора за отчетный период </w:t>
      </w:r>
      <w:hyperlink w:history="0" w:anchor="P845" w:tooltip="21">
        <w:r>
          <w:rPr>
            <w:sz w:val="24"/>
            <w:color w:val="0000ff"/>
          </w:rPr>
          <w:t xml:space="preserve">(графа 21)</w:t>
        </w:r>
      </w:hyperlink>
      <w:r>
        <w:rPr>
          <w:sz w:val="24"/>
        </w:rPr>
        <w:t xml:space="preserve">, умноженная на две трети ставки рефинансирования Центрального банка Российской Федерации, действовавшей на дату получения банковской гарантии или заключения договора поручительства </w:t>
      </w:r>
      <w:hyperlink w:history="0" w:anchor="P848" w:tooltip="24">
        <w:r>
          <w:rPr>
            <w:sz w:val="24"/>
            <w:color w:val="0000ff"/>
          </w:rPr>
          <w:t xml:space="preserve">(графа 24)</w:t>
        </w:r>
      </w:hyperlink>
      <w:r>
        <w:rPr>
          <w:sz w:val="24"/>
        </w:rPr>
        <w:t xml:space="preserve">. В случае если банковская гарантия, договор поручительства соответственно выдавалась, заключался в отношении конкретной упаковки, группы упаковки, включающей одну позицию по упаковке, в соответствии с </w:t>
      </w:r>
      <w:r>
        <w:rPr>
          <w:sz w:val="24"/>
        </w:rPr>
        <w:t xml:space="preserve">разделом III</w:t>
      </w:r>
      <w:r>
        <w:rPr>
          <w:sz w:val="24"/>
        </w:rPr>
        <w:t xml:space="preserve"> перечня товаров, упаковки, а затем построчно указываются товарные позиции по товарам, упаковке из указанных перечней, сведения о которых указаны в строках </w:t>
      </w:r>
      <w:hyperlink w:history="0" w:anchor="P791" w:tooltip="2">
        <w:r>
          <w:rPr>
            <w:sz w:val="24"/>
            <w:color w:val="0000ff"/>
          </w:rPr>
          <w:t xml:space="preserve">граф 2</w:t>
        </w:r>
      </w:hyperlink>
      <w:r>
        <w:rPr>
          <w:sz w:val="24"/>
        </w:rPr>
        <w:t xml:space="preserve"> - </w:t>
      </w:r>
      <w:hyperlink w:history="0" w:anchor="P795" w:tooltip="6">
        <w:r>
          <w:rPr>
            <w:sz w:val="24"/>
            <w:color w:val="0000ff"/>
          </w:rPr>
          <w:t xml:space="preserve">6</w:t>
        </w:r>
      </w:hyperlink>
      <w:r>
        <w:rPr>
          <w:sz w:val="24"/>
        </w:rPr>
        <w:t xml:space="preserve">, размер вычета рассчитывается для соответствующей строки </w:t>
      </w:r>
      <w:hyperlink w:history="0" w:anchor="P849" w:tooltip="25">
        <w:r>
          <w:rPr>
            <w:sz w:val="24"/>
            <w:color w:val="0000ff"/>
          </w:rPr>
          <w:t xml:space="preserve">графы 25</w:t>
        </w:r>
      </w:hyperlink>
      <w:r>
        <w:rPr>
          <w:sz w:val="24"/>
        </w:rPr>
        <w:t xml:space="preserve">. Если банковская гарантия выдана, договор поручительства заключен на несколько позиций по упаковке, группу упаковки, состоящую из нескольких позиций по упаковке, несколько групп упаковки в соответствии с </w:t>
      </w:r>
      <w:r>
        <w:rPr>
          <w:sz w:val="24"/>
        </w:rPr>
        <w:t xml:space="preserve">разделом III</w:t>
      </w:r>
      <w:r>
        <w:rPr>
          <w:sz w:val="24"/>
        </w:rPr>
        <w:t xml:space="preserve"> перечня товаров, упаковки, а затем построчно указываются товарные позиции по товарам, упаковке из перечней товаров, упаковки, включенных в расчет, то размер вычета определяется по указанной формуле с использованием размера вознаграждения по банковской гарантии, договору поручительства, суммы масс отходов, в отношении которых выполнена самостоятельная утилизация (строки </w:t>
      </w:r>
      <w:hyperlink w:history="0" w:anchor="P840" w:tooltip="16">
        <w:r>
          <w:rPr>
            <w:sz w:val="24"/>
            <w:color w:val="0000ff"/>
          </w:rPr>
          <w:t xml:space="preserve">графы 16</w:t>
        </w:r>
      </w:hyperlink>
      <w:r>
        <w:rPr>
          <w:sz w:val="24"/>
        </w:rPr>
        <w:t xml:space="preserve">), суммы масс отходов, в отношении которых должна быть осуществлена самостоятельная утилизация (разница сумм строк </w:t>
      </w:r>
      <w:hyperlink w:history="0" w:anchor="P802" w:tooltip="13">
        <w:r>
          <w:rPr>
            <w:sz w:val="24"/>
            <w:color w:val="0000ff"/>
          </w:rPr>
          <w:t xml:space="preserve">графы 13</w:t>
        </w:r>
      </w:hyperlink>
      <w:r>
        <w:rPr>
          <w:sz w:val="24"/>
        </w:rPr>
        <w:t xml:space="preserve"> и сумм строк </w:t>
      </w:r>
      <w:hyperlink w:history="0" w:anchor="P803" w:tooltip="14">
        <w:r>
          <w:rPr>
            <w:sz w:val="24"/>
            <w:color w:val="0000ff"/>
          </w:rPr>
          <w:t xml:space="preserve">графы 14</w:t>
        </w:r>
      </w:hyperlink>
      <w:r>
        <w:rPr>
          <w:sz w:val="24"/>
        </w:rPr>
        <w:t xml:space="preserve">) и суммы строк </w:t>
      </w:r>
      <w:hyperlink w:history="0" w:anchor="P845" w:tooltip="21">
        <w:r>
          <w:rPr>
            <w:sz w:val="24"/>
            <w:color w:val="0000ff"/>
          </w:rPr>
          <w:t xml:space="preserve">графы 21</w:t>
        </w:r>
      </w:hyperlink>
      <w:r>
        <w:rPr>
          <w:sz w:val="24"/>
        </w:rPr>
        <w:t xml:space="preserve"> (сумма экологического сбора за отчетный период) по позициям по упаковке в соответствии с </w:t>
      </w:r>
      <w:r>
        <w:rPr>
          <w:sz w:val="24"/>
        </w:rPr>
        <w:t xml:space="preserve">разделом III</w:t>
      </w:r>
      <w:r>
        <w:rPr>
          <w:sz w:val="24"/>
        </w:rPr>
        <w:t xml:space="preserve"> перечней товаров, упаковки, а затем построчно указываются товарные позиции по товарам, упаковке из указанных перечней, в отношении которых выдана банковская гарантия, заключен договор поручительства. При этом полученный размер вычета с учетом вознаграждения по банковской гарантии, договору поручительства распределяется по строкам </w:t>
      </w:r>
      <w:hyperlink w:history="0" w:anchor="P849" w:tooltip="25">
        <w:r>
          <w:rPr>
            <w:sz w:val="24"/>
            <w:color w:val="0000ff"/>
          </w:rPr>
          <w:t xml:space="preserve">графы 25</w:t>
        </w:r>
      </w:hyperlink>
      <w:r>
        <w:rPr>
          <w:sz w:val="24"/>
        </w:rPr>
        <w:t xml:space="preserve"> позиций по упаковке в соответствии с </w:t>
      </w:r>
      <w:r>
        <w:rPr>
          <w:sz w:val="24"/>
        </w:rPr>
        <w:t xml:space="preserve">разделом III</w:t>
      </w:r>
      <w:r>
        <w:rPr>
          <w:sz w:val="24"/>
        </w:rPr>
        <w:t xml:space="preserve"> перечня товаров, упаковки, а затем построчно указываются товарные позиции по товарам, упаковке из перечней товаров, упаковки, в отношении которых выдана банковская гарантия, заключен договор поручительства, пропорционально значению массы отходов, в отношении которых выполнена самостоятельная утилизация </w:t>
      </w:r>
      <w:hyperlink w:history="0" w:anchor="P840" w:tooltip="16">
        <w:r>
          <w:rPr>
            <w:sz w:val="24"/>
            <w:color w:val="0000ff"/>
          </w:rPr>
          <w:t xml:space="preserve">(графа 16)</w:t>
        </w:r>
      </w:hyperlink>
      <w:r>
        <w:rPr>
          <w:sz w:val="24"/>
        </w:rPr>
        <w:t xml:space="preserve">, к сумме массы отходов, в отношении которых выполнена самостоятельная утилизация (строки </w:t>
      </w:r>
      <w:hyperlink w:history="0" w:anchor="P840" w:tooltip="16">
        <w:r>
          <w:rPr>
            <w:sz w:val="24"/>
            <w:color w:val="0000ff"/>
          </w:rPr>
          <w:t xml:space="preserve">графы 16</w:t>
        </w:r>
      </w:hyperlink>
      <w:r>
        <w:rPr>
          <w:sz w:val="24"/>
        </w:rPr>
        <w:t xml:space="preserve">) по указанным позициям по упаковке. Если банковская гарантия выдавалась, договор поручительства заключался на товары и упаковку, то расчет вычета производится только в одной из таблиц.</w:t>
      </w:r>
    </w:p>
    <w:p>
      <w:pPr>
        <w:pStyle w:val="0"/>
        <w:spacing w:before="240" w:line-rule="auto"/>
        <w:ind w:firstLine="540"/>
        <w:jc w:val="both"/>
      </w:pPr>
      <w:r>
        <w:rPr>
          <w:sz w:val="24"/>
        </w:rPr>
        <w:t xml:space="preserve">В случае наличия нескольких банковских гарантий и (или) договоров поручительства по одной позиции по упаковке для расчета максимально допустимого значения вычета используется среднее арифметическое значение ставок рефинансирования Центрального банка Российской Федерации, действовавших на день получения банковской гарантии или заключения договора поручительства (строки </w:t>
      </w:r>
      <w:hyperlink w:history="0" w:anchor="P848" w:tooltip="24">
        <w:r>
          <w:rPr>
            <w:sz w:val="24"/>
            <w:color w:val="0000ff"/>
          </w:rPr>
          <w:t xml:space="preserve">графы 24</w:t>
        </w:r>
      </w:hyperlink>
      <w:r>
        <w:rPr>
          <w:sz w:val="24"/>
        </w:rPr>
        <w:t xml:space="preserve">), и в формуле расчета используется сумма размеров вознаграждения по всем банковским гарантиям и (или) договорам поручительства по указанной позиции по упаковке (строки </w:t>
      </w:r>
      <w:hyperlink w:history="0" w:anchor="P846" w:tooltip="22">
        <w:r>
          <w:rPr>
            <w:sz w:val="24"/>
            <w:color w:val="0000ff"/>
          </w:rPr>
          <w:t xml:space="preserve">графы 22</w:t>
        </w:r>
      </w:hyperlink>
      <w:r>
        <w:rPr>
          <w:sz w:val="24"/>
        </w:rPr>
        <w:t xml:space="preserve">).</w:t>
      </w:r>
    </w:p>
    <w:bookmarkStart w:id="945" w:name="P945"/>
    <w:bookmarkEnd w:id="945"/>
    <w:p>
      <w:pPr>
        <w:pStyle w:val="0"/>
        <w:spacing w:before="240" w:line-rule="auto"/>
        <w:ind w:firstLine="540"/>
        <w:jc w:val="both"/>
      </w:pPr>
      <w:r>
        <w:rPr>
          <w:sz w:val="24"/>
        </w:rPr>
        <w:t xml:space="preserve">&lt;49&gt; Указывается сумма экологического сбора, подлежащая уплате с учетом вычета размера вознаграждения, которая определяется как разница суммы экологического сбора, подлежащей уплате </w:t>
      </w:r>
      <w:hyperlink w:history="0" w:anchor="P845" w:tooltip="21">
        <w:r>
          <w:rPr>
            <w:sz w:val="24"/>
            <w:color w:val="0000ff"/>
          </w:rPr>
          <w:t xml:space="preserve">(графа 21)</w:t>
        </w:r>
      </w:hyperlink>
      <w:r>
        <w:rPr>
          <w:sz w:val="24"/>
        </w:rPr>
        <w:t xml:space="preserve">, и размера вычета с учетом вознаграждения по банковской гарантии, договору поручительства </w:t>
      </w:r>
      <w:hyperlink w:history="0" w:anchor="P849" w:tooltip="25">
        <w:r>
          <w:rPr>
            <w:sz w:val="24"/>
            <w:color w:val="0000ff"/>
          </w:rPr>
          <w:t xml:space="preserve">(графа 25)</w:t>
        </w:r>
      </w:hyperlink>
      <w:r>
        <w:rPr>
          <w:sz w:val="24"/>
        </w:rPr>
        <w:t xml:space="preserve">.</w:t>
      </w:r>
    </w:p>
    <w:bookmarkStart w:id="946" w:name="P946"/>
    <w:bookmarkEnd w:id="946"/>
    <w:p>
      <w:pPr>
        <w:pStyle w:val="0"/>
        <w:spacing w:before="240" w:line-rule="auto"/>
        <w:ind w:firstLine="540"/>
        <w:jc w:val="both"/>
      </w:pPr>
      <w:r>
        <w:rPr>
          <w:sz w:val="24"/>
        </w:rPr>
        <w:t xml:space="preserve">&lt;50&gt; Указывается значение, определяемое как разность всех сумм экологического сбора, подлежащая уплате с учетом вычета (строки </w:t>
      </w:r>
      <w:hyperlink w:history="0" w:anchor="P850" w:tooltip="26">
        <w:r>
          <w:rPr>
            <w:sz w:val="24"/>
            <w:color w:val="0000ff"/>
          </w:rPr>
          <w:t xml:space="preserve">графы 26</w:t>
        </w:r>
      </w:hyperlink>
      <w:r>
        <w:rPr>
          <w:sz w:val="24"/>
        </w:rPr>
        <w:t xml:space="preserve">), и суммы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w:t>
      </w:r>
      <w:hyperlink w:history="0" w:anchor="P866" w:tooltip="2.1. Сумма излишне уплаченного (взысканного) экологического сбора, в отношении которой принято решение о зачете в счет предстоящих платежей по экологическому сбору, рублей &lt;32&gt; __________________________________________________________">
        <w:r>
          <w:rPr>
            <w:sz w:val="24"/>
            <w:color w:val="0000ff"/>
          </w:rPr>
          <w:t xml:space="preserve">(пункт 2.1)</w:t>
        </w:r>
      </w:hyperlink>
      <w:r>
        <w:rPr>
          <w:sz w:val="24"/>
        </w:rPr>
        <w:t xml:space="preserve">. </w:t>
      </w:r>
      <w:hyperlink w:history="0" w:anchor="P868" w:tooltip="2.3. Итоговая сумма экологического сбора, подлежащая уплате, рублей &lt;50&gt; ____________________________________________">
        <w:r>
          <w:rPr>
            <w:sz w:val="24"/>
            <w:color w:val="0000ff"/>
          </w:rPr>
          <w:t xml:space="preserve">Пункт 2.3</w:t>
        </w:r>
      </w:hyperlink>
      <w:r>
        <w:rPr>
          <w:sz w:val="24"/>
        </w:rPr>
        <w:t xml:space="preserve"> заполняется автоматически при использовании интерактивных форм отчетности.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435"/>
        <w:gridCol w:w="405"/>
        <w:gridCol w:w="5222"/>
      </w:tblGrid>
      <w:tr>
        <w:tc>
          <w:tcPr>
            <w:tcW w:w="3435" w:type="dxa"/>
            <w:tcBorders>
              <w:top w:val="nil"/>
              <w:left w:val="nil"/>
              <w:bottom w:val="nil"/>
              <w:right w:val="nil"/>
            </w:tcBorders>
          </w:tcPr>
          <w:p>
            <w:pPr>
              <w:pStyle w:val="0"/>
            </w:pPr>
            <w:r>
              <w:rPr>
                <w:sz w:val="24"/>
              </w:rPr>
            </w:r>
          </w:p>
        </w:tc>
        <w:tc>
          <w:tcPr>
            <w:gridSpan w:val="2"/>
            <w:tcW w:w="5627" w:type="dxa"/>
            <w:tcBorders>
              <w:top w:val="nil"/>
              <w:left w:val="nil"/>
              <w:bottom w:val="nil"/>
              <w:right w:val="nil"/>
            </w:tcBorders>
          </w:tcPr>
          <w:p>
            <w:pPr>
              <w:pStyle w:val="0"/>
            </w:pPr>
            <w:r>
              <w:rPr>
                <w:sz w:val="24"/>
              </w:rPr>
              <w:t xml:space="preserve">В Федеральную службу по надзору</w:t>
            </w:r>
          </w:p>
          <w:p>
            <w:pPr>
              <w:pStyle w:val="0"/>
            </w:pPr>
            <w:r>
              <w:rPr>
                <w:sz w:val="24"/>
              </w:rPr>
              <w:t xml:space="preserve">в сфере природопользования</w:t>
            </w:r>
          </w:p>
        </w:tc>
      </w:tr>
      <w:tr>
        <w:tc>
          <w:tcPr>
            <w:tcW w:w="3435" w:type="dxa"/>
            <w:tcBorders>
              <w:top w:val="nil"/>
              <w:left w:val="nil"/>
              <w:bottom w:val="nil"/>
              <w:right w:val="nil"/>
            </w:tcBorders>
          </w:tcPr>
          <w:p>
            <w:pPr>
              <w:pStyle w:val="0"/>
            </w:pPr>
            <w:r>
              <w:rPr>
                <w:sz w:val="24"/>
              </w:rPr>
            </w:r>
          </w:p>
        </w:tc>
        <w:tc>
          <w:tcPr>
            <w:tcW w:w="405" w:type="dxa"/>
            <w:vAlign w:val="bottom"/>
            <w:tcBorders>
              <w:top w:val="nil"/>
              <w:left w:val="nil"/>
              <w:bottom w:val="nil"/>
              <w:right w:val="nil"/>
            </w:tcBorders>
          </w:tcPr>
          <w:p>
            <w:pPr>
              <w:pStyle w:val="0"/>
            </w:pPr>
            <w:r>
              <w:rPr>
                <w:sz w:val="24"/>
              </w:rPr>
              <w:t xml:space="preserve">от</w:t>
            </w:r>
          </w:p>
        </w:tc>
        <w:tc>
          <w:tcPr>
            <w:tcW w:w="5222" w:type="dxa"/>
            <w:tcBorders>
              <w:top w:val="nil"/>
              <w:left w:val="nil"/>
              <w:bottom w:val="single" w:sz="4"/>
              <w:right w:val="nil"/>
            </w:tcBorders>
          </w:tcPr>
          <w:p>
            <w:pPr>
              <w:pStyle w:val="0"/>
              <w:jc w:val="both"/>
            </w:pPr>
            <w:r>
              <w:rPr>
                <w:sz w:val="24"/>
              </w:rPr>
            </w:r>
          </w:p>
        </w:tc>
      </w:tr>
      <w:tr>
        <w:tc>
          <w:tcPr>
            <w:tcW w:w="3435" w:type="dxa"/>
            <w:tcBorders>
              <w:top w:val="nil"/>
              <w:left w:val="nil"/>
              <w:bottom w:val="nil"/>
              <w:right w:val="nil"/>
            </w:tcBorders>
          </w:tcPr>
          <w:p>
            <w:pPr>
              <w:pStyle w:val="0"/>
            </w:pPr>
            <w:r>
              <w:rPr>
                <w:sz w:val="24"/>
              </w:rPr>
            </w:r>
          </w:p>
        </w:tc>
        <w:tc>
          <w:tcPr>
            <w:tcW w:w="405" w:type="dxa"/>
            <w:tcBorders>
              <w:top w:val="nil"/>
              <w:left w:val="nil"/>
              <w:bottom w:val="nil"/>
              <w:right w:val="nil"/>
            </w:tcBorders>
          </w:tcPr>
          <w:p>
            <w:pPr>
              <w:pStyle w:val="0"/>
              <w:jc w:val="center"/>
            </w:pPr>
            <w:r>
              <w:rPr>
                <w:sz w:val="24"/>
              </w:rPr>
            </w:r>
          </w:p>
        </w:tc>
        <w:tc>
          <w:tcPr>
            <w:tcW w:w="5222" w:type="dxa"/>
            <w:tcBorders>
              <w:top w:val="single" w:sz="4"/>
              <w:left w:val="nil"/>
              <w:bottom w:val="nil"/>
              <w:right w:val="nil"/>
            </w:tcBorders>
          </w:tcPr>
          <w:p>
            <w:pPr>
              <w:pStyle w:val="0"/>
              <w:jc w:val="center"/>
            </w:pPr>
            <w:r>
              <w:rPr>
                <w:sz w:val="24"/>
              </w:rPr>
              <w:t xml:space="preserve">(указывается полное наименование,</w:t>
            </w:r>
          </w:p>
          <w:p>
            <w:pPr>
              <w:pStyle w:val="0"/>
              <w:jc w:val="center"/>
            </w:pPr>
            <w:r>
              <w:rPr>
                <w:sz w:val="24"/>
              </w:rPr>
              <w:t xml:space="preserve">организационно-правовая форма,</w:t>
            </w:r>
          </w:p>
          <w:p>
            <w:pPr>
              <w:pStyle w:val="0"/>
              <w:jc w:val="center"/>
            </w:pPr>
            <w:r>
              <w:rPr>
                <w:sz w:val="24"/>
              </w:rPr>
              <w:t xml:space="preserve">идентификационный номер налогоплательщика,</w:t>
            </w:r>
          </w:p>
          <w:p>
            <w:pPr>
              <w:pStyle w:val="0"/>
              <w:jc w:val="center"/>
            </w:pPr>
            <w:r>
              <w:rPr>
                <w:sz w:val="24"/>
              </w:rPr>
              <w:t xml:space="preserve">код причины постановки на учет,</w:t>
            </w:r>
          </w:p>
          <w:p>
            <w:pPr>
              <w:pStyle w:val="0"/>
              <w:jc w:val="center"/>
            </w:pPr>
            <w:r>
              <w:rPr>
                <w:sz w:val="24"/>
              </w:rPr>
              <w:t xml:space="preserve">адрес места нахождения юридического лица</w:t>
            </w:r>
          </w:p>
        </w:tc>
      </w:tr>
      <w:tr>
        <w:tc>
          <w:tcPr>
            <w:tcW w:w="3435" w:type="dxa"/>
            <w:tcBorders>
              <w:top w:val="nil"/>
              <w:left w:val="nil"/>
              <w:bottom w:val="nil"/>
              <w:right w:val="nil"/>
            </w:tcBorders>
          </w:tcPr>
          <w:p>
            <w:pPr>
              <w:pStyle w:val="0"/>
            </w:pPr>
            <w:r>
              <w:rPr>
                <w:sz w:val="24"/>
              </w:rPr>
            </w:r>
          </w:p>
        </w:tc>
        <w:tc>
          <w:tcPr>
            <w:gridSpan w:val="2"/>
            <w:tcW w:w="5627" w:type="dxa"/>
            <w:tcBorders>
              <w:top w:val="nil"/>
              <w:left w:val="nil"/>
              <w:bottom w:val="single" w:sz="4"/>
              <w:right w:val="nil"/>
            </w:tcBorders>
          </w:tcPr>
          <w:p>
            <w:pPr>
              <w:pStyle w:val="0"/>
              <w:jc w:val="center"/>
            </w:pPr>
            <w:r>
              <w:rPr>
                <w:sz w:val="24"/>
              </w:rPr>
            </w:r>
          </w:p>
        </w:tc>
      </w:tr>
      <w:tr>
        <w:tc>
          <w:tcPr>
            <w:tcW w:w="3435" w:type="dxa"/>
            <w:tcBorders>
              <w:top w:val="nil"/>
              <w:left w:val="nil"/>
              <w:bottom w:val="nil"/>
              <w:right w:val="nil"/>
            </w:tcBorders>
          </w:tcPr>
          <w:p>
            <w:pPr>
              <w:pStyle w:val="0"/>
            </w:pPr>
            <w:r>
              <w:rPr>
                <w:sz w:val="24"/>
              </w:rPr>
            </w:r>
          </w:p>
        </w:tc>
        <w:tc>
          <w:tcPr>
            <w:gridSpan w:val="2"/>
            <w:tcW w:w="5627" w:type="dxa"/>
            <w:tcBorders>
              <w:top w:val="single" w:sz="4"/>
              <w:left w:val="nil"/>
              <w:bottom w:val="nil"/>
              <w:right w:val="nil"/>
            </w:tcBorders>
          </w:tcPr>
          <w:p>
            <w:pPr>
              <w:pStyle w:val="0"/>
              <w:jc w:val="center"/>
            </w:pPr>
            <w:r>
              <w:rPr>
                <w:sz w:val="24"/>
              </w:rPr>
              <w:t xml:space="preserve">либо инициалы, фамилия,</w:t>
            </w:r>
          </w:p>
          <w:p>
            <w:pPr>
              <w:pStyle w:val="0"/>
              <w:jc w:val="center"/>
            </w:pPr>
            <w:r>
              <w:rPr>
                <w:sz w:val="24"/>
              </w:rPr>
              <w:t xml:space="preserve">идентификационный номер налогоплательщика,</w:t>
            </w:r>
          </w:p>
          <w:p>
            <w:pPr>
              <w:pStyle w:val="0"/>
              <w:jc w:val="center"/>
            </w:pPr>
            <w:r>
              <w:rPr>
                <w:sz w:val="24"/>
              </w:rPr>
              <w:t xml:space="preserve">адрес места жительства физического лица) </w:t>
            </w:r>
            <w:hyperlink w:history="0" w:anchor="P997" w:tooltip="&lt;1&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4"/>
                  <w:color w:val="0000ff"/>
                </w:rPr>
                <w:t xml:space="preserve">&lt;1&gt;</w:t>
              </w:r>
            </w:hyperlink>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bookmarkStart w:id="978" w:name="P978"/>
          <w:bookmarkEnd w:id="978"/>
          <w:p>
            <w:pPr>
              <w:pStyle w:val="0"/>
              <w:jc w:val="center"/>
            </w:pPr>
            <w:r>
              <w:rPr>
                <w:sz w:val="24"/>
              </w:rPr>
              <w:t xml:space="preserve">ЗАЯВЛЕНИЕ</w:t>
            </w:r>
          </w:p>
          <w:p>
            <w:pPr>
              <w:pStyle w:val="0"/>
              <w:jc w:val="center"/>
            </w:pPr>
            <w:r>
              <w:rPr>
                <w:sz w:val="24"/>
              </w:rPr>
              <w:t xml:space="preserve">о проведении совместной сверки расчетов суммы экологического сбора</w:t>
            </w:r>
          </w:p>
        </w:tc>
      </w:tr>
    </w:tbl>
    <w:p>
      <w:pPr>
        <w:pStyle w:val="0"/>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ind w:firstLine="283"/>
              <w:jc w:val="both"/>
            </w:pPr>
            <w:r>
              <w:rPr>
                <w:sz w:val="24"/>
              </w:rPr>
              <w:t xml:space="preserve">В соответствии с </w:t>
            </w:r>
            <w:hyperlink w:history="0" w:anchor="P74" w:tooltip="14. В случае выявления факта завышения размера исчисленного и (или) уплаченного экологического сбора производителем товаров или импортером товаров указанные лица вправе обратиться в Федеральную службу по надзору в сфере природопользования (ее территориальный орган) с заявлением о проведении совместной сверки расчетов суммы экологического сбора по форме согласно приложению N 4.">
              <w:r>
                <w:rPr>
                  <w:sz w:val="24"/>
                  <w:color w:val="0000ff"/>
                </w:rPr>
                <w:t xml:space="preserve">пунктом 14</w:t>
              </w:r>
            </w:hyperlink>
            <w:r>
              <w:rPr>
                <w:sz w:val="24"/>
              </w:rPr>
              <w:t xml:space="preserve"> Правил взимания экологического сбора, утвержденных постановлением Правительства Российской Федерации от 30 декабря 2024 г. N 1990 "О порядке взимания экологического сбора", прошу провести сверку расчетов уплаченных сумм взимания экологического сбора.</w:t>
            </w:r>
          </w:p>
          <w:p>
            <w:pPr>
              <w:pStyle w:val="0"/>
              <w:ind w:firstLine="283"/>
              <w:jc w:val="both"/>
            </w:pPr>
            <w:r>
              <w:rPr>
                <w:sz w:val="24"/>
              </w:rPr>
              <w:t xml:space="preserve">К настоящему заявлению прилагаются следующие документы </w:t>
            </w:r>
            <w:hyperlink w:history="0" w:anchor="P998" w:tooltip="&lt;2&gt; К заявлению о проведении совместной сверки расчетов суммы экологического сбора плательщиком прикладываются копии документов, предусмотренных абзацем вторым пункта 14 Правил взимания экологического сбора, утвержденных постановлением Правительства Российской Федерации от 30 декабря 2024 г. N 1990 &quot;О порядке взимания экологического сбора&quot;.">
              <w:r>
                <w:rPr>
                  <w:sz w:val="24"/>
                  <w:color w:val="0000ff"/>
                </w:rPr>
                <w:t xml:space="preserve">&lt;2&gt;</w:t>
              </w:r>
            </w:hyperlink>
            <w:r>
              <w:rPr>
                <w:sz w:val="24"/>
              </w:rPr>
              <w:t xml:space="preserve">:</w:t>
            </w:r>
          </w:p>
          <w:p>
            <w:pPr>
              <w:pStyle w:val="0"/>
            </w:pPr>
            <w:r>
              <w:rPr>
                <w:sz w:val="24"/>
              </w:rPr>
              <w:t xml:space="preserve">1. _______________________________________________________________________</w:t>
            </w:r>
          </w:p>
          <w:p>
            <w:pPr>
              <w:pStyle w:val="0"/>
            </w:pPr>
            <w:r>
              <w:rPr>
                <w:sz w:val="24"/>
              </w:rPr>
              <w:t xml:space="preserve">2. _______________________________________________________________________</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370"/>
        <w:gridCol w:w="340"/>
        <w:gridCol w:w="3350"/>
      </w:tblGrid>
      <w:tr>
        <w:tblPrEx>
          <w:tblBorders>
            <w:insideH w:val="single" w:sz="4"/>
          </w:tblBorders>
        </w:tblPrEx>
        <w:tc>
          <w:tcPr>
            <w:tcW w:w="537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50" w:type="dxa"/>
            <w:tcBorders>
              <w:top w:val="nil"/>
              <w:left w:val="nil"/>
              <w:bottom w:val="single" w:sz="4"/>
              <w:right w:val="nil"/>
            </w:tcBorders>
          </w:tcPr>
          <w:p>
            <w:pPr>
              <w:pStyle w:val="0"/>
            </w:pPr>
            <w:r>
              <w:rPr>
                <w:sz w:val="24"/>
              </w:rPr>
            </w:r>
          </w:p>
        </w:tc>
      </w:tr>
      <w:tr>
        <w:tc>
          <w:tcPr>
            <w:tcW w:w="5370" w:type="dxa"/>
            <w:tcBorders>
              <w:top w:val="single" w:sz="4"/>
              <w:left w:val="nil"/>
              <w:bottom w:val="nil"/>
              <w:right w:val="nil"/>
            </w:tcBorders>
          </w:tcPr>
          <w:p>
            <w:pPr>
              <w:pStyle w:val="0"/>
              <w:jc w:val="center"/>
            </w:pPr>
            <w:r>
              <w:rPr>
                <w:sz w:val="24"/>
              </w:rPr>
              <w:t xml:space="preserve">(подпись руководителя юридического лица или лица, уполномоченного от имени юридического лица, либо физического лица)</w:t>
            </w:r>
          </w:p>
        </w:tc>
        <w:tc>
          <w:tcPr>
            <w:tcW w:w="340" w:type="dxa"/>
            <w:tcBorders>
              <w:top w:val="nil"/>
              <w:left w:val="nil"/>
              <w:bottom w:val="nil"/>
              <w:right w:val="nil"/>
            </w:tcBorders>
          </w:tcPr>
          <w:p>
            <w:pPr>
              <w:pStyle w:val="0"/>
            </w:pPr>
            <w:r>
              <w:rPr>
                <w:sz w:val="24"/>
              </w:rPr>
            </w:r>
          </w:p>
        </w:tc>
        <w:tc>
          <w:tcPr>
            <w:tcW w:w="3350" w:type="dxa"/>
            <w:tcBorders>
              <w:top w:val="single" w:sz="4"/>
              <w:left w:val="nil"/>
              <w:bottom w:val="nil"/>
              <w:right w:val="nil"/>
            </w:tcBorders>
          </w:tcPr>
          <w:p>
            <w:pPr>
              <w:pStyle w:val="0"/>
              <w:jc w:val="center"/>
            </w:pPr>
            <w:r>
              <w:rPr>
                <w:sz w:val="24"/>
              </w:rPr>
              <w:t xml:space="preserve">(инициалы, фамилия)</w:t>
            </w:r>
          </w:p>
        </w:tc>
      </w:tr>
      <w:tr>
        <w:tc>
          <w:tcPr>
            <w:tcW w:w="5370" w:type="dxa"/>
            <w:tcBorders>
              <w:top w:val="nil"/>
              <w:left w:val="nil"/>
              <w:bottom w:val="nil"/>
              <w:right w:val="nil"/>
            </w:tcBorders>
          </w:tcPr>
          <w:p>
            <w:pPr>
              <w:pStyle w:val="0"/>
            </w:pPr>
            <w:r>
              <w:rPr>
                <w:sz w:val="24"/>
              </w:rPr>
              <w:t xml:space="preserve">"__" ____________ 20__ г.</w:t>
            </w:r>
          </w:p>
        </w:tc>
        <w:tc>
          <w:tcPr>
            <w:tcW w:w="340" w:type="dxa"/>
            <w:tcBorders>
              <w:top w:val="nil"/>
              <w:left w:val="nil"/>
              <w:bottom w:val="nil"/>
              <w:right w:val="nil"/>
            </w:tcBorders>
          </w:tcPr>
          <w:p>
            <w:pPr>
              <w:pStyle w:val="0"/>
            </w:pPr>
            <w:r>
              <w:rPr>
                <w:sz w:val="24"/>
              </w:rPr>
            </w:r>
          </w:p>
        </w:tc>
        <w:tc>
          <w:tcPr>
            <w:tcW w:w="3350"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997" w:name="P997"/>
    <w:bookmarkEnd w:id="997"/>
    <w:p>
      <w:pPr>
        <w:pStyle w:val="0"/>
        <w:spacing w:before="240" w:line-rule="auto"/>
        <w:ind w:firstLine="540"/>
        <w:jc w:val="both"/>
      </w:pPr>
      <w:r>
        <w:rPr>
          <w:sz w:val="24"/>
        </w:rPr>
        <w:t xml:space="preserve">&lt;1&gt;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998" w:name="P998"/>
    <w:bookmarkEnd w:id="998"/>
    <w:p>
      <w:pPr>
        <w:pStyle w:val="0"/>
        <w:spacing w:before="240" w:line-rule="auto"/>
        <w:ind w:firstLine="540"/>
        <w:jc w:val="both"/>
      </w:pPr>
      <w:r>
        <w:rPr>
          <w:sz w:val="24"/>
        </w:rPr>
        <w:t xml:space="preserve">&lt;2&gt; К заявлению о проведении совместной сверки расчетов суммы экологического сбора плательщиком прикладываются копии документов, предусмотренных </w:t>
      </w:r>
      <w:hyperlink w:history="0" w:anchor="P75" w:tooltip="К заявлению о проведении совместной сверки расчетов суммы экологического сбора плательщиком прилагаются копии документов, подтверждающих факт вывоза из Российской Федерации товаров, упаковки, товаров в упаковке согласно перечню товаров, упаковки, в случае вывоза из Российской Федерации товаров, упаковки за пределами отчетного периода, за который был уплачен экологический сбор (при наличии), копии документов, подтверждающих использование товаров, ввезенных из государств, не являющихся членами Евразийского...">
        <w:r>
          <w:rPr>
            <w:sz w:val="24"/>
            <w:color w:val="0000ff"/>
          </w:rPr>
          <w:t xml:space="preserve">абзацем вторым пункта 14</w:t>
        </w:r>
      </w:hyperlink>
      <w:r>
        <w:rPr>
          <w:sz w:val="24"/>
        </w:rPr>
        <w:t xml:space="preserve"> Правил взимания экологического сбора, утвержденных постановлением Правительства Российской Федерации от 30 декабря 2024 г. N 1990 "О порядке взимания экологического сбора".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bookmarkStart w:id="1010" w:name="P1010"/>
          <w:bookmarkEnd w:id="1010"/>
          <w:p>
            <w:pPr>
              <w:pStyle w:val="0"/>
              <w:jc w:val="center"/>
            </w:pPr>
            <w:r>
              <w:rPr>
                <w:sz w:val="24"/>
              </w:rPr>
              <w:t xml:space="preserve">АКТ</w:t>
            </w:r>
          </w:p>
          <w:p>
            <w:pPr>
              <w:pStyle w:val="0"/>
              <w:jc w:val="center"/>
            </w:pPr>
            <w:r>
              <w:rPr>
                <w:sz w:val="24"/>
              </w:rPr>
              <w:t xml:space="preserve">совместной сверки расчетов суммы экологического сбора между Федеральной службой по надзору в сфере природопользования и __________________________________________________________________</w:t>
            </w:r>
          </w:p>
          <w:p>
            <w:pPr>
              <w:pStyle w:val="0"/>
              <w:jc w:val="center"/>
            </w:pPr>
            <w:r>
              <w:rPr>
                <w:sz w:val="24"/>
              </w:rPr>
              <w:t xml:space="preserve">(указывается полное наименование юридического лица либо инициалы,</w:t>
            </w:r>
          </w:p>
          <w:p>
            <w:pPr>
              <w:pStyle w:val="0"/>
              <w:jc w:val="center"/>
            </w:pPr>
            <w:r>
              <w:rPr>
                <w:sz w:val="24"/>
              </w:rPr>
              <w:t xml:space="preserve">фамилия физического лица)</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jc w:val="center"/>
            </w:pPr>
            <w:r>
              <w:rPr>
                <w:sz w:val="24"/>
              </w:rPr>
              <w:t xml:space="preserve">Код бюджетной классификации: 048 1 12 08010 01 6000 120</w:t>
            </w:r>
          </w:p>
          <w:p>
            <w:pPr>
              <w:pStyle w:val="0"/>
              <w:jc w:val="center"/>
            </w:pPr>
            <w:r>
              <w:rPr>
                <w:sz w:val="24"/>
              </w:rPr>
              <w:t xml:space="preserve">за период с "__" _________ 20__ г. по "__" _________ 20__ г.</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35"/>
        <w:gridCol w:w="3945"/>
        <w:gridCol w:w="340"/>
        <w:gridCol w:w="340"/>
        <w:gridCol w:w="4005"/>
      </w:tblGrid>
      <w:tr>
        <w:tc>
          <w:tcPr>
            <w:gridSpan w:val="2"/>
            <w:tcW w:w="4380" w:type="dxa"/>
            <w:tcBorders>
              <w:top w:val="nil"/>
              <w:left w:val="nil"/>
              <w:bottom w:val="nil"/>
              <w:right w:val="nil"/>
            </w:tcBorders>
          </w:tcPr>
          <w:p>
            <w:pPr>
              <w:pStyle w:val="0"/>
              <w:jc w:val="center"/>
            </w:pPr>
            <w:r>
              <w:rPr>
                <w:sz w:val="24"/>
              </w:rPr>
              <w:t xml:space="preserve">Федеральная служба по надзору в сфере природопользования</w:t>
            </w:r>
          </w:p>
        </w:tc>
        <w:tc>
          <w:tcPr>
            <w:tcW w:w="340" w:type="dxa"/>
            <w:tcBorders>
              <w:top w:val="nil"/>
              <w:left w:val="nil"/>
              <w:bottom w:val="nil"/>
              <w:right w:val="nil"/>
            </w:tcBorders>
          </w:tcPr>
          <w:p>
            <w:pPr>
              <w:pStyle w:val="0"/>
            </w:pPr>
            <w:r>
              <w:rPr>
                <w:sz w:val="24"/>
              </w:rPr>
            </w:r>
          </w:p>
        </w:tc>
        <w:tc>
          <w:tcPr>
            <w:gridSpan w:val="2"/>
            <w:tcW w:w="4345" w:type="dxa"/>
            <w:tcBorders>
              <w:top w:val="nil"/>
              <w:left w:val="nil"/>
              <w:bottom w:val="single" w:sz="4"/>
              <w:right w:val="nil"/>
            </w:tcBorders>
          </w:tcPr>
          <w:p>
            <w:pPr>
              <w:pStyle w:val="0"/>
            </w:pPr>
            <w:r>
              <w:rPr>
                <w:sz w:val="24"/>
              </w:rPr>
            </w:r>
          </w:p>
        </w:tc>
      </w:tr>
      <w:tr>
        <w:tc>
          <w:tcPr>
            <w:gridSpan w:val="2"/>
            <w:tcW w:w="438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4345" w:type="dxa"/>
            <w:tcBorders>
              <w:top w:val="single" w:sz="4"/>
              <w:left w:val="nil"/>
              <w:bottom w:val="nil"/>
              <w:right w:val="nil"/>
            </w:tcBorders>
          </w:tcPr>
          <w:p>
            <w:pPr>
              <w:pStyle w:val="0"/>
              <w:jc w:val="center"/>
            </w:pPr>
            <w:r>
              <w:rPr>
                <w:sz w:val="24"/>
              </w:rPr>
              <w:t xml:space="preserve">(наименование организации)</w:t>
            </w:r>
          </w:p>
        </w:tc>
      </w:tr>
      <w:tr>
        <w:tc>
          <w:tcPr>
            <w:gridSpan w:val="2"/>
            <w:tcW w:w="4380" w:type="dxa"/>
            <w:tcBorders>
              <w:top w:val="nil"/>
              <w:left w:val="nil"/>
              <w:bottom w:val="nil"/>
              <w:right w:val="nil"/>
            </w:tcBorders>
          </w:tcPr>
          <w:p>
            <w:pPr>
              <w:pStyle w:val="0"/>
            </w:pPr>
            <w:r>
              <w:rPr>
                <w:sz w:val="24"/>
              </w:rPr>
              <w:t xml:space="preserve">Идентификационный номер налогоплательщика: _________________</w:t>
            </w:r>
          </w:p>
          <w:p>
            <w:pPr>
              <w:pStyle w:val="0"/>
            </w:pPr>
            <w:r>
              <w:rPr>
                <w:sz w:val="24"/>
              </w:rPr>
              <w:t xml:space="preserve">Адрес: ____________________________</w:t>
            </w:r>
          </w:p>
          <w:p>
            <w:pPr>
              <w:pStyle w:val="0"/>
            </w:pPr>
            <w:r>
              <w:rPr>
                <w:sz w:val="24"/>
              </w:rPr>
              <w:t xml:space="preserve">Расчетный счет: ____________________</w:t>
            </w:r>
          </w:p>
        </w:tc>
        <w:tc>
          <w:tcPr>
            <w:tcW w:w="340" w:type="dxa"/>
            <w:tcBorders>
              <w:top w:val="nil"/>
              <w:left w:val="nil"/>
              <w:bottom w:val="nil"/>
              <w:right w:val="nil"/>
            </w:tcBorders>
          </w:tcPr>
          <w:p>
            <w:pPr>
              <w:pStyle w:val="0"/>
            </w:pPr>
            <w:r>
              <w:rPr>
                <w:sz w:val="24"/>
              </w:rPr>
            </w:r>
          </w:p>
        </w:tc>
        <w:tc>
          <w:tcPr>
            <w:gridSpan w:val="2"/>
            <w:tcW w:w="4345" w:type="dxa"/>
            <w:tcBorders>
              <w:top w:val="nil"/>
              <w:left w:val="nil"/>
              <w:bottom w:val="nil"/>
              <w:right w:val="nil"/>
            </w:tcBorders>
          </w:tcPr>
          <w:p>
            <w:pPr>
              <w:pStyle w:val="0"/>
            </w:pPr>
            <w:r>
              <w:rPr>
                <w:sz w:val="24"/>
              </w:rPr>
              <w:t xml:space="preserve">Идентификационный номер налогоплательщика: _________________</w:t>
            </w:r>
          </w:p>
          <w:p>
            <w:pPr>
              <w:pStyle w:val="0"/>
            </w:pPr>
            <w:r>
              <w:rPr>
                <w:sz w:val="24"/>
              </w:rPr>
              <w:t xml:space="preserve">Адрес: ____________________________</w:t>
            </w:r>
          </w:p>
          <w:p>
            <w:pPr>
              <w:pStyle w:val="0"/>
            </w:pPr>
            <w:r>
              <w:rPr>
                <w:sz w:val="24"/>
              </w:rPr>
              <w:t xml:space="preserve">Расчетный счет: ____________________</w:t>
            </w:r>
          </w:p>
        </w:tc>
      </w:tr>
      <w:tr>
        <w:tc>
          <w:tcPr>
            <w:tcW w:w="435" w:type="dxa"/>
            <w:vAlign w:val="bottom"/>
            <w:tcBorders>
              <w:top w:val="nil"/>
              <w:left w:val="nil"/>
              <w:bottom w:val="nil"/>
              <w:right w:val="nil"/>
            </w:tcBorders>
          </w:tcPr>
          <w:p>
            <w:pPr>
              <w:pStyle w:val="0"/>
            </w:pPr>
            <w:r>
              <w:rPr>
                <w:sz w:val="24"/>
              </w:rPr>
              <w:t xml:space="preserve">В:</w:t>
            </w:r>
          </w:p>
        </w:tc>
        <w:tc>
          <w:tcPr>
            <w:tcW w:w="3945"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В:</w:t>
            </w:r>
          </w:p>
        </w:tc>
        <w:tc>
          <w:tcPr>
            <w:tcW w:w="4005" w:type="dxa"/>
            <w:tcBorders>
              <w:top w:val="nil"/>
              <w:left w:val="nil"/>
              <w:bottom w:val="single" w:sz="4"/>
              <w:right w:val="nil"/>
            </w:tcBorders>
          </w:tcPr>
          <w:p>
            <w:pPr>
              <w:pStyle w:val="0"/>
              <w:jc w:val="both"/>
            </w:pPr>
            <w:r>
              <w:rPr>
                <w:sz w:val="24"/>
              </w:rPr>
            </w:r>
          </w:p>
        </w:tc>
      </w:tr>
      <w:tr>
        <w:tc>
          <w:tcPr>
            <w:tcW w:w="435" w:type="dxa"/>
            <w:tcBorders>
              <w:top w:val="nil"/>
              <w:left w:val="nil"/>
              <w:bottom w:val="nil"/>
              <w:right w:val="nil"/>
            </w:tcBorders>
          </w:tcPr>
          <w:p>
            <w:pPr>
              <w:pStyle w:val="0"/>
              <w:jc w:val="center"/>
            </w:pPr>
            <w:r>
              <w:rPr>
                <w:sz w:val="24"/>
              </w:rPr>
            </w:r>
          </w:p>
        </w:tc>
        <w:tc>
          <w:tcPr>
            <w:tcW w:w="3945" w:type="dxa"/>
            <w:tcBorders>
              <w:top w:val="single" w:sz="4"/>
              <w:left w:val="nil"/>
              <w:bottom w:val="nil"/>
              <w:right w:val="nil"/>
            </w:tcBorders>
          </w:tcPr>
          <w:p>
            <w:pPr>
              <w:pStyle w:val="0"/>
              <w:jc w:val="center"/>
            </w:pPr>
            <w:r>
              <w:rPr>
                <w:sz w:val="24"/>
              </w:rPr>
              <w:t xml:space="preserve">(указываются банковские реквизиты)</w:t>
            </w:r>
          </w:p>
        </w:tc>
        <w:tc>
          <w:tcPr>
            <w:tcW w:w="34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05" w:type="dxa"/>
            <w:tcBorders>
              <w:top w:val="single" w:sz="4"/>
              <w:left w:val="nil"/>
              <w:bottom w:val="nil"/>
              <w:right w:val="nil"/>
            </w:tcBorders>
          </w:tcPr>
          <w:p>
            <w:pPr>
              <w:pStyle w:val="0"/>
              <w:jc w:val="center"/>
            </w:pPr>
            <w:r>
              <w:rPr>
                <w:sz w:val="24"/>
              </w:rPr>
              <w:t xml:space="preserve">(указываются банковские реквизиты)</w:t>
            </w:r>
          </w:p>
        </w:tc>
      </w:tr>
      <w:tr>
        <w:tc>
          <w:tcPr>
            <w:gridSpan w:val="5"/>
            <w:tcW w:w="9065" w:type="dxa"/>
            <w:tcBorders>
              <w:top w:val="nil"/>
              <w:left w:val="nil"/>
              <w:bottom w:val="nil"/>
              <w:right w:val="nil"/>
            </w:tcBorders>
          </w:tcPr>
          <w:p>
            <w:pPr>
              <w:pStyle w:val="0"/>
            </w:pPr>
            <w:r>
              <w:rPr>
                <w:sz w:val="24"/>
              </w:rPr>
              <w:t xml:space="preserve">Корреспондирующий счет: __________________</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66"/>
        <w:gridCol w:w="989"/>
        <w:gridCol w:w="1205"/>
        <w:gridCol w:w="1230"/>
        <w:gridCol w:w="1018"/>
        <w:gridCol w:w="1083"/>
        <w:gridCol w:w="1157"/>
        <w:gridCol w:w="1186"/>
      </w:tblGrid>
      <w:tr>
        <w:tc>
          <w:tcPr>
            <w:gridSpan w:val="4"/>
            <w:tcW w:w="4590" w:type="dxa"/>
          </w:tcPr>
          <w:p>
            <w:pPr>
              <w:pStyle w:val="0"/>
              <w:jc w:val="center"/>
            </w:pPr>
            <w:r>
              <w:rPr>
                <w:sz w:val="24"/>
              </w:rPr>
              <w:t xml:space="preserve">Наименование</w:t>
            </w:r>
          </w:p>
        </w:tc>
        <w:tc>
          <w:tcPr>
            <w:gridSpan w:val="2"/>
            <w:tcW w:w="2101" w:type="dxa"/>
          </w:tcPr>
          <w:p>
            <w:pPr>
              <w:pStyle w:val="0"/>
              <w:jc w:val="center"/>
            </w:pPr>
            <w:r>
              <w:rPr>
                <w:sz w:val="24"/>
              </w:rPr>
              <w:t xml:space="preserve">Федеральная служба по надзору в сфере природопользования</w:t>
            </w:r>
          </w:p>
        </w:tc>
        <w:tc>
          <w:tcPr>
            <w:gridSpan w:val="2"/>
            <w:tcW w:w="2343" w:type="dxa"/>
          </w:tcPr>
          <w:p>
            <w:pPr>
              <w:pStyle w:val="0"/>
              <w:jc w:val="center"/>
            </w:pPr>
            <w:r>
              <w:rPr>
                <w:sz w:val="24"/>
              </w:rPr>
              <w:t xml:space="preserve">__________________</w:t>
            </w:r>
          </w:p>
          <w:p>
            <w:pPr>
              <w:pStyle w:val="0"/>
              <w:jc w:val="center"/>
            </w:pPr>
            <w:r>
              <w:rPr>
                <w:sz w:val="24"/>
              </w:rPr>
              <w:t xml:space="preserve">(наименование юридического лица либо инициалы, фамилия физического лица)</w:t>
            </w:r>
          </w:p>
        </w:tc>
      </w:tr>
      <w:tr>
        <w:tc>
          <w:tcPr>
            <w:tcW w:w="1166" w:type="dxa"/>
          </w:tcPr>
          <w:p>
            <w:pPr>
              <w:pStyle w:val="0"/>
              <w:jc w:val="center"/>
            </w:pPr>
            <w:r>
              <w:rPr>
                <w:sz w:val="24"/>
              </w:rPr>
              <w:t xml:space="preserve">N документа</w:t>
            </w:r>
          </w:p>
        </w:tc>
        <w:tc>
          <w:tcPr>
            <w:tcW w:w="989" w:type="dxa"/>
          </w:tcPr>
          <w:p>
            <w:pPr>
              <w:pStyle w:val="0"/>
              <w:jc w:val="center"/>
            </w:pPr>
            <w:r>
              <w:rPr>
                <w:sz w:val="24"/>
              </w:rPr>
              <w:t xml:space="preserve">бюджет</w:t>
            </w:r>
          </w:p>
        </w:tc>
        <w:tc>
          <w:tcPr>
            <w:tcW w:w="1205" w:type="dxa"/>
          </w:tcPr>
          <w:p>
            <w:pPr>
              <w:pStyle w:val="0"/>
              <w:jc w:val="center"/>
            </w:pPr>
            <w:r>
              <w:rPr>
                <w:sz w:val="24"/>
              </w:rPr>
              <w:t xml:space="preserve">дата проводки</w:t>
            </w:r>
          </w:p>
        </w:tc>
        <w:tc>
          <w:tcPr>
            <w:tcW w:w="1230" w:type="dxa"/>
          </w:tcPr>
          <w:p>
            <w:pPr>
              <w:pStyle w:val="0"/>
              <w:jc w:val="center"/>
            </w:pPr>
            <w:r>
              <w:rPr>
                <w:sz w:val="24"/>
              </w:rPr>
              <w:t xml:space="preserve">дата документа</w:t>
            </w:r>
          </w:p>
        </w:tc>
        <w:tc>
          <w:tcPr>
            <w:tcW w:w="1018" w:type="dxa"/>
          </w:tcPr>
          <w:p>
            <w:pPr>
              <w:pStyle w:val="0"/>
              <w:jc w:val="center"/>
            </w:pPr>
            <w:r>
              <w:rPr>
                <w:sz w:val="24"/>
              </w:rPr>
              <w:t xml:space="preserve">дебет</w:t>
            </w:r>
          </w:p>
        </w:tc>
        <w:tc>
          <w:tcPr>
            <w:tcW w:w="1083" w:type="dxa"/>
          </w:tcPr>
          <w:p>
            <w:pPr>
              <w:pStyle w:val="0"/>
              <w:jc w:val="center"/>
            </w:pPr>
            <w:r>
              <w:rPr>
                <w:sz w:val="24"/>
              </w:rPr>
              <w:t xml:space="preserve">кредит</w:t>
            </w:r>
          </w:p>
        </w:tc>
        <w:tc>
          <w:tcPr>
            <w:tcW w:w="1157" w:type="dxa"/>
          </w:tcPr>
          <w:p>
            <w:pPr>
              <w:pStyle w:val="0"/>
              <w:jc w:val="center"/>
            </w:pPr>
            <w:r>
              <w:rPr>
                <w:sz w:val="24"/>
              </w:rPr>
              <w:t xml:space="preserve">дебет</w:t>
            </w:r>
          </w:p>
        </w:tc>
        <w:tc>
          <w:tcPr>
            <w:tcW w:w="1186" w:type="dxa"/>
          </w:tcPr>
          <w:p>
            <w:pPr>
              <w:pStyle w:val="0"/>
              <w:jc w:val="center"/>
            </w:pPr>
            <w:r>
              <w:rPr>
                <w:sz w:val="24"/>
              </w:rPr>
              <w:t xml:space="preserve">кредит</w:t>
            </w:r>
          </w:p>
        </w:tc>
      </w:tr>
      <w:tr>
        <w:tc>
          <w:tcPr>
            <w:gridSpan w:val="4"/>
            <w:tcW w:w="4590" w:type="dxa"/>
          </w:tcPr>
          <w:p>
            <w:pPr>
              <w:pStyle w:val="0"/>
            </w:pPr>
            <w:r>
              <w:rPr>
                <w:sz w:val="24"/>
              </w:rPr>
              <w:t xml:space="preserve">Входящее сальдо по контрагенту</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gridSpan w:val="8"/>
            <w:tcW w:w="9034" w:type="dxa"/>
          </w:tcPr>
          <w:p>
            <w:pPr>
              <w:pStyle w:val="0"/>
              <w:jc w:val="center"/>
            </w:pPr>
            <w:r>
              <w:rPr>
                <w:sz w:val="24"/>
              </w:rPr>
              <w:t xml:space="preserve">Наименование документа-основания</w:t>
            </w:r>
          </w:p>
        </w:tc>
      </w:tr>
      <w:tr>
        <w:tc>
          <w:tcPr>
            <w:gridSpan w:val="8"/>
            <w:tcW w:w="9034" w:type="dxa"/>
          </w:tcPr>
          <w:p>
            <w:pPr>
              <w:pStyle w:val="0"/>
            </w:pPr>
            <w:r>
              <w:rPr>
                <w:sz w:val="24"/>
              </w:rPr>
            </w:r>
          </w:p>
        </w:tc>
      </w:tr>
      <w:tr>
        <w:tc>
          <w:tcPr>
            <w:gridSpan w:val="4"/>
            <w:tcW w:w="4590" w:type="dxa"/>
          </w:tcPr>
          <w:p>
            <w:pPr>
              <w:pStyle w:val="0"/>
            </w:pPr>
            <w:r>
              <w:rPr>
                <w:sz w:val="24"/>
              </w:rPr>
              <w:t xml:space="preserve">Входящее сальдо по ______________</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tcW w:w="1166" w:type="dxa"/>
          </w:tcPr>
          <w:p>
            <w:pPr>
              <w:pStyle w:val="0"/>
            </w:pPr>
            <w:r>
              <w:rPr>
                <w:sz w:val="24"/>
              </w:rPr>
            </w:r>
          </w:p>
        </w:tc>
        <w:tc>
          <w:tcPr>
            <w:tcW w:w="989" w:type="dxa"/>
          </w:tcPr>
          <w:p>
            <w:pPr>
              <w:pStyle w:val="0"/>
            </w:pPr>
            <w:r>
              <w:rPr>
                <w:sz w:val="24"/>
              </w:rPr>
            </w:r>
          </w:p>
        </w:tc>
        <w:tc>
          <w:tcPr>
            <w:tcW w:w="1205" w:type="dxa"/>
          </w:tcPr>
          <w:p>
            <w:pPr>
              <w:pStyle w:val="0"/>
            </w:pPr>
            <w:r>
              <w:rPr>
                <w:sz w:val="24"/>
              </w:rPr>
            </w:r>
          </w:p>
        </w:tc>
        <w:tc>
          <w:tcPr>
            <w:tcW w:w="1230" w:type="dxa"/>
          </w:tcPr>
          <w:p>
            <w:pPr>
              <w:pStyle w:val="0"/>
            </w:pPr>
            <w:r>
              <w:rPr>
                <w:sz w:val="24"/>
              </w:rPr>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tcW w:w="1166" w:type="dxa"/>
          </w:tcPr>
          <w:p>
            <w:pPr>
              <w:pStyle w:val="0"/>
            </w:pPr>
            <w:r>
              <w:rPr>
                <w:sz w:val="24"/>
              </w:rPr>
            </w:r>
          </w:p>
        </w:tc>
        <w:tc>
          <w:tcPr>
            <w:tcW w:w="989" w:type="dxa"/>
          </w:tcPr>
          <w:p>
            <w:pPr>
              <w:pStyle w:val="0"/>
            </w:pPr>
            <w:r>
              <w:rPr>
                <w:sz w:val="24"/>
              </w:rPr>
            </w:r>
          </w:p>
        </w:tc>
        <w:tc>
          <w:tcPr>
            <w:tcW w:w="1205" w:type="dxa"/>
          </w:tcPr>
          <w:p>
            <w:pPr>
              <w:pStyle w:val="0"/>
            </w:pPr>
            <w:r>
              <w:rPr>
                <w:sz w:val="24"/>
              </w:rPr>
            </w:r>
          </w:p>
        </w:tc>
        <w:tc>
          <w:tcPr>
            <w:tcW w:w="1230" w:type="dxa"/>
          </w:tcPr>
          <w:p>
            <w:pPr>
              <w:pStyle w:val="0"/>
            </w:pPr>
            <w:r>
              <w:rPr>
                <w:sz w:val="24"/>
              </w:rPr>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tcW w:w="1166" w:type="dxa"/>
          </w:tcPr>
          <w:p>
            <w:pPr>
              <w:pStyle w:val="0"/>
            </w:pPr>
            <w:r>
              <w:rPr>
                <w:sz w:val="24"/>
              </w:rPr>
            </w:r>
          </w:p>
        </w:tc>
        <w:tc>
          <w:tcPr>
            <w:tcW w:w="989" w:type="dxa"/>
          </w:tcPr>
          <w:p>
            <w:pPr>
              <w:pStyle w:val="0"/>
            </w:pPr>
            <w:r>
              <w:rPr>
                <w:sz w:val="24"/>
              </w:rPr>
            </w:r>
          </w:p>
        </w:tc>
        <w:tc>
          <w:tcPr>
            <w:tcW w:w="1205" w:type="dxa"/>
          </w:tcPr>
          <w:p>
            <w:pPr>
              <w:pStyle w:val="0"/>
            </w:pPr>
            <w:r>
              <w:rPr>
                <w:sz w:val="24"/>
              </w:rPr>
            </w:r>
          </w:p>
        </w:tc>
        <w:tc>
          <w:tcPr>
            <w:tcW w:w="1230" w:type="dxa"/>
          </w:tcPr>
          <w:p>
            <w:pPr>
              <w:pStyle w:val="0"/>
            </w:pPr>
            <w:r>
              <w:rPr>
                <w:sz w:val="24"/>
              </w:rPr>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tcW w:w="1166" w:type="dxa"/>
          </w:tcPr>
          <w:p>
            <w:pPr>
              <w:pStyle w:val="0"/>
            </w:pPr>
            <w:r>
              <w:rPr>
                <w:sz w:val="24"/>
              </w:rPr>
            </w:r>
          </w:p>
        </w:tc>
        <w:tc>
          <w:tcPr>
            <w:tcW w:w="989" w:type="dxa"/>
          </w:tcPr>
          <w:p>
            <w:pPr>
              <w:pStyle w:val="0"/>
            </w:pPr>
            <w:r>
              <w:rPr>
                <w:sz w:val="24"/>
              </w:rPr>
            </w:r>
          </w:p>
        </w:tc>
        <w:tc>
          <w:tcPr>
            <w:tcW w:w="1205" w:type="dxa"/>
          </w:tcPr>
          <w:p>
            <w:pPr>
              <w:pStyle w:val="0"/>
            </w:pPr>
            <w:r>
              <w:rPr>
                <w:sz w:val="24"/>
              </w:rPr>
            </w:r>
          </w:p>
        </w:tc>
        <w:tc>
          <w:tcPr>
            <w:tcW w:w="1230" w:type="dxa"/>
          </w:tcPr>
          <w:p>
            <w:pPr>
              <w:pStyle w:val="0"/>
            </w:pPr>
            <w:r>
              <w:rPr>
                <w:sz w:val="24"/>
              </w:rPr>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tcW w:w="1166" w:type="dxa"/>
          </w:tcPr>
          <w:p>
            <w:pPr>
              <w:pStyle w:val="0"/>
            </w:pPr>
            <w:r>
              <w:rPr>
                <w:sz w:val="24"/>
              </w:rPr>
            </w:r>
          </w:p>
        </w:tc>
        <w:tc>
          <w:tcPr>
            <w:tcW w:w="989" w:type="dxa"/>
          </w:tcPr>
          <w:p>
            <w:pPr>
              <w:pStyle w:val="0"/>
            </w:pPr>
            <w:r>
              <w:rPr>
                <w:sz w:val="24"/>
              </w:rPr>
            </w:r>
          </w:p>
        </w:tc>
        <w:tc>
          <w:tcPr>
            <w:tcW w:w="1205" w:type="dxa"/>
          </w:tcPr>
          <w:p>
            <w:pPr>
              <w:pStyle w:val="0"/>
            </w:pPr>
            <w:r>
              <w:rPr>
                <w:sz w:val="24"/>
              </w:rPr>
            </w:r>
          </w:p>
        </w:tc>
        <w:tc>
          <w:tcPr>
            <w:tcW w:w="1230" w:type="dxa"/>
          </w:tcPr>
          <w:p>
            <w:pPr>
              <w:pStyle w:val="0"/>
            </w:pPr>
            <w:r>
              <w:rPr>
                <w:sz w:val="24"/>
              </w:rPr>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gridSpan w:val="4"/>
            <w:tcW w:w="4590" w:type="dxa"/>
          </w:tcPr>
          <w:p>
            <w:pPr>
              <w:pStyle w:val="0"/>
            </w:pPr>
            <w:r>
              <w:rPr>
                <w:sz w:val="24"/>
              </w:rPr>
              <w:t xml:space="preserve">Обороты по _________</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gridSpan w:val="4"/>
            <w:tcW w:w="4590" w:type="dxa"/>
          </w:tcPr>
          <w:p>
            <w:pPr>
              <w:pStyle w:val="0"/>
            </w:pPr>
            <w:r>
              <w:rPr>
                <w:sz w:val="24"/>
              </w:rPr>
              <w:t xml:space="preserve">Исходящее сальдо по __________</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gridSpan w:val="8"/>
            <w:tcW w:w="9034" w:type="dxa"/>
          </w:tcPr>
          <w:p>
            <w:pPr>
              <w:pStyle w:val="0"/>
            </w:pPr>
            <w:r>
              <w:rPr>
                <w:sz w:val="24"/>
              </w:rPr>
              <w:t xml:space="preserve">Итого по контрагенту</w:t>
            </w:r>
          </w:p>
        </w:tc>
      </w:tr>
      <w:tr>
        <w:tc>
          <w:tcPr>
            <w:gridSpan w:val="4"/>
            <w:tcW w:w="4590" w:type="dxa"/>
          </w:tcPr>
          <w:p>
            <w:pPr>
              <w:pStyle w:val="0"/>
            </w:pPr>
            <w:r>
              <w:rPr>
                <w:sz w:val="24"/>
              </w:rPr>
              <w:t xml:space="preserve">Обороты</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r>
        <w:tc>
          <w:tcPr>
            <w:gridSpan w:val="4"/>
            <w:tcW w:w="4590" w:type="dxa"/>
          </w:tcPr>
          <w:p>
            <w:pPr>
              <w:pStyle w:val="0"/>
            </w:pPr>
            <w:r>
              <w:rPr>
                <w:sz w:val="24"/>
              </w:rPr>
              <w:t xml:space="preserve">Исходящее сальдо</w:t>
            </w:r>
          </w:p>
        </w:tc>
        <w:tc>
          <w:tcPr>
            <w:tcW w:w="1018" w:type="dxa"/>
          </w:tcPr>
          <w:p>
            <w:pPr>
              <w:pStyle w:val="0"/>
            </w:pPr>
            <w:r>
              <w:rPr>
                <w:sz w:val="24"/>
              </w:rPr>
            </w:r>
          </w:p>
        </w:tc>
        <w:tc>
          <w:tcPr>
            <w:tcW w:w="1083" w:type="dxa"/>
          </w:tcPr>
          <w:p>
            <w:pPr>
              <w:pStyle w:val="0"/>
            </w:pPr>
            <w:r>
              <w:rPr>
                <w:sz w:val="24"/>
              </w:rPr>
            </w:r>
          </w:p>
        </w:tc>
        <w:tc>
          <w:tcPr>
            <w:tcW w:w="1157" w:type="dxa"/>
          </w:tcPr>
          <w:p>
            <w:pPr>
              <w:pStyle w:val="0"/>
            </w:pPr>
            <w:r>
              <w:rPr>
                <w:sz w:val="24"/>
              </w:rPr>
            </w:r>
          </w:p>
        </w:tc>
        <w:tc>
          <w:tcPr>
            <w:tcW w:w="1186" w:type="dxa"/>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30"/>
      </w:tblGrid>
      <w:tr>
        <w:tc>
          <w:tcPr>
            <w:tcW w:w="9030" w:type="dxa"/>
            <w:tcBorders>
              <w:top w:val="nil"/>
              <w:left w:val="nil"/>
              <w:bottom w:val="nil"/>
              <w:right w:val="nil"/>
            </w:tcBorders>
          </w:tcPr>
          <w:p>
            <w:pPr>
              <w:pStyle w:val="0"/>
            </w:pPr>
            <w:r>
              <w:rPr>
                <w:sz w:val="24"/>
              </w:rPr>
              <w:t xml:space="preserve">На "__" _________________ 20__ г. задолженность в пользу ______________________</w:t>
            </w:r>
          </w:p>
          <w:p>
            <w:pPr>
              <w:pStyle w:val="0"/>
            </w:pPr>
            <w:r>
              <w:rPr>
                <w:sz w:val="24"/>
              </w:rPr>
              <w:t xml:space="preserve">составляет ________________________________________________ рублей __ копеек.</w:t>
            </w:r>
          </w:p>
        </w:tc>
      </w:tr>
    </w:tbl>
    <w:p>
      <w:pPr>
        <w:pStyle w:val="0"/>
        <w:ind w:firstLine="54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4380"/>
        <w:gridCol w:w="340"/>
        <w:gridCol w:w="4334"/>
      </w:tblGrid>
      <w:tr>
        <w:tc>
          <w:tcPr>
            <w:tcW w:w="4380" w:type="dxa"/>
            <w:tcBorders>
              <w:top w:val="nil"/>
              <w:left w:val="nil"/>
              <w:bottom w:val="nil"/>
              <w:right w:val="nil"/>
            </w:tcBorders>
          </w:tcPr>
          <w:p>
            <w:pPr>
              <w:pStyle w:val="0"/>
              <w:jc w:val="center"/>
            </w:pPr>
            <w:r>
              <w:rPr>
                <w:sz w:val="24"/>
              </w:rPr>
              <w:t xml:space="preserve">Федеральная служба по надзору в сфере природопользования</w:t>
            </w:r>
          </w:p>
        </w:tc>
        <w:tc>
          <w:tcPr>
            <w:tcW w:w="340" w:type="dxa"/>
            <w:tcBorders>
              <w:top w:val="nil"/>
              <w:left w:val="nil"/>
              <w:bottom w:val="nil"/>
              <w:right w:val="nil"/>
            </w:tcBorders>
          </w:tcPr>
          <w:p>
            <w:pPr>
              <w:pStyle w:val="0"/>
            </w:pPr>
            <w:r>
              <w:rPr>
                <w:sz w:val="24"/>
              </w:rPr>
            </w:r>
          </w:p>
        </w:tc>
        <w:tc>
          <w:tcPr>
            <w:tcW w:w="4334" w:type="dxa"/>
            <w:tcBorders>
              <w:top w:val="nil"/>
              <w:left w:val="nil"/>
              <w:bottom w:val="single" w:sz="4"/>
              <w:right w:val="nil"/>
            </w:tcBorders>
          </w:tcPr>
          <w:p>
            <w:pPr>
              <w:pStyle w:val="0"/>
            </w:pPr>
            <w:r>
              <w:rPr>
                <w:sz w:val="24"/>
              </w:rPr>
            </w:r>
          </w:p>
        </w:tc>
      </w:tr>
      <w:tr>
        <w:tc>
          <w:tcPr>
            <w:tcW w:w="438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34" w:type="dxa"/>
            <w:tcBorders>
              <w:top w:val="single" w:sz="4"/>
              <w:left w:val="nil"/>
              <w:bottom w:val="nil"/>
              <w:right w:val="nil"/>
            </w:tcBorders>
          </w:tcPr>
          <w:p>
            <w:pPr>
              <w:pStyle w:val="0"/>
              <w:jc w:val="center"/>
            </w:pPr>
            <w:r>
              <w:rPr>
                <w:sz w:val="24"/>
              </w:rPr>
              <w:t xml:space="preserve">(наименование организации)</w:t>
            </w:r>
          </w:p>
        </w:tc>
      </w:tr>
      <w:tr>
        <w:tc>
          <w:tcPr>
            <w:tcW w:w="4380" w:type="dxa"/>
            <w:tcBorders>
              <w:top w:val="nil"/>
              <w:left w:val="nil"/>
              <w:bottom w:val="nil"/>
              <w:right w:val="nil"/>
            </w:tcBorders>
          </w:tcPr>
          <w:p>
            <w:pPr>
              <w:pStyle w:val="0"/>
            </w:pPr>
            <w:r>
              <w:rPr>
                <w:sz w:val="24"/>
              </w:rPr>
              <w:t xml:space="preserve">Руководитель</w:t>
            </w:r>
          </w:p>
          <w:p>
            <w:pPr>
              <w:pStyle w:val="0"/>
            </w:pPr>
            <w:r>
              <w:rPr>
                <w:sz w:val="24"/>
              </w:rPr>
              <w:t xml:space="preserve">(заместитель руководителя):</w:t>
            </w:r>
          </w:p>
        </w:tc>
        <w:tc>
          <w:tcPr>
            <w:tcW w:w="340" w:type="dxa"/>
            <w:tcBorders>
              <w:top w:val="nil"/>
              <w:left w:val="nil"/>
              <w:bottom w:val="nil"/>
              <w:right w:val="nil"/>
            </w:tcBorders>
          </w:tcPr>
          <w:p>
            <w:pPr>
              <w:pStyle w:val="0"/>
            </w:pPr>
            <w:r>
              <w:rPr>
                <w:sz w:val="24"/>
              </w:rPr>
            </w:r>
          </w:p>
        </w:tc>
        <w:tc>
          <w:tcPr>
            <w:tcW w:w="4334" w:type="dxa"/>
            <w:tcBorders>
              <w:top w:val="nil"/>
              <w:left w:val="nil"/>
              <w:bottom w:val="nil"/>
              <w:right w:val="nil"/>
            </w:tcBorders>
          </w:tcPr>
          <w:p>
            <w:pPr>
              <w:pStyle w:val="0"/>
            </w:pPr>
            <w:r>
              <w:rPr>
                <w:sz w:val="24"/>
              </w:rPr>
              <w:t xml:space="preserve">Руководитель:</w:t>
            </w:r>
          </w:p>
        </w:tc>
      </w:tr>
      <w:tr>
        <w:tc>
          <w:tcPr>
            <w:tcW w:w="438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34" w:type="dxa"/>
            <w:tcBorders>
              <w:top w:val="nil"/>
              <w:left w:val="nil"/>
              <w:bottom w:val="single" w:sz="4"/>
              <w:right w:val="nil"/>
            </w:tcBorders>
          </w:tcPr>
          <w:p>
            <w:pPr>
              <w:pStyle w:val="0"/>
            </w:pPr>
            <w:r>
              <w:rPr>
                <w:sz w:val="24"/>
              </w:rPr>
            </w:r>
          </w:p>
        </w:tc>
      </w:tr>
      <w:tr>
        <w:tc>
          <w:tcPr>
            <w:tcW w:w="4380" w:type="dxa"/>
            <w:tcBorders>
              <w:top w:val="single" w:sz="4"/>
              <w:left w:val="nil"/>
              <w:bottom w:val="nil"/>
              <w:right w:val="nil"/>
            </w:tcBorders>
          </w:tcPr>
          <w:p>
            <w:pPr>
              <w:pStyle w:val="0"/>
            </w:pPr>
            <w:r>
              <w:rPr>
                <w:sz w:val="24"/>
              </w:rPr>
              <w:t xml:space="preserve">Исполнитель:</w:t>
            </w:r>
          </w:p>
        </w:tc>
        <w:tc>
          <w:tcPr>
            <w:tcW w:w="340" w:type="dxa"/>
            <w:tcBorders>
              <w:top w:val="nil"/>
              <w:left w:val="nil"/>
              <w:bottom w:val="nil"/>
              <w:right w:val="nil"/>
            </w:tcBorders>
          </w:tcPr>
          <w:p>
            <w:pPr>
              <w:pStyle w:val="0"/>
              <w:jc w:val="both"/>
            </w:pPr>
            <w:r>
              <w:rPr>
                <w:sz w:val="24"/>
              </w:rPr>
            </w:r>
          </w:p>
        </w:tc>
        <w:tc>
          <w:tcPr>
            <w:tcW w:w="4334" w:type="dxa"/>
            <w:tcBorders>
              <w:top w:val="single" w:sz="4"/>
              <w:left w:val="nil"/>
              <w:bottom w:val="nil"/>
              <w:right w:val="nil"/>
            </w:tcBorders>
          </w:tcPr>
          <w:p>
            <w:pPr>
              <w:pStyle w:val="0"/>
            </w:pPr>
            <w:r>
              <w:rPr>
                <w:sz w:val="24"/>
              </w:rPr>
              <w:t xml:space="preserve">Исполнитель:</w:t>
            </w:r>
          </w:p>
        </w:tc>
      </w:tr>
      <w:tr>
        <w:tc>
          <w:tcPr>
            <w:tcW w:w="438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tcW w:w="4334" w:type="dxa"/>
            <w:tcBorders>
              <w:top w:val="nil"/>
              <w:left w:val="nil"/>
              <w:bottom w:val="single" w:sz="4"/>
              <w:right w:val="nil"/>
            </w:tcBorders>
          </w:tcPr>
          <w:p>
            <w:pPr>
              <w:pStyle w:val="0"/>
            </w:pPr>
            <w:r>
              <w:rPr>
                <w:sz w:val="24"/>
              </w:rPr>
            </w:r>
          </w:p>
        </w:tc>
      </w:tr>
      <w:tr>
        <w:tc>
          <w:tcPr>
            <w:tcW w:w="4380" w:type="dxa"/>
            <w:tcBorders>
              <w:top w:val="single" w:sz="4"/>
              <w:left w:val="nil"/>
              <w:bottom w:val="nil"/>
              <w:right w:val="nil"/>
            </w:tcBorders>
          </w:tcPr>
          <w:p>
            <w:pPr>
              <w:pStyle w:val="0"/>
            </w:pPr>
            <w:r>
              <w:rPr>
                <w:sz w:val="24"/>
              </w:rPr>
              <w:t xml:space="preserve">Тел.:</w:t>
            </w:r>
          </w:p>
        </w:tc>
        <w:tc>
          <w:tcPr>
            <w:tcW w:w="340" w:type="dxa"/>
            <w:tcBorders>
              <w:top w:val="nil"/>
              <w:left w:val="nil"/>
              <w:bottom w:val="nil"/>
              <w:right w:val="nil"/>
            </w:tcBorders>
          </w:tcPr>
          <w:p>
            <w:pPr>
              <w:pStyle w:val="0"/>
              <w:jc w:val="both"/>
            </w:pPr>
            <w:r>
              <w:rPr>
                <w:sz w:val="24"/>
              </w:rPr>
            </w:r>
          </w:p>
        </w:tc>
        <w:tc>
          <w:tcPr>
            <w:tcW w:w="4334" w:type="dxa"/>
            <w:tcBorders>
              <w:top w:val="single" w:sz="4"/>
              <w:left w:val="nil"/>
              <w:bottom w:val="nil"/>
              <w:right w:val="nil"/>
            </w:tcBorders>
          </w:tcPr>
          <w:p>
            <w:pPr>
              <w:pStyle w:val="0"/>
            </w:pPr>
            <w:r>
              <w:rPr>
                <w:sz w:val="24"/>
              </w:rPr>
              <w:t xml:space="preserve">Тел.:</w:t>
            </w:r>
          </w:p>
        </w:tc>
      </w:tr>
      <w:tr>
        <w:tc>
          <w:tcPr>
            <w:tcW w:w="438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tcW w:w="4334" w:type="dxa"/>
            <w:tcBorders>
              <w:top w:val="nil"/>
              <w:left w:val="nil"/>
              <w:bottom w:val="single" w:sz="4"/>
              <w:right w:val="nil"/>
            </w:tcBorders>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860"/>
        <w:gridCol w:w="4195"/>
      </w:tblGrid>
      <w:tr>
        <w:tc>
          <w:tcPr>
            <w:tcW w:w="4860"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В Федеральную службу по надзору</w:t>
            </w:r>
          </w:p>
          <w:p>
            <w:pPr>
              <w:pStyle w:val="0"/>
            </w:pPr>
            <w:r>
              <w:rPr>
                <w:sz w:val="24"/>
              </w:rPr>
              <w:t xml:space="preserve">в сфере природопользования</w:t>
            </w:r>
          </w:p>
        </w:tc>
      </w:tr>
    </w:tbl>
    <w:p>
      <w:pPr>
        <w:pStyle w:val="0"/>
        <w:ind w:firstLine="540"/>
        <w:jc w:val="both"/>
      </w:pPr>
      <w:r>
        <w:rPr>
          <w:sz w:val="24"/>
        </w:rPr>
      </w:r>
    </w:p>
    <w:bookmarkStart w:id="1172" w:name="P1172"/>
    <w:bookmarkEnd w:id="1172"/>
    <w:p>
      <w:pPr>
        <w:pStyle w:val="1"/>
        <w:jc w:val="both"/>
      </w:pPr>
      <w:r>
        <w:rPr>
          <w:sz w:val="20"/>
        </w:rPr>
        <w:t xml:space="preserve">                                 ЗАЯВЛЕНИЕ</w:t>
      </w:r>
    </w:p>
    <w:p>
      <w:pPr>
        <w:pStyle w:val="1"/>
        <w:jc w:val="both"/>
      </w:pPr>
      <w:r>
        <w:rPr>
          <w:sz w:val="20"/>
        </w:rPr>
        <w:t xml:space="preserve">             о зачете суммы излишне уплаченного (взысканного)</w:t>
      </w:r>
    </w:p>
    <w:p>
      <w:pPr>
        <w:pStyle w:val="1"/>
        <w:jc w:val="both"/>
      </w:pPr>
      <w:r>
        <w:rPr>
          <w:sz w:val="20"/>
        </w:rPr>
        <w:t xml:space="preserve">                           экологического сбора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идентификационный номер налогоплательщика, код причины постановки на учет,</w:t>
      </w:r>
    </w:p>
    <w:p>
      <w:pPr>
        <w:pStyle w:val="1"/>
        <w:jc w:val="both"/>
      </w:pPr>
      <w:r>
        <w:rPr>
          <w:sz w:val="20"/>
        </w:rPr>
        <w:t xml:space="preserve">     адрес места нахождения юридического лица либо инициалы, фамилия,</w:t>
      </w:r>
    </w:p>
    <w:p>
      <w:pPr>
        <w:pStyle w:val="1"/>
        <w:jc w:val="both"/>
      </w:pPr>
      <w:r>
        <w:rPr>
          <w:sz w:val="20"/>
        </w:rPr>
        <w:t xml:space="preserve">     идентификационный номер налогоплательщика, адрес места жительства</w:t>
      </w:r>
    </w:p>
    <w:p>
      <w:pPr>
        <w:pStyle w:val="1"/>
        <w:jc w:val="both"/>
      </w:pPr>
      <w:r>
        <w:rPr>
          <w:sz w:val="20"/>
        </w:rPr>
        <w:t xml:space="preserve">                           физического лица) </w:t>
      </w:r>
      <w:hyperlink w:history="0" w:anchor="P1204" w:tooltip="&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&lt;*&gt;</w:t>
        </w:r>
      </w:hyperlink>
    </w:p>
    <w:p>
      <w:pPr>
        <w:pStyle w:val="1"/>
        <w:jc w:val="both"/>
      </w:pPr>
      <w:r>
        <w:rPr>
          <w:sz w:val="20"/>
        </w:rPr>
        <w:t xml:space="preserve">по результатам совместной сверки расчетов в соответствии с актом совместной</w:t>
      </w:r>
    </w:p>
    <w:p>
      <w:pPr>
        <w:pStyle w:val="1"/>
        <w:jc w:val="both"/>
      </w:pPr>
      <w:r>
        <w:rPr>
          <w:sz w:val="20"/>
        </w:rPr>
        <w:t xml:space="preserve">сверки  расчетов  суммы  экологического  сбора  от  "__"  _________ 20__ г.</w:t>
      </w:r>
    </w:p>
    <w:p>
      <w:pPr>
        <w:pStyle w:val="1"/>
        <w:jc w:val="both"/>
      </w:pPr>
      <w:r>
        <w:rPr>
          <w:sz w:val="20"/>
        </w:rPr>
        <w:t xml:space="preserve">N  ________   просит   зачесть   в   счет   предстоящих   платежей  излишне</w:t>
      </w:r>
    </w:p>
    <w:p>
      <w:pPr>
        <w:pStyle w:val="1"/>
        <w:jc w:val="both"/>
      </w:pPr>
      <w:r>
        <w:rPr>
          <w:sz w:val="20"/>
        </w:rPr>
        <w:t xml:space="preserve">уплаченную   (взысканную)    сумму   экологического    сбора,    уплаченную</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и организационно-правовая форма</w:t>
      </w:r>
    </w:p>
    <w:p>
      <w:pPr>
        <w:pStyle w:val="1"/>
        <w:jc w:val="both"/>
      </w:pPr>
      <w:r>
        <w:rPr>
          <w:sz w:val="20"/>
        </w:rPr>
        <w:t xml:space="preserve">     юридического лица, уплатившего экологический сбор, либо инициалы,</w:t>
      </w:r>
    </w:p>
    <w:p>
      <w:pPr>
        <w:pStyle w:val="1"/>
        <w:jc w:val="both"/>
      </w:pPr>
      <w:r>
        <w:rPr>
          <w:sz w:val="20"/>
        </w:rPr>
        <w:t xml:space="preserve">         фамилия физического лица, уплатившего экологический сбор)</w:t>
      </w:r>
    </w:p>
    <w:p>
      <w:pPr>
        <w:pStyle w:val="1"/>
        <w:jc w:val="both"/>
      </w:pPr>
      <w:r>
        <w:rPr>
          <w:sz w:val="20"/>
        </w:rPr>
        <w:t xml:space="preserve">в размере _______________________________________________ рублей __ копеек.</w:t>
      </w:r>
    </w:p>
    <w:p>
      <w:pPr>
        <w:pStyle w:val="1"/>
        <w:jc w:val="both"/>
      </w:pPr>
      <w:r>
        <w:rPr>
          <w:sz w:val="20"/>
        </w:rPr>
        <w:t xml:space="preserve">           (размер денежных средств, подлежащих зачету)</w:t>
      </w:r>
    </w:p>
    <w:p>
      <w:pPr>
        <w:pStyle w:val="0"/>
        <w:jc w:val="both"/>
      </w:pPr>
      <w:r>
        <w:rPr>
          <w:sz w:val="24"/>
        </w:rPr>
      </w:r>
    </w:p>
    <w:tbl>
      <w:tblPr>
        <w:tblInd w:w="0" w:type="dxa"/>
        <w:tblLayout w:type="fixed"/>
        <w:tblCellMar>
          <w:top w:w="102" w:type="dxa"/>
          <w:left w:w="62" w:type="dxa"/>
          <w:bottom w:w="102" w:type="dxa"/>
          <w:right w:w="62" w:type="dxa"/>
        </w:tblCellMar>
      </w:tblPr>
      <w:tblGrid>
        <w:gridCol w:w="4380"/>
        <w:gridCol w:w="340"/>
        <w:gridCol w:w="4334"/>
      </w:tblGrid>
      <w:tr>
        <w:tblPrEx>
          <w:tblBorders>
            <w:insideH w:val="single" w:sz="4"/>
          </w:tblBorders>
        </w:tblPrEx>
        <w:tc>
          <w:tcPr>
            <w:tcW w:w="438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34" w:type="dxa"/>
            <w:tcBorders>
              <w:top w:val="nil"/>
              <w:left w:val="nil"/>
              <w:bottom w:val="single" w:sz="4"/>
              <w:right w:val="nil"/>
            </w:tcBorders>
          </w:tcPr>
          <w:p>
            <w:pPr>
              <w:pStyle w:val="0"/>
            </w:pPr>
            <w:r>
              <w:rPr>
                <w:sz w:val="24"/>
              </w:rPr>
            </w:r>
          </w:p>
        </w:tc>
      </w:tr>
      <w:tr>
        <w:tc>
          <w:tcPr>
            <w:tcW w:w="4380" w:type="dxa"/>
            <w:tcBorders>
              <w:top w:val="single" w:sz="4"/>
              <w:left w:val="nil"/>
              <w:bottom w:val="nil"/>
              <w:right w:val="nil"/>
            </w:tcBorders>
          </w:tcPr>
          <w:p>
            <w:pPr>
              <w:pStyle w:val="0"/>
              <w:jc w:val="center"/>
            </w:pPr>
            <w:r>
              <w:rPr>
                <w:sz w:val="24"/>
              </w:rPr>
              <w:t xml:space="preserve">(подпись руководителя юридического лица или лица, уполномоченного от имени юридического лица, либо физического лица)</w:t>
            </w:r>
          </w:p>
        </w:tc>
        <w:tc>
          <w:tcPr>
            <w:tcW w:w="340" w:type="dxa"/>
            <w:tcBorders>
              <w:top w:val="nil"/>
              <w:left w:val="nil"/>
              <w:bottom w:val="nil"/>
              <w:right w:val="nil"/>
            </w:tcBorders>
          </w:tcPr>
          <w:p>
            <w:pPr>
              <w:pStyle w:val="0"/>
              <w:jc w:val="center"/>
            </w:pPr>
            <w:r>
              <w:rPr>
                <w:sz w:val="24"/>
              </w:rPr>
            </w:r>
          </w:p>
        </w:tc>
        <w:tc>
          <w:tcPr>
            <w:tcW w:w="4334" w:type="dxa"/>
            <w:tcBorders>
              <w:top w:val="single" w:sz="4"/>
              <w:left w:val="nil"/>
              <w:bottom w:val="nil"/>
              <w:right w:val="nil"/>
            </w:tcBorders>
          </w:tcPr>
          <w:p>
            <w:pPr>
              <w:pStyle w:val="0"/>
              <w:jc w:val="center"/>
            </w:pPr>
            <w:r>
              <w:rPr>
                <w:sz w:val="24"/>
              </w:rPr>
              <w:t xml:space="preserve">(инициалы, фамилия)</w:t>
            </w:r>
          </w:p>
        </w:tc>
      </w:tr>
      <w:tr>
        <w:tc>
          <w:tcPr>
            <w:tcW w:w="4380" w:type="dxa"/>
            <w:tcBorders>
              <w:top w:val="nil"/>
              <w:left w:val="nil"/>
              <w:bottom w:val="nil"/>
              <w:right w:val="nil"/>
            </w:tcBorders>
          </w:tcPr>
          <w:p>
            <w:pPr>
              <w:pStyle w:val="0"/>
            </w:pPr>
            <w:r>
              <w:rPr>
                <w:sz w:val="24"/>
              </w:rPr>
              <w:t xml:space="preserve">"__" ____________ 20__ г.</w:t>
            </w:r>
          </w:p>
        </w:tc>
        <w:tc>
          <w:tcPr>
            <w:tcW w:w="340" w:type="dxa"/>
            <w:tcBorders>
              <w:top w:val="nil"/>
              <w:left w:val="nil"/>
              <w:bottom w:val="nil"/>
              <w:right w:val="nil"/>
            </w:tcBorders>
          </w:tcPr>
          <w:p>
            <w:pPr>
              <w:pStyle w:val="0"/>
            </w:pPr>
            <w:r>
              <w:rPr>
                <w:sz w:val="24"/>
              </w:rPr>
            </w:r>
          </w:p>
        </w:tc>
        <w:tc>
          <w:tcPr>
            <w:tcW w:w="4334"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1204" w:name="P1204"/>
    <w:bookmarkEnd w:id="1204"/>
    <w:p>
      <w:pPr>
        <w:pStyle w:val="0"/>
        <w:spacing w:before="240" w:line-rule="auto"/>
        <w:ind w:firstLine="540"/>
        <w:jc w:val="both"/>
      </w:pPr>
      <w:r>
        <w:rPr>
          <w:sz w:val="24"/>
        </w:rPr>
        <w:t xml:space="preserve">&lt;*&gt;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1216" w:name="P1216"/>
    <w:bookmarkEnd w:id="1216"/>
    <w:p>
      <w:pPr>
        <w:pStyle w:val="1"/>
        <w:jc w:val="both"/>
      </w:pPr>
      <w:r>
        <w:rPr>
          <w:sz w:val="20"/>
        </w:rPr>
        <w:t xml:space="preserve">                             РЕШЕНИЕ N ______</w:t>
      </w:r>
    </w:p>
    <w:p>
      <w:pPr>
        <w:pStyle w:val="1"/>
        <w:jc w:val="both"/>
      </w:pPr>
      <w:r>
        <w:rPr>
          <w:sz w:val="20"/>
        </w:rPr>
        <w:t xml:space="preserve">             о зачете суммы излишне уплаченного (взысканного)</w:t>
      </w:r>
    </w:p>
    <w:p>
      <w:pPr>
        <w:pStyle w:val="1"/>
        <w:jc w:val="both"/>
      </w:pPr>
      <w:r>
        <w:rPr>
          <w:sz w:val="20"/>
        </w:rPr>
        <w:t xml:space="preserve">                           экологического сбора</w:t>
      </w:r>
    </w:p>
    <w:p>
      <w:pPr>
        <w:pStyle w:val="1"/>
        <w:jc w:val="both"/>
      </w:pPr>
      <w:r>
        <w:rPr>
          <w:sz w:val="20"/>
        </w:rPr>
      </w:r>
    </w:p>
    <w:p>
      <w:pPr>
        <w:pStyle w:val="1"/>
        <w:jc w:val="both"/>
      </w:pPr>
      <w:r>
        <w:rPr>
          <w:sz w:val="20"/>
        </w:rPr>
        <w:t xml:space="preserve">_______________________________________   _________________________________</w:t>
      </w:r>
    </w:p>
    <w:p>
      <w:pPr>
        <w:pStyle w:val="1"/>
        <w:jc w:val="both"/>
      </w:pPr>
      <w:r>
        <w:rPr>
          <w:sz w:val="20"/>
        </w:rPr>
        <w:t xml:space="preserve">          (место составления)                          (дата)</w:t>
      </w:r>
    </w:p>
    <w:p>
      <w:pPr>
        <w:pStyle w:val="1"/>
        <w:jc w:val="both"/>
      </w:pPr>
      <w:r>
        <w:rPr>
          <w:sz w:val="20"/>
        </w:rPr>
      </w:r>
    </w:p>
    <w:p>
      <w:pPr>
        <w:pStyle w:val="1"/>
        <w:jc w:val="both"/>
      </w:pPr>
      <w:r>
        <w:rPr>
          <w:sz w:val="20"/>
        </w:rPr>
        <w:t xml:space="preserve">    Руководитель (заместитель руководителя) Федеральной службы по надзору в</w:t>
      </w:r>
    </w:p>
    <w:p>
      <w:pPr>
        <w:pStyle w:val="1"/>
        <w:jc w:val="both"/>
      </w:pPr>
      <w:r>
        <w:rPr>
          <w:sz w:val="20"/>
        </w:rPr>
        <w:t xml:space="preserve">сфере природопользования 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рассмотрев  заявление  о  зачете  суммы  излишне  уплаченного (взысканного)</w:t>
      </w:r>
    </w:p>
    <w:p>
      <w:pPr>
        <w:pStyle w:val="1"/>
        <w:jc w:val="both"/>
      </w:pPr>
      <w:r>
        <w:rPr>
          <w:sz w:val="20"/>
        </w:rPr>
        <w:t xml:space="preserve">экологического сбора _____________________________________________________,</w:t>
      </w:r>
    </w:p>
    <w:p>
      <w:pPr>
        <w:pStyle w:val="1"/>
        <w:jc w:val="both"/>
      </w:pPr>
      <w:r>
        <w:rPr>
          <w:sz w:val="20"/>
        </w:rPr>
        <w:t xml:space="preserve">                                    (дата, номер заявления)</w:t>
      </w:r>
    </w:p>
    <w:p>
      <w:pPr>
        <w:pStyle w:val="1"/>
        <w:jc w:val="both"/>
      </w:pPr>
      <w:r>
        <w:rPr>
          <w:sz w:val="20"/>
        </w:rPr>
        <w:t xml:space="preserve">поданное 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идентификационный номер налогоплательщика, код причины постановки</w:t>
      </w:r>
    </w:p>
    <w:p>
      <w:pPr>
        <w:pStyle w:val="1"/>
        <w:jc w:val="both"/>
      </w:pPr>
      <w:r>
        <w:rPr>
          <w:sz w:val="20"/>
        </w:rPr>
        <w:t xml:space="preserve">         на учет, адрес места нахождения юридического лица либо инициалы,</w:t>
      </w:r>
    </w:p>
    <w:p>
      <w:pPr>
        <w:pStyle w:val="1"/>
        <w:jc w:val="both"/>
      </w:pPr>
      <w:r>
        <w:rPr>
          <w:sz w:val="20"/>
        </w:rPr>
        <w:t xml:space="preserve">          фамилия, идентификационный номер налогоплательщика, адрес места</w:t>
      </w:r>
    </w:p>
    <w:p>
      <w:pPr>
        <w:pStyle w:val="1"/>
        <w:jc w:val="both"/>
      </w:pPr>
      <w:r>
        <w:rPr>
          <w:sz w:val="20"/>
        </w:rPr>
        <w:t xml:space="preserve">                         жительства физического лица) </w:t>
      </w:r>
      <w:hyperlink w:history="0" w:anchor="P1258" w:tooltip="&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&lt;*&gt;</w:t>
        </w:r>
      </w:hyperlink>
    </w:p>
    <w:p>
      <w:pPr>
        <w:pStyle w:val="1"/>
        <w:jc w:val="both"/>
      </w:pPr>
      <w:r>
        <w:rPr>
          <w:sz w:val="20"/>
        </w:rPr>
        <w:t xml:space="preserve">в размере _______________________________________________ рублей __ копеек,</w:t>
      </w:r>
    </w:p>
    <w:p>
      <w:pPr>
        <w:pStyle w:val="1"/>
        <w:jc w:val="both"/>
      </w:pPr>
      <w:r>
        <w:rPr>
          <w:sz w:val="20"/>
        </w:rPr>
        <w:t xml:space="preserve">установил:</w:t>
      </w:r>
    </w:p>
    <w:p>
      <w:pPr>
        <w:pStyle w:val="1"/>
        <w:jc w:val="both"/>
      </w:pPr>
      <w:r>
        <w:rPr>
          <w:sz w:val="20"/>
        </w:rPr>
        <w:t xml:space="preserve">засчитать в счет предстоящих платежей</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юридического лица или инициалы, фамилия физического лица)</w:t>
      </w:r>
    </w:p>
    <w:p>
      <w:pPr>
        <w:pStyle w:val="1"/>
        <w:jc w:val="both"/>
      </w:pPr>
      <w:r>
        <w:rPr>
          <w:sz w:val="20"/>
        </w:rPr>
        <w:t xml:space="preserve">экологический сбор в сумме ______________________________ рублей __ копеек.</w:t>
      </w:r>
    </w:p>
    <w:p>
      <w:pPr>
        <w:pStyle w:val="1"/>
        <w:jc w:val="both"/>
      </w:pPr>
      <w:r>
        <w:rPr>
          <w:sz w:val="20"/>
        </w:rPr>
        <w:t xml:space="preserve">                             (размер денежных средств,</w:t>
      </w:r>
    </w:p>
    <w:p>
      <w:pPr>
        <w:pStyle w:val="1"/>
        <w:jc w:val="both"/>
      </w:pPr>
      <w:r>
        <w:rPr>
          <w:sz w:val="20"/>
        </w:rPr>
        <w:t xml:space="preserve">                                 подлежащих зачету)</w:t>
      </w:r>
    </w:p>
    <w:p>
      <w:pPr>
        <w:pStyle w:val="0"/>
        <w:jc w:val="both"/>
      </w:pPr>
      <w:r>
        <w:rPr>
          <w:sz w:val="24"/>
        </w:rPr>
      </w:r>
    </w:p>
    <w:tbl>
      <w:tblPr>
        <w:tblInd w:w="0" w:type="dxa"/>
        <w:tblLayout w:type="fixed"/>
        <w:tblCellMar>
          <w:top w:w="102" w:type="dxa"/>
          <w:left w:w="62" w:type="dxa"/>
          <w:bottom w:w="102" w:type="dxa"/>
          <w:right w:w="62" w:type="dxa"/>
        </w:tblCellMar>
      </w:tblPr>
      <w:tblGrid>
        <w:gridCol w:w="4301"/>
        <w:gridCol w:w="360"/>
        <w:gridCol w:w="1896"/>
        <w:gridCol w:w="360"/>
        <w:gridCol w:w="3067"/>
      </w:tblGrid>
      <w:tr>
        <w:tc>
          <w:tcPr>
            <w:tcW w:w="4301" w:type="dxa"/>
            <w:vAlign w:val="bottom"/>
            <w:tcBorders>
              <w:top w:val="nil"/>
              <w:left w:val="nil"/>
              <w:bottom w:val="nil"/>
              <w:right w:val="nil"/>
            </w:tcBorders>
          </w:tcPr>
          <w:p>
            <w:pPr>
              <w:pStyle w:val="0"/>
            </w:pPr>
            <w:r>
              <w:rPr>
                <w:sz w:val="24"/>
              </w:rPr>
              <w:t xml:space="preserve">Руководитель</w:t>
            </w:r>
          </w:p>
          <w:p>
            <w:pPr>
              <w:pStyle w:val="0"/>
            </w:pPr>
            <w:r>
              <w:rPr>
                <w:sz w:val="24"/>
              </w:rPr>
              <w:t xml:space="preserve">(заместитель руководителя) Федеральной службы по надзору в сфере природопользования</w:t>
            </w:r>
          </w:p>
        </w:tc>
        <w:tc>
          <w:tcPr>
            <w:tcW w:w="360" w:type="dxa"/>
            <w:tcBorders>
              <w:top w:val="nil"/>
              <w:left w:val="nil"/>
              <w:bottom w:val="nil"/>
              <w:right w:val="nil"/>
            </w:tcBorders>
          </w:tcPr>
          <w:p>
            <w:pPr>
              <w:pStyle w:val="0"/>
            </w:pPr>
            <w:r>
              <w:rPr>
                <w:sz w:val="24"/>
              </w:rPr>
            </w:r>
          </w:p>
        </w:tc>
        <w:tc>
          <w:tcPr>
            <w:tcW w:w="1896"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3067" w:type="dxa"/>
            <w:tcBorders>
              <w:top w:val="nil"/>
              <w:left w:val="nil"/>
              <w:bottom w:val="single" w:sz="4"/>
              <w:right w:val="nil"/>
            </w:tcBorders>
          </w:tcPr>
          <w:p>
            <w:pPr>
              <w:pStyle w:val="0"/>
            </w:pPr>
            <w:r>
              <w:rPr>
                <w:sz w:val="24"/>
              </w:rPr>
            </w:r>
          </w:p>
        </w:tc>
      </w:tr>
      <w:tr>
        <w:tc>
          <w:tcPr>
            <w:tcW w:w="4301" w:type="dxa"/>
            <w:tcBorders>
              <w:top w:val="nil"/>
              <w:left w:val="nil"/>
              <w:bottom w:val="nil"/>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1896" w:type="dxa"/>
            <w:tcBorders>
              <w:top w:val="single" w:sz="4"/>
              <w:left w:val="nil"/>
              <w:bottom w:val="nil"/>
              <w:right w:val="nil"/>
            </w:tcBorders>
          </w:tcPr>
          <w:p>
            <w:pPr>
              <w:pStyle w:val="0"/>
              <w:jc w:val="center"/>
            </w:pPr>
            <w:r>
              <w:rPr>
                <w:sz w:val="24"/>
              </w:rPr>
              <w:t xml:space="preserve">(подпись)</w:t>
            </w:r>
          </w:p>
        </w:tc>
        <w:tc>
          <w:tcPr>
            <w:tcW w:w="360" w:type="dxa"/>
            <w:tcBorders>
              <w:top w:val="nil"/>
              <w:left w:val="nil"/>
              <w:bottom w:val="nil"/>
              <w:right w:val="nil"/>
            </w:tcBorders>
          </w:tcPr>
          <w:p>
            <w:pPr>
              <w:pStyle w:val="0"/>
              <w:jc w:val="center"/>
            </w:pPr>
            <w:r>
              <w:rPr>
                <w:sz w:val="24"/>
              </w:rPr>
            </w:r>
          </w:p>
        </w:tc>
        <w:tc>
          <w:tcPr>
            <w:tcW w:w="3067" w:type="dxa"/>
            <w:tcBorders>
              <w:top w:val="single" w:sz="4"/>
              <w:left w:val="nil"/>
              <w:bottom w:val="nil"/>
              <w:right w:val="nil"/>
            </w:tcBorders>
          </w:tcPr>
          <w:p>
            <w:pPr>
              <w:pStyle w:val="0"/>
              <w:jc w:val="center"/>
            </w:pPr>
            <w:r>
              <w:rPr>
                <w:sz w:val="24"/>
              </w:rPr>
              <w:t xml:space="preserve">(инициалы, фамилия)</w:t>
            </w:r>
          </w:p>
        </w:tc>
      </w:tr>
    </w:tbl>
    <w:p>
      <w:pPr>
        <w:pStyle w:val="0"/>
        <w:ind w:firstLine="540"/>
        <w:jc w:val="both"/>
      </w:pPr>
      <w:r>
        <w:rPr>
          <w:sz w:val="24"/>
        </w:rPr>
      </w:r>
    </w:p>
    <w:p>
      <w:pPr>
        <w:pStyle w:val="0"/>
        <w:ind w:firstLine="540"/>
        <w:jc w:val="both"/>
      </w:pPr>
      <w:r>
        <w:rPr>
          <w:sz w:val="24"/>
        </w:rPr>
        <w:t xml:space="preserve">--------------------------------</w:t>
      </w:r>
    </w:p>
    <w:bookmarkStart w:id="1258" w:name="P1258"/>
    <w:bookmarkEnd w:id="1258"/>
    <w:p>
      <w:pPr>
        <w:pStyle w:val="0"/>
        <w:spacing w:before="240" w:line-rule="auto"/>
        <w:ind w:firstLine="540"/>
        <w:jc w:val="both"/>
      </w:pPr>
      <w:r>
        <w:rPr>
          <w:sz w:val="24"/>
        </w:rPr>
        <w:t xml:space="preserve">&lt;*&gt;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860"/>
        <w:gridCol w:w="4195"/>
      </w:tblGrid>
      <w:tr>
        <w:tc>
          <w:tcPr>
            <w:tcW w:w="4860"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В Федеральную службу по надзору</w:t>
            </w:r>
          </w:p>
          <w:p>
            <w:pPr>
              <w:pStyle w:val="0"/>
            </w:pPr>
            <w:r>
              <w:rPr>
                <w:sz w:val="24"/>
              </w:rPr>
              <w:t xml:space="preserve">в сфере природопользования</w:t>
            </w:r>
          </w:p>
        </w:tc>
      </w:tr>
    </w:tbl>
    <w:p>
      <w:pPr>
        <w:pStyle w:val="0"/>
        <w:ind w:firstLine="540"/>
        <w:jc w:val="both"/>
      </w:pPr>
      <w:r>
        <w:rPr>
          <w:sz w:val="24"/>
        </w:rPr>
      </w:r>
    </w:p>
    <w:bookmarkStart w:id="1274" w:name="P1274"/>
    <w:bookmarkEnd w:id="1274"/>
    <w:p>
      <w:pPr>
        <w:pStyle w:val="1"/>
        <w:jc w:val="both"/>
      </w:pPr>
      <w:r>
        <w:rPr>
          <w:sz w:val="20"/>
        </w:rPr>
        <w:t xml:space="preserve">                                 ЗАЯВЛЕНИЕ</w:t>
      </w:r>
    </w:p>
    <w:p>
      <w:pPr>
        <w:pStyle w:val="1"/>
        <w:jc w:val="both"/>
      </w:pPr>
      <w:r>
        <w:rPr>
          <w:sz w:val="20"/>
        </w:rPr>
        <w:t xml:space="preserve">            о возврате суммы излишне уплаченного (взысканного)</w:t>
      </w:r>
    </w:p>
    <w:p>
      <w:pPr>
        <w:pStyle w:val="1"/>
        <w:jc w:val="both"/>
      </w:pPr>
      <w:r>
        <w:rPr>
          <w:sz w:val="20"/>
        </w:rPr>
        <w:t xml:space="preserve">                           экологического сбора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идентификационный номер налогоплательщика, код причины постановки</w:t>
      </w:r>
    </w:p>
    <w:p>
      <w:pPr>
        <w:pStyle w:val="1"/>
        <w:jc w:val="both"/>
      </w:pPr>
      <w:r>
        <w:rPr>
          <w:sz w:val="20"/>
        </w:rPr>
        <w:t xml:space="preserve">     на учет, адрес места нахождения юридического лица либо инициалы,</w:t>
      </w:r>
    </w:p>
    <w:p>
      <w:pPr>
        <w:pStyle w:val="1"/>
        <w:jc w:val="both"/>
      </w:pPr>
      <w:r>
        <w:rPr>
          <w:sz w:val="20"/>
        </w:rPr>
        <w:t xml:space="preserve">      фамилия, идентификационный номер налогоплательщика, адрес места</w:t>
      </w:r>
    </w:p>
    <w:p>
      <w:pPr>
        <w:pStyle w:val="1"/>
        <w:jc w:val="both"/>
      </w:pPr>
      <w:r>
        <w:rPr>
          <w:sz w:val="20"/>
        </w:rPr>
        <w:t xml:space="preserve">                     жительства физического лица) </w:t>
      </w:r>
      <w:hyperlink w:history="0" w:anchor="P1323" w:tooltip="&lt;1&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&lt;1&gt;</w:t>
        </w:r>
      </w:hyperlink>
    </w:p>
    <w:p>
      <w:pPr>
        <w:pStyle w:val="1"/>
        <w:jc w:val="both"/>
      </w:pPr>
      <w:r>
        <w:rPr>
          <w:sz w:val="20"/>
        </w:rPr>
        <w:t xml:space="preserve">просит вернуть по следующим реквизитам: ___________________________________</w:t>
      </w:r>
    </w:p>
    <w:p>
      <w:pPr>
        <w:pStyle w:val="1"/>
        <w:jc w:val="both"/>
      </w:pPr>
      <w:r>
        <w:rPr>
          <w:sz w:val="20"/>
        </w:rPr>
        <w:t xml:space="preserve">                                          (указывается номер банковского</w:t>
      </w:r>
    </w:p>
    <w:p>
      <w:pPr>
        <w:pStyle w:val="1"/>
        <w:jc w:val="both"/>
      </w:pPr>
      <w:r>
        <w:rPr>
          <w:sz w:val="20"/>
        </w:rPr>
        <w:t xml:space="preserve">                                        счета, расчетный счет, наименование</w:t>
      </w:r>
    </w:p>
    <w:p>
      <w:pPr>
        <w:pStyle w:val="1"/>
        <w:jc w:val="both"/>
      </w:pPr>
      <w:r>
        <w:rPr>
          <w:sz w:val="20"/>
        </w:rPr>
        <w:t xml:space="preserve">                                           банка, корреспондентский счет</w:t>
      </w:r>
    </w:p>
    <w:p>
      <w:pPr>
        <w:pStyle w:val="1"/>
        <w:jc w:val="both"/>
      </w:pPr>
      <w:r>
        <w:rPr>
          <w:sz w:val="20"/>
        </w:rPr>
        <w:t xml:space="preserve">                                                      банка)</w:t>
      </w:r>
    </w:p>
    <w:p>
      <w:pPr>
        <w:pStyle w:val="1"/>
        <w:jc w:val="both"/>
      </w:pPr>
      <w:r>
        <w:rPr>
          <w:sz w:val="20"/>
        </w:rPr>
        <w:t xml:space="preserve">сумму,    излишне    уплаченного    (взысканного)   экологического   сбора,</w:t>
      </w:r>
    </w:p>
    <w:p>
      <w:pPr>
        <w:pStyle w:val="1"/>
        <w:jc w:val="both"/>
      </w:pPr>
      <w:r>
        <w:rPr>
          <w:sz w:val="20"/>
        </w:rPr>
        <w:t xml:space="preserve">подтвержденного     актом     совместной      сверки     расчетов     суммы</w:t>
      </w:r>
    </w:p>
    <w:p>
      <w:pPr>
        <w:pStyle w:val="1"/>
        <w:jc w:val="both"/>
      </w:pPr>
      <w:r>
        <w:rPr>
          <w:sz w:val="20"/>
        </w:rPr>
        <w:t xml:space="preserve">экологического    сбора    от "__" ______ 20__ г.    N ____,    уплаченного</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и организационно-правовая форма</w:t>
      </w:r>
    </w:p>
    <w:p>
      <w:pPr>
        <w:pStyle w:val="1"/>
        <w:jc w:val="both"/>
      </w:pPr>
      <w:r>
        <w:rPr>
          <w:sz w:val="20"/>
        </w:rPr>
        <w:t xml:space="preserve">     юридического лица, уплатившего экологический сбор, либо инициалы,</w:t>
      </w:r>
    </w:p>
    <w:p>
      <w:pPr>
        <w:pStyle w:val="1"/>
        <w:jc w:val="both"/>
      </w:pPr>
      <w:r>
        <w:rPr>
          <w:sz w:val="20"/>
        </w:rPr>
        <w:t xml:space="preserve">       фамилия физического лица, уплатившего экологический сбор) </w:t>
      </w:r>
      <w:hyperlink w:history="0" w:anchor="P1323" w:tooltip="&lt;1&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&lt;1&gt;</w:t>
        </w:r>
      </w:hyperlink>
    </w:p>
    <w:p>
      <w:pPr>
        <w:pStyle w:val="1"/>
        <w:jc w:val="both"/>
      </w:pPr>
      <w:r>
        <w:rPr>
          <w:sz w:val="20"/>
        </w:rPr>
        <w:t xml:space="preserve">по платежным документам ___________________________________________________</w:t>
      </w:r>
    </w:p>
    <w:p>
      <w:pPr>
        <w:pStyle w:val="1"/>
        <w:jc w:val="both"/>
      </w:pPr>
      <w:r>
        <w:rPr>
          <w:sz w:val="20"/>
        </w:rPr>
        <w:t xml:space="preserve">                                    (указываются номер, дата)</w:t>
      </w:r>
    </w:p>
    <w:p>
      <w:pPr>
        <w:pStyle w:val="1"/>
        <w:jc w:val="both"/>
      </w:pPr>
      <w:r>
        <w:rPr>
          <w:sz w:val="20"/>
        </w:rPr>
        <w:t xml:space="preserve">и исчисленного </w:t>
      </w:r>
      <w:hyperlink w:history="0" w:anchor="P1324" w:tooltip="&lt;2&gt; Не заполняется в случае, если сумма экологического сбора ошибочно перечислена на счет Федерального казначейства.">
        <w:r>
          <w:rPr>
            <w:sz w:val="20"/>
            <w:color w:val="0000ff"/>
          </w:rPr>
          <w:t xml:space="preserve">&lt;2&gt;</w:t>
        </w:r>
      </w:hyperlink>
      <w:r>
        <w:rPr>
          <w:sz w:val="20"/>
        </w:rPr>
        <w:t xml:space="preserve"> _______________________________________________________,</w:t>
      </w:r>
    </w:p>
    <w:p>
      <w:pPr>
        <w:pStyle w:val="1"/>
        <w:jc w:val="both"/>
      </w:pPr>
      <w:r>
        <w:rPr>
          <w:sz w:val="20"/>
        </w:rPr>
        <w:t xml:space="preserve">                    (указывается документ, в котором отражено исчисление</w:t>
      </w:r>
    </w:p>
    <w:p>
      <w:pPr>
        <w:pStyle w:val="1"/>
        <w:jc w:val="both"/>
      </w:pPr>
      <w:r>
        <w:rPr>
          <w:sz w:val="20"/>
        </w:rPr>
        <w:t xml:space="preserve">                                 суммы экологического сбора)</w:t>
      </w:r>
    </w:p>
    <w:p>
      <w:pPr>
        <w:pStyle w:val="1"/>
        <w:jc w:val="both"/>
      </w:pPr>
      <w:r>
        <w:rPr>
          <w:sz w:val="20"/>
        </w:rPr>
        <w:t xml:space="preserve">в связи с _________________________________________________________________</w:t>
      </w:r>
    </w:p>
    <w:p>
      <w:pPr>
        <w:pStyle w:val="1"/>
        <w:jc w:val="both"/>
      </w:pPr>
      <w:r>
        <w:rPr>
          <w:sz w:val="20"/>
        </w:rPr>
        <w:t xml:space="preserve">            (указывается факт, в соответствии с которым возникла излишне</w:t>
      </w:r>
    </w:p>
    <w:p>
      <w:pPr>
        <w:pStyle w:val="1"/>
        <w:jc w:val="both"/>
      </w:pPr>
      <w:r>
        <w:rPr>
          <w:sz w:val="20"/>
        </w:rPr>
        <w:t xml:space="preserve">                 уплаченная (взысканная) сумма экологического сбора)</w:t>
      </w:r>
    </w:p>
    <w:p>
      <w:pPr>
        <w:pStyle w:val="1"/>
        <w:jc w:val="both"/>
      </w:pPr>
      <w:r>
        <w:rPr>
          <w:sz w:val="20"/>
        </w:rPr>
        <w:t xml:space="preserve">в размере _______________________________________________ рублей __ копеек.</w:t>
      </w:r>
    </w:p>
    <w:p>
      <w:pPr>
        <w:pStyle w:val="1"/>
        <w:jc w:val="both"/>
      </w:pPr>
      <w:r>
        <w:rPr>
          <w:sz w:val="20"/>
        </w:rPr>
        <w:t xml:space="preserve">          (размер денежных средств, подлежащих возврату)</w:t>
      </w:r>
    </w:p>
    <w:p>
      <w:pPr>
        <w:pStyle w:val="1"/>
        <w:jc w:val="both"/>
      </w:pPr>
      <w:r>
        <w:rPr>
          <w:sz w:val="20"/>
        </w:rPr>
      </w:r>
    </w:p>
    <w:p>
      <w:pPr>
        <w:pStyle w:val="1"/>
        <w:jc w:val="both"/>
      </w:pPr>
      <w:r>
        <w:rPr>
          <w:sz w:val="20"/>
        </w:rPr>
        <w:t xml:space="preserve">Перечень прилагаемых документов:</w:t>
      </w:r>
    </w:p>
    <w:p>
      <w:pPr>
        <w:pStyle w:val="1"/>
        <w:jc w:val="both"/>
      </w:pPr>
      <w:r>
        <w:rPr>
          <w:sz w:val="20"/>
        </w:rPr>
        <w:t xml:space="preserve">1) _______________________________________________________________________;</w:t>
      </w:r>
    </w:p>
    <w:p>
      <w:pPr>
        <w:pStyle w:val="1"/>
        <w:jc w:val="both"/>
      </w:pPr>
      <w:r>
        <w:rPr>
          <w:sz w:val="20"/>
        </w:rPr>
        <w:t xml:space="preserve">             (указываются документы, прилагаемые к заявлению)</w:t>
      </w:r>
    </w:p>
    <w:p>
      <w:pPr>
        <w:pStyle w:val="1"/>
        <w:jc w:val="both"/>
      </w:pPr>
      <w:r>
        <w:rPr>
          <w:sz w:val="20"/>
        </w:rPr>
        <w:t xml:space="preserve">2) _______________________________________________________________________.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723"/>
        <w:gridCol w:w="509"/>
        <w:gridCol w:w="4843"/>
      </w:tblGrid>
      <w:tr>
        <w:tblPrEx>
          <w:tblBorders>
            <w:insideH w:val="single" w:sz="4"/>
          </w:tblBorders>
        </w:tblPrEx>
        <w:tc>
          <w:tcPr>
            <w:tcW w:w="4723" w:type="dxa"/>
            <w:tcBorders>
              <w:top w:val="nil"/>
              <w:left w:val="nil"/>
              <w:bottom w:val="single" w:sz="4"/>
              <w:right w:val="nil"/>
            </w:tcBorders>
          </w:tcPr>
          <w:p>
            <w:pPr>
              <w:pStyle w:val="0"/>
            </w:pPr>
            <w:r>
              <w:rPr>
                <w:sz w:val="24"/>
              </w:rPr>
            </w:r>
          </w:p>
        </w:tc>
        <w:tc>
          <w:tcPr>
            <w:tcW w:w="509" w:type="dxa"/>
            <w:tcBorders>
              <w:top w:val="nil"/>
              <w:left w:val="nil"/>
              <w:bottom w:val="nil"/>
              <w:right w:val="nil"/>
            </w:tcBorders>
          </w:tcPr>
          <w:p>
            <w:pPr>
              <w:pStyle w:val="0"/>
            </w:pPr>
            <w:r>
              <w:rPr>
                <w:sz w:val="24"/>
              </w:rPr>
            </w:r>
          </w:p>
        </w:tc>
        <w:tc>
          <w:tcPr>
            <w:tcW w:w="4843" w:type="dxa"/>
            <w:tcBorders>
              <w:top w:val="nil"/>
              <w:left w:val="nil"/>
              <w:bottom w:val="single" w:sz="4"/>
              <w:right w:val="nil"/>
            </w:tcBorders>
          </w:tcPr>
          <w:p>
            <w:pPr>
              <w:pStyle w:val="0"/>
            </w:pPr>
            <w:r>
              <w:rPr>
                <w:sz w:val="24"/>
              </w:rPr>
            </w:r>
          </w:p>
        </w:tc>
      </w:tr>
      <w:tr>
        <w:tc>
          <w:tcPr>
            <w:tcW w:w="4723" w:type="dxa"/>
            <w:tcBorders>
              <w:top w:val="single" w:sz="4"/>
              <w:left w:val="nil"/>
              <w:bottom w:val="nil"/>
              <w:right w:val="nil"/>
            </w:tcBorders>
          </w:tcPr>
          <w:p>
            <w:pPr>
              <w:pStyle w:val="0"/>
              <w:jc w:val="center"/>
            </w:pPr>
            <w:r>
              <w:rPr>
                <w:sz w:val="24"/>
              </w:rPr>
              <w:t xml:space="preserve">(подпись руководителя юридического лица или лица, уполномоченного от имени юридического лица, либо физического лица)</w:t>
            </w:r>
          </w:p>
        </w:tc>
        <w:tc>
          <w:tcPr>
            <w:tcW w:w="509" w:type="dxa"/>
            <w:tcBorders>
              <w:top w:val="nil"/>
              <w:left w:val="nil"/>
              <w:bottom w:val="nil"/>
              <w:right w:val="nil"/>
            </w:tcBorders>
          </w:tcPr>
          <w:p>
            <w:pPr>
              <w:pStyle w:val="0"/>
              <w:jc w:val="center"/>
            </w:pPr>
            <w:r>
              <w:rPr>
                <w:sz w:val="24"/>
              </w:rPr>
            </w:r>
          </w:p>
        </w:tc>
        <w:tc>
          <w:tcPr>
            <w:tcW w:w="4843" w:type="dxa"/>
            <w:tcBorders>
              <w:top w:val="single" w:sz="4"/>
              <w:left w:val="nil"/>
              <w:bottom w:val="nil"/>
              <w:right w:val="nil"/>
            </w:tcBorders>
          </w:tcPr>
          <w:p>
            <w:pPr>
              <w:pStyle w:val="0"/>
              <w:jc w:val="center"/>
            </w:pPr>
            <w:r>
              <w:rPr>
                <w:sz w:val="24"/>
              </w:rPr>
              <w:t xml:space="preserve">(инициалы, фамилия)</w:t>
            </w:r>
          </w:p>
        </w:tc>
      </w:tr>
      <w:tr>
        <w:tc>
          <w:tcPr>
            <w:tcW w:w="4723" w:type="dxa"/>
            <w:tcBorders>
              <w:top w:val="nil"/>
              <w:left w:val="nil"/>
              <w:bottom w:val="nil"/>
              <w:right w:val="nil"/>
            </w:tcBorders>
          </w:tcPr>
          <w:p>
            <w:pPr>
              <w:pStyle w:val="0"/>
            </w:pPr>
            <w:r>
              <w:rPr>
                <w:sz w:val="24"/>
              </w:rPr>
              <w:t xml:space="preserve">"__" _________________ 20__ г.</w:t>
            </w:r>
          </w:p>
        </w:tc>
        <w:tc>
          <w:tcPr>
            <w:tcW w:w="509" w:type="dxa"/>
            <w:tcBorders>
              <w:top w:val="nil"/>
              <w:left w:val="nil"/>
              <w:bottom w:val="nil"/>
              <w:right w:val="nil"/>
            </w:tcBorders>
          </w:tcPr>
          <w:p>
            <w:pPr>
              <w:pStyle w:val="0"/>
            </w:pPr>
            <w:r>
              <w:rPr>
                <w:sz w:val="24"/>
              </w:rPr>
            </w:r>
          </w:p>
        </w:tc>
        <w:tc>
          <w:tcPr>
            <w:tcW w:w="4843"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1323" w:name="P1323"/>
    <w:bookmarkEnd w:id="1323"/>
    <w:p>
      <w:pPr>
        <w:pStyle w:val="0"/>
        <w:spacing w:before="240" w:line-rule="auto"/>
        <w:ind w:firstLine="540"/>
        <w:jc w:val="both"/>
      </w:pPr>
      <w:r>
        <w:rPr>
          <w:sz w:val="24"/>
        </w:rPr>
        <w:t xml:space="preserve">&lt;1&gt;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1324" w:name="P1324"/>
    <w:bookmarkEnd w:id="1324"/>
    <w:p>
      <w:pPr>
        <w:pStyle w:val="0"/>
        <w:spacing w:before="240" w:line-rule="auto"/>
        <w:ind w:firstLine="540"/>
        <w:jc w:val="both"/>
      </w:pPr>
      <w:r>
        <w:rPr>
          <w:sz w:val="24"/>
        </w:rPr>
        <w:t xml:space="preserve">&lt;2&gt; Не заполняется в случае, если сумма экологического сбора ошибочно перечислена на счет Федерального казначейства.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1336" w:name="P1336"/>
    <w:bookmarkEnd w:id="1336"/>
    <w:p>
      <w:pPr>
        <w:pStyle w:val="1"/>
        <w:jc w:val="both"/>
      </w:pPr>
      <w:r>
        <w:rPr>
          <w:sz w:val="20"/>
        </w:rPr>
        <w:t xml:space="preserve">                              РЕШЕНИЕ N _____</w:t>
      </w:r>
    </w:p>
    <w:p>
      <w:pPr>
        <w:pStyle w:val="1"/>
        <w:jc w:val="both"/>
      </w:pPr>
      <w:r>
        <w:rPr>
          <w:sz w:val="20"/>
        </w:rPr>
        <w:t xml:space="preserve">            о возврате суммы излишне уплаченного (взысканного)</w:t>
      </w:r>
    </w:p>
    <w:p>
      <w:pPr>
        <w:pStyle w:val="1"/>
        <w:jc w:val="both"/>
      </w:pPr>
      <w:r>
        <w:rPr>
          <w:sz w:val="20"/>
        </w:rPr>
        <w:t xml:space="preserve">                           экологического сбора</w:t>
      </w:r>
    </w:p>
    <w:p>
      <w:pPr>
        <w:pStyle w:val="1"/>
        <w:jc w:val="both"/>
      </w:pPr>
      <w:r>
        <w:rPr>
          <w:sz w:val="20"/>
        </w:rPr>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Руководитель (заместитель руководителя) Федеральной службы по надзору в</w:t>
      </w:r>
    </w:p>
    <w:p>
      <w:pPr>
        <w:pStyle w:val="1"/>
        <w:jc w:val="both"/>
      </w:pPr>
      <w:r>
        <w:rPr>
          <w:sz w:val="20"/>
        </w:rPr>
        <w:t xml:space="preserve">сфере  природопользования,  рассмотрев  заявление  о возврате суммы излишне</w:t>
      </w:r>
    </w:p>
    <w:p>
      <w:pPr>
        <w:pStyle w:val="1"/>
        <w:jc w:val="both"/>
      </w:pPr>
      <w:r>
        <w:rPr>
          <w:sz w:val="20"/>
        </w:rPr>
        <w:t xml:space="preserve">уплаченного (взысканного) экологического сбора ___________________________,</w:t>
      </w:r>
    </w:p>
    <w:p>
      <w:pPr>
        <w:pStyle w:val="1"/>
        <w:jc w:val="both"/>
      </w:pPr>
      <w:r>
        <w:rPr>
          <w:sz w:val="20"/>
        </w:rPr>
        <w:t xml:space="preserve">                                                 (дата, номер заявления)</w:t>
      </w:r>
    </w:p>
    <w:p>
      <w:pPr>
        <w:pStyle w:val="1"/>
        <w:jc w:val="both"/>
      </w:pPr>
      <w:r>
        <w:rPr>
          <w:sz w:val="20"/>
        </w:rPr>
        <w:t xml:space="preserve">направленное _____________________________________________________________,</w:t>
      </w:r>
    </w:p>
    <w:p>
      <w:pPr>
        <w:pStyle w:val="1"/>
        <w:jc w:val="both"/>
      </w:pPr>
      <w:r>
        <w:rPr>
          <w:sz w:val="20"/>
        </w:rPr>
        <w:t xml:space="preserve">               (указывается полное наименование, организационно-правовая</w:t>
      </w:r>
    </w:p>
    <w:p>
      <w:pPr>
        <w:pStyle w:val="1"/>
        <w:jc w:val="both"/>
      </w:pPr>
      <w:r>
        <w:rPr>
          <w:sz w:val="20"/>
        </w:rPr>
        <w:t xml:space="preserve">             форма, идентификационный номер налогоплательщика, код причины</w:t>
      </w:r>
    </w:p>
    <w:p>
      <w:pPr>
        <w:pStyle w:val="1"/>
        <w:jc w:val="both"/>
      </w:pPr>
      <w:r>
        <w:rPr>
          <w:sz w:val="20"/>
        </w:rPr>
        <w:t xml:space="preserve">             постановки на учет, адрес места нахождения юридического лица</w:t>
      </w:r>
    </w:p>
    <w:p>
      <w:pPr>
        <w:pStyle w:val="1"/>
        <w:jc w:val="both"/>
      </w:pPr>
      <w:r>
        <w:rPr>
          <w:sz w:val="20"/>
        </w:rPr>
        <w:t xml:space="preserve">                    либо инициалы, фамилия, идентификационный номер</w:t>
      </w:r>
    </w:p>
    <w:p>
      <w:pPr>
        <w:pStyle w:val="1"/>
        <w:jc w:val="both"/>
      </w:pPr>
      <w:r>
        <w:rPr>
          <w:sz w:val="20"/>
        </w:rPr>
        <w:t xml:space="preserve">                 налогоплательщика, адрес места жительства физического</w:t>
      </w:r>
    </w:p>
    <w:p>
      <w:pPr>
        <w:pStyle w:val="1"/>
        <w:jc w:val="both"/>
      </w:pPr>
      <w:r>
        <w:rPr>
          <w:sz w:val="20"/>
        </w:rPr>
        <w:t xml:space="preserve">                                       лица) </w:t>
      </w:r>
      <w:hyperlink w:history="0" w:anchor="P1380" w:tooltip="&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&lt;*&gt;</w:t>
        </w:r>
      </w:hyperlink>
    </w:p>
    <w:p>
      <w:pPr>
        <w:pStyle w:val="1"/>
        <w:jc w:val="both"/>
      </w:pPr>
      <w:r>
        <w:rPr>
          <w:sz w:val="20"/>
        </w:rPr>
        <w:t xml:space="preserve">в размере _______________________________________________ рублей __ копеек,</w:t>
      </w:r>
    </w:p>
    <w:p>
      <w:pPr>
        <w:pStyle w:val="1"/>
        <w:jc w:val="both"/>
      </w:pPr>
      <w:r>
        <w:rPr>
          <w:sz w:val="20"/>
        </w:rPr>
        <w:t xml:space="preserve">          (размер денежных средств, подлежащих возврату)</w:t>
      </w:r>
    </w:p>
    <w:p>
      <w:pPr>
        <w:pStyle w:val="1"/>
        <w:jc w:val="both"/>
      </w:pPr>
      <w:r>
        <w:rPr>
          <w:sz w:val="20"/>
        </w:rPr>
        <w:t xml:space="preserve">а также иные документы ___________________________________________________,</w:t>
      </w:r>
    </w:p>
    <w:p>
      <w:pPr>
        <w:pStyle w:val="1"/>
        <w:jc w:val="both"/>
      </w:pPr>
      <w:r>
        <w:rPr>
          <w:sz w:val="20"/>
        </w:rPr>
        <w:t xml:space="preserve">                        (указываются документы, приложенные к заявлению)</w:t>
      </w:r>
    </w:p>
    <w:p>
      <w:pPr>
        <w:pStyle w:val="1"/>
        <w:jc w:val="both"/>
      </w:pPr>
      <w:r>
        <w:rPr>
          <w:sz w:val="20"/>
        </w:rPr>
        <w:t xml:space="preserve">установил:</w:t>
      </w:r>
    </w:p>
    <w:p>
      <w:pPr>
        <w:pStyle w:val="1"/>
        <w:jc w:val="both"/>
      </w:pPr>
      <w:r>
        <w:rPr>
          <w:sz w:val="20"/>
        </w:rPr>
        <w:t xml:space="preserve">возвратить</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юридического лица либо инициалы, фамилия физического лица) </w:t>
      </w:r>
      <w:hyperlink w:history="0" w:anchor="P1380" w:tooltip="&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&lt;*&gt;</w:t>
        </w:r>
      </w:hyperlink>
    </w:p>
    <w:p>
      <w:pPr>
        <w:pStyle w:val="1"/>
        <w:jc w:val="both"/>
      </w:pPr>
      <w:r>
        <w:rPr>
          <w:sz w:val="20"/>
        </w:rPr>
        <w:t xml:space="preserve">экологический сбор в сумме ______________________________ рублей __ копеек.</w:t>
      </w:r>
    </w:p>
    <w:p>
      <w:pPr>
        <w:pStyle w:val="1"/>
        <w:jc w:val="both"/>
      </w:pPr>
      <w:r>
        <w:rPr>
          <w:sz w:val="20"/>
        </w:rPr>
        <w:t xml:space="preserve">                              (размер денежных средств,</w:t>
      </w:r>
    </w:p>
    <w:p>
      <w:pPr>
        <w:pStyle w:val="1"/>
        <w:jc w:val="both"/>
      </w:pPr>
      <w:r>
        <w:rPr>
          <w:sz w:val="20"/>
        </w:rPr>
        <w:t xml:space="preserve">                                подлежащих возврату)</w:t>
      </w:r>
    </w:p>
    <w:p>
      <w:pPr>
        <w:pStyle w:val="0"/>
        <w:jc w:val="both"/>
      </w:pPr>
      <w:r>
        <w:rPr>
          <w:sz w:val="24"/>
        </w:rPr>
      </w:r>
    </w:p>
    <w:tbl>
      <w:tblPr>
        <w:tblInd w:w="0" w:type="dxa"/>
        <w:tblLayout w:type="fixed"/>
        <w:tblCellMar>
          <w:top w:w="102" w:type="dxa"/>
          <w:left w:w="62" w:type="dxa"/>
          <w:bottom w:w="102" w:type="dxa"/>
          <w:right w:w="62" w:type="dxa"/>
        </w:tblCellMar>
      </w:tblPr>
      <w:tblGrid>
        <w:gridCol w:w="4301"/>
        <w:gridCol w:w="360"/>
        <w:gridCol w:w="1896"/>
        <w:gridCol w:w="360"/>
        <w:gridCol w:w="3067"/>
      </w:tblGrid>
      <w:tr>
        <w:tc>
          <w:tcPr>
            <w:tcW w:w="4301" w:type="dxa"/>
            <w:vAlign w:val="bottom"/>
            <w:tcBorders>
              <w:top w:val="nil"/>
              <w:left w:val="nil"/>
              <w:bottom w:val="nil"/>
              <w:right w:val="nil"/>
            </w:tcBorders>
          </w:tcPr>
          <w:p>
            <w:pPr>
              <w:pStyle w:val="0"/>
            </w:pPr>
            <w:r>
              <w:rPr>
                <w:sz w:val="24"/>
              </w:rPr>
              <w:t xml:space="preserve">Руководитель</w:t>
            </w:r>
          </w:p>
          <w:p>
            <w:pPr>
              <w:pStyle w:val="0"/>
            </w:pPr>
            <w:r>
              <w:rPr>
                <w:sz w:val="24"/>
              </w:rPr>
              <w:t xml:space="preserve">(заместитель руководителя) Федеральной службы по надзору в сфере природопользования</w:t>
            </w:r>
          </w:p>
        </w:tc>
        <w:tc>
          <w:tcPr>
            <w:tcW w:w="360" w:type="dxa"/>
            <w:tcBorders>
              <w:top w:val="nil"/>
              <w:left w:val="nil"/>
              <w:bottom w:val="nil"/>
              <w:right w:val="nil"/>
            </w:tcBorders>
          </w:tcPr>
          <w:p>
            <w:pPr>
              <w:pStyle w:val="0"/>
            </w:pPr>
            <w:r>
              <w:rPr>
                <w:sz w:val="24"/>
              </w:rPr>
            </w:r>
          </w:p>
        </w:tc>
        <w:tc>
          <w:tcPr>
            <w:tcW w:w="1896"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3067" w:type="dxa"/>
            <w:tcBorders>
              <w:top w:val="nil"/>
              <w:left w:val="nil"/>
              <w:bottom w:val="single" w:sz="4"/>
              <w:right w:val="nil"/>
            </w:tcBorders>
          </w:tcPr>
          <w:p>
            <w:pPr>
              <w:pStyle w:val="0"/>
            </w:pPr>
            <w:r>
              <w:rPr>
                <w:sz w:val="24"/>
              </w:rPr>
            </w:r>
          </w:p>
        </w:tc>
      </w:tr>
      <w:tr>
        <w:tc>
          <w:tcPr>
            <w:tcW w:w="4301" w:type="dxa"/>
            <w:tcBorders>
              <w:top w:val="nil"/>
              <w:left w:val="nil"/>
              <w:bottom w:val="nil"/>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1896" w:type="dxa"/>
            <w:vAlign w:val="center"/>
            <w:tcBorders>
              <w:top w:val="single" w:sz="4"/>
              <w:left w:val="nil"/>
              <w:bottom w:val="nil"/>
              <w:right w:val="nil"/>
            </w:tcBorders>
          </w:tcPr>
          <w:p>
            <w:pPr>
              <w:pStyle w:val="0"/>
              <w:jc w:val="center"/>
            </w:pPr>
            <w:r>
              <w:rPr>
                <w:sz w:val="24"/>
              </w:rPr>
              <w:t xml:space="preserve">(подпись)</w:t>
            </w:r>
          </w:p>
        </w:tc>
        <w:tc>
          <w:tcPr>
            <w:tcW w:w="360" w:type="dxa"/>
            <w:vAlign w:val="center"/>
            <w:tcBorders>
              <w:top w:val="nil"/>
              <w:left w:val="nil"/>
              <w:bottom w:val="nil"/>
              <w:right w:val="nil"/>
            </w:tcBorders>
          </w:tcPr>
          <w:p>
            <w:pPr>
              <w:pStyle w:val="0"/>
              <w:jc w:val="center"/>
            </w:pPr>
            <w:r>
              <w:rPr>
                <w:sz w:val="24"/>
              </w:rPr>
            </w:r>
          </w:p>
        </w:tc>
        <w:tc>
          <w:tcPr>
            <w:tcW w:w="3067" w:type="dxa"/>
            <w:vAlign w:val="center"/>
            <w:tcBorders>
              <w:top w:val="single" w:sz="4"/>
              <w:left w:val="nil"/>
              <w:bottom w:val="nil"/>
              <w:right w:val="nil"/>
            </w:tcBorders>
          </w:tcPr>
          <w:p>
            <w:pPr>
              <w:pStyle w:val="0"/>
              <w:jc w:val="center"/>
            </w:pPr>
            <w:r>
              <w:rPr>
                <w:sz w:val="24"/>
              </w:rPr>
              <w:t xml:space="preserve">(инициалы, фамилия)</w:t>
            </w:r>
          </w:p>
        </w:tc>
      </w:tr>
    </w:tbl>
    <w:p>
      <w:pPr>
        <w:pStyle w:val="0"/>
        <w:ind w:firstLine="540"/>
        <w:jc w:val="both"/>
      </w:pPr>
      <w:r>
        <w:rPr>
          <w:sz w:val="24"/>
        </w:rPr>
      </w:r>
    </w:p>
    <w:p>
      <w:pPr>
        <w:pStyle w:val="0"/>
        <w:ind w:firstLine="540"/>
        <w:jc w:val="both"/>
      </w:pPr>
      <w:r>
        <w:rPr>
          <w:sz w:val="24"/>
        </w:rPr>
        <w:t xml:space="preserve">--------------------------------</w:t>
      </w:r>
    </w:p>
    <w:bookmarkStart w:id="1380" w:name="P1380"/>
    <w:bookmarkEnd w:id="1380"/>
    <w:p>
      <w:pPr>
        <w:pStyle w:val="0"/>
        <w:spacing w:before="240" w:line-rule="auto"/>
        <w:ind w:firstLine="540"/>
        <w:jc w:val="both"/>
      </w:pPr>
      <w:r>
        <w:rPr>
          <w:sz w:val="24"/>
        </w:rPr>
        <w:t xml:space="preserve">&lt;*&gt;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Правилам взимания</w:t>
      </w:r>
    </w:p>
    <w:p>
      <w:pPr>
        <w:pStyle w:val="0"/>
        <w:jc w:val="right"/>
      </w:pPr>
      <w:r>
        <w:rPr>
          <w:sz w:val="24"/>
        </w:rPr>
        <w:t xml:space="preserve">экологического сбора</w:t>
      </w:r>
    </w:p>
    <w:p>
      <w:pPr>
        <w:pStyle w:val="0"/>
        <w:ind w:firstLine="540"/>
        <w:jc w:val="both"/>
      </w:pPr>
      <w:r>
        <w:rPr>
          <w:sz w:val="24"/>
        </w:rPr>
      </w:r>
    </w:p>
    <w:p>
      <w:pPr>
        <w:pStyle w:val="0"/>
        <w:jc w:val="right"/>
      </w:pPr>
      <w:r>
        <w:rPr>
          <w:sz w:val="24"/>
        </w:rPr>
        <w:t xml:space="preserve">(форма)</w:t>
      </w:r>
    </w:p>
    <w:p>
      <w:pPr>
        <w:pStyle w:val="0"/>
        <w:jc w:val="right"/>
      </w:pPr>
      <w:r>
        <w:rPr>
          <w:sz w:val="24"/>
        </w:rPr>
      </w:r>
    </w:p>
    <w:bookmarkStart w:id="1392" w:name="P1392"/>
    <w:bookmarkEnd w:id="1392"/>
    <w:p>
      <w:pPr>
        <w:pStyle w:val="1"/>
        <w:jc w:val="both"/>
      </w:pPr>
      <w:r>
        <w:rPr>
          <w:sz w:val="20"/>
        </w:rPr>
        <w:t xml:space="preserve">                             РЕШЕНИЕ N _______</w:t>
      </w:r>
    </w:p>
    <w:p>
      <w:pPr>
        <w:pStyle w:val="1"/>
        <w:jc w:val="both"/>
      </w:pPr>
      <w:r>
        <w:rPr>
          <w:sz w:val="20"/>
        </w:rPr>
        <w:t xml:space="preserve">       об отказе в возврате суммы излишне уплаченного (взысканного)</w:t>
      </w:r>
    </w:p>
    <w:p>
      <w:pPr>
        <w:pStyle w:val="1"/>
        <w:jc w:val="both"/>
      </w:pPr>
      <w:r>
        <w:rPr>
          <w:sz w:val="20"/>
        </w:rPr>
        <w:t xml:space="preserve">                           экологического сбора</w:t>
      </w:r>
    </w:p>
    <w:p>
      <w:pPr>
        <w:pStyle w:val="1"/>
        <w:jc w:val="both"/>
      </w:pPr>
      <w:r>
        <w:rPr>
          <w:sz w:val="20"/>
        </w:rPr>
      </w:r>
    </w:p>
    <w:p>
      <w:pPr>
        <w:pStyle w:val="1"/>
        <w:jc w:val="both"/>
      </w:pPr>
      <w:r>
        <w:rPr>
          <w:sz w:val="20"/>
        </w:rPr>
        <w:t xml:space="preserve">                                                             ______________</w:t>
      </w:r>
    </w:p>
    <w:p>
      <w:pPr>
        <w:pStyle w:val="1"/>
        <w:jc w:val="both"/>
      </w:pPr>
      <w:r>
        <w:rPr>
          <w:sz w:val="20"/>
        </w:rPr>
        <w:t xml:space="preserve">                                                                 (дата)</w:t>
      </w:r>
    </w:p>
    <w:p>
      <w:pPr>
        <w:pStyle w:val="1"/>
        <w:jc w:val="both"/>
      </w:pPr>
      <w:r>
        <w:rPr>
          <w:sz w:val="20"/>
        </w:rPr>
      </w:r>
    </w:p>
    <w:p>
      <w:pPr>
        <w:pStyle w:val="1"/>
        <w:jc w:val="both"/>
      </w:pPr>
      <w:r>
        <w:rPr>
          <w:sz w:val="20"/>
        </w:rPr>
        <w:t xml:space="preserve">    Руководитель (заместитель руководителя) Федеральной службы по надзору в</w:t>
      </w:r>
    </w:p>
    <w:p>
      <w:pPr>
        <w:pStyle w:val="1"/>
        <w:jc w:val="both"/>
      </w:pPr>
      <w:r>
        <w:rPr>
          <w:sz w:val="20"/>
        </w:rPr>
        <w:t xml:space="preserve">сфере   природопользования,   рассмотрев    заявление  о   возврате   суммы</w:t>
      </w:r>
    </w:p>
    <w:p>
      <w:pPr>
        <w:pStyle w:val="1"/>
        <w:jc w:val="both"/>
      </w:pPr>
      <w:r>
        <w:rPr>
          <w:sz w:val="20"/>
        </w:rPr>
        <w:t xml:space="preserve">излишне       уплаченного      (взысканного)      экологического      сбора</w:t>
      </w:r>
    </w:p>
    <w:p>
      <w:pPr>
        <w:pStyle w:val="1"/>
        <w:jc w:val="both"/>
      </w:pPr>
      <w:r>
        <w:rPr>
          <w:sz w:val="20"/>
        </w:rPr>
        <w:t xml:space="preserve">__________________________________________________________________________,</w:t>
      </w:r>
    </w:p>
    <w:p>
      <w:pPr>
        <w:pStyle w:val="1"/>
        <w:jc w:val="both"/>
      </w:pPr>
      <w:r>
        <w:rPr>
          <w:sz w:val="20"/>
        </w:rPr>
        <w:t xml:space="preserve">                          (дата, номер заявления)</w:t>
      </w:r>
    </w:p>
    <w:p>
      <w:pPr>
        <w:pStyle w:val="1"/>
        <w:jc w:val="both"/>
      </w:pPr>
      <w:r>
        <w:rPr>
          <w:sz w:val="20"/>
        </w:rPr>
        <w:t xml:space="preserve">поданное 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идентификационный номер налогоплательщика, код причины постановки</w:t>
      </w:r>
    </w:p>
    <w:p>
      <w:pPr>
        <w:pStyle w:val="1"/>
        <w:jc w:val="both"/>
      </w:pPr>
      <w:r>
        <w:rPr>
          <w:sz w:val="20"/>
        </w:rPr>
        <w:t xml:space="preserve">         на учет, адрес места нахождения юридического лица либо инициалы,</w:t>
      </w:r>
    </w:p>
    <w:p>
      <w:pPr>
        <w:pStyle w:val="1"/>
        <w:jc w:val="both"/>
      </w:pPr>
      <w:r>
        <w:rPr>
          <w:sz w:val="20"/>
        </w:rPr>
        <w:t xml:space="preserve">          фамилия, идентификационный номер налогоплательщика, адрес места</w:t>
      </w:r>
    </w:p>
    <w:p>
      <w:pPr>
        <w:pStyle w:val="1"/>
        <w:jc w:val="both"/>
      </w:pPr>
      <w:r>
        <w:rPr>
          <w:sz w:val="20"/>
        </w:rPr>
        <w:t xml:space="preserve">                         жительства физического лица) </w:t>
      </w:r>
      <w:hyperlink w:history="0" w:anchor="P1437" w:tooltip="&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w:r>
          <w:rPr>
            <w:sz w:val="20"/>
            <w:color w:val="0000ff"/>
          </w:rPr>
          <w:t xml:space="preserve">&lt;*&gt;</w:t>
        </w:r>
      </w:hyperlink>
    </w:p>
    <w:p>
      <w:pPr>
        <w:pStyle w:val="1"/>
        <w:jc w:val="both"/>
      </w:pPr>
      <w:r>
        <w:rPr>
          <w:sz w:val="20"/>
        </w:rPr>
        <w:t xml:space="preserve">в размере _______________________________________________ рублей __ копеек,</w:t>
      </w:r>
    </w:p>
    <w:p>
      <w:pPr>
        <w:pStyle w:val="1"/>
        <w:jc w:val="both"/>
      </w:pPr>
      <w:r>
        <w:rPr>
          <w:sz w:val="20"/>
        </w:rPr>
        <w:t xml:space="preserve">а также иные документы ___________________________________________________,</w:t>
      </w:r>
    </w:p>
    <w:p>
      <w:pPr>
        <w:pStyle w:val="1"/>
        <w:jc w:val="both"/>
      </w:pPr>
      <w:r>
        <w:rPr>
          <w:sz w:val="20"/>
        </w:rPr>
        <w:t xml:space="preserve">                        (указываются документы, приложенные к заявлению)</w:t>
      </w:r>
    </w:p>
    <w:p>
      <w:pPr>
        <w:pStyle w:val="1"/>
        <w:jc w:val="both"/>
      </w:pPr>
      <w:r>
        <w:rPr>
          <w:sz w:val="20"/>
        </w:rPr>
        <w:t xml:space="preserve">установил:</w:t>
      </w:r>
    </w:p>
    <w:p>
      <w:pPr>
        <w:pStyle w:val="1"/>
        <w:jc w:val="both"/>
      </w:pPr>
      <w:r>
        <w:rPr>
          <w:sz w:val="20"/>
        </w:rPr>
        <w:t xml:space="preserve">отказать __________________________________________________________________</w:t>
      </w:r>
    </w:p>
    <w:p>
      <w:pPr>
        <w:pStyle w:val="1"/>
        <w:jc w:val="both"/>
      </w:pPr>
      <w:r>
        <w:rPr>
          <w:sz w:val="20"/>
        </w:rPr>
        <w:t xml:space="preserve">          (указывается полное наименование, организационно-правовая форма</w:t>
      </w:r>
    </w:p>
    <w:p>
      <w:pPr>
        <w:pStyle w:val="1"/>
        <w:jc w:val="both"/>
      </w:pPr>
      <w:r>
        <w:rPr>
          <w:sz w:val="20"/>
        </w:rPr>
        <w:t xml:space="preserve">           юридического лица либо инициалы, фамилия физического лица) &lt;1&gt;</w:t>
      </w:r>
    </w:p>
    <w:p>
      <w:pPr>
        <w:pStyle w:val="1"/>
        <w:jc w:val="both"/>
      </w:pPr>
      <w:r>
        <w:rPr>
          <w:sz w:val="20"/>
        </w:rPr>
        <w:t xml:space="preserve">в возврате суммы экологического сбора в размере __________ рублей __ копеек</w:t>
      </w:r>
    </w:p>
    <w:p>
      <w:pPr>
        <w:pStyle w:val="1"/>
        <w:jc w:val="both"/>
      </w:pPr>
      <w:r>
        <w:rPr>
          <w:sz w:val="20"/>
        </w:rPr>
        <w:t xml:space="preserve">в связи с ________________________________________________________________.</w:t>
      </w:r>
    </w:p>
    <w:p>
      <w:pPr>
        <w:pStyle w:val="1"/>
        <w:jc w:val="both"/>
      </w:pPr>
      <w:r>
        <w:rPr>
          <w:sz w:val="20"/>
        </w:rPr>
        <w:t xml:space="preserve">          (указывается причина отказа - отсутствие в заявлении необходимых</w:t>
      </w:r>
    </w:p>
    <w:p>
      <w:pPr>
        <w:pStyle w:val="1"/>
        <w:jc w:val="both"/>
      </w:pPr>
      <w:r>
        <w:rPr>
          <w:sz w:val="20"/>
        </w:rPr>
        <w:t xml:space="preserve">            сведений, непредставление к заявлению необходимых документов)</w:t>
      </w:r>
    </w:p>
    <w:p>
      <w:pPr>
        <w:pStyle w:val="1"/>
        <w:jc w:val="both"/>
      </w:pPr>
      <w:r>
        <w:rPr>
          <w:sz w:val="20"/>
        </w:rPr>
        <w:t xml:space="preserve">    Установить срок для исправления недостатков, послуживших основанием для</w:t>
      </w:r>
    </w:p>
    <w:p>
      <w:pPr>
        <w:pStyle w:val="1"/>
        <w:jc w:val="both"/>
      </w:pPr>
      <w:r>
        <w:rPr>
          <w:sz w:val="20"/>
        </w:rPr>
        <w:t xml:space="preserve">вынесения настоящего решения, до _________________________________________.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4301"/>
        <w:gridCol w:w="360"/>
        <w:gridCol w:w="1896"/>
        <w:gridCol w:w="360"/>
        <w:gridCol w:w="3067"/>
      </w:tblGrid>
      <w:tr>
        <w:tc>
          <w:tcPr>
            <w:tcW w:w="4301" w:type="dxa"/>
            <w:vAlign w:val="bottom"/>
            <w:tcBorders>
              <w:top w:val="nil"/>
              <w:left w:val="nil"/>
              <w:bottom w:val="nil"/>
              <w:right w:val="nil"/>
            </w:tcBorders>
          </w:tcPr>
          <w:p>
            <w:pPr>
              <w:pStyle w:val="0"/>
            </w:pPr>
            <w:r>
              <w:rPr>
                <w:sz w:val="24"/>
              </w:rPr>
              <w:t xml:space="preserve">Руководитель</w:t>
            </w:r>
          </w:p>
          <w:p>
            <w:pPr>
              <w:pStyle w:val="0"/>
            </w:pPr>
            <w:r>
              <w:rPr>
                <w:sz w:val="24"/>
              </w:rPr>
              <w:t xml:space="preserve">(заместитель руководителя) Федеральной службы по надзору в сфере природопользования</w:t>
            </w:r>
          </w:p>
        </w:tc>
        <w:tc>
          <w:tcPr>
            <w:tcW w:w="360" w:type="dxa"/>
            <w:tcBorders>
              <w:top w:val="nil"/>
              <w:left w:val="nil"/>
              <w:bottom w:val="nil"/>
              <w:right w:val="nil"/>
            </w:tcBorders>
          </w:tcPr>
          <w:p>
            <w:pPr>
              <w:pStyle w:val="0"/>
            </w:pPr>
            <w:r>
              <w:rPr>
                <w:sz w:val="24"/>
              </w:rPr>
            </w:r>
          </w:p>
        </w:tc>
        <w:tc>
          <w:tcPr>
            <w:tcW w:w="1896"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3067" w:type="dxa"/>
            <w:tcBorders>
              <w:top w:val="nil"/>
              <w:left w:val="nil"/>
              <w:bottom w:val="single" w:sz="4"/>
              <w:right w:val="nil"/>
            </w:tcBorders>
          </w:tcPr>
          <w:p>
            <w:pPr>
              <w:pStyle w:val="0"/>
            </w:pPr>
            <w:r>
              <w:rPr>
                <w:sz w:val="24"/>
              </w:rPr>
            </w:r>
          </w:p>
        </w:tc>
      </w:tr>
      <w:tr>
        <w:tc>
          <w:tcPr>
            <w:tcW w:w="4301" w:type="dxa"/>
            <w:tcBorders>
              <w:top w:val="nil"/>
              <w:left w:val="nil"/>
              <w:bottom w:val="nil"/>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1896" w:type="dxa"/>
            <w:vAlign w:val="center"/>
            <w:tcBorders>
              <w:top w:val="single" w:sz="4"/>
              <w:left w:val="nil"/>
              <w:bottom w:val="nil"/>
              <w:right w:val="nil"/>
            </w:tcBorders>
          </w:tcPr>
          <w:p>
            <w:pPr>
              <w:pStyle w:val="0"/>
              <w:jc w:val="center"/>
            </w:pPr>
            <w:r>
              <w:rPr>
                <w:sz w:val="24"/>
              </w:rPr>
              <w:t xml:space="preserve">(подпись)</w:t>
            </w:r>
          </w:p>
        </w:tc>
        <w:tc>
          <w:tcPr>
            <w:tcW w:w="360" w:type="dxa"/>
            <w:vAlign w:val="center"/>
            <w:tcBorders>
              <w:top w:val="nil"/>
              <w:left w:val="nil"/>
              <w:bottom w:val="nil"/>
              <w:right w:val="nil"/>
            </w:tcBorders>
          </w:tcPr>
          <w:p>
            <w:pPr>
              <w:pStyle w:val="0"/>
              <w:jc w:val="center"/>
            </w:pPr>
            <w:r>
              <w:rPr>
                <w:sz w:val="24"/>
              </w:rPr>
            </w:r>
          </w:p>
        </w:tc>
        <w:tc>
          <w:tcPr>
            <w:tcW w:w="3067" w:type="dxa"/>
            <w:vAlign w:val="center"/>
            <w:tcBorders>
              <w:top w:val="single" w:sz="4"/>
              <w:left w:val="nil"/>
              <w:bottom w:val="nil"/>
              <w:right w:val="nil"/>
            </w:tcBorders>
          </w:tcPr>
          <w:p>
            <w:pPr>
              <w:pStyle w:val="0"/>
              <w:jc w:val="center"/>
            </w:pPr>
            <w:r>
              <w:rPr>
                <w:sz w:val="24"/>
              </w:rPr>
              <w:t xml:space="preserve">(инициалы, фамилия)</w:t>
            </w:r>
          </w:p>
        </w:tc>
      </w:tr>
    </w:tbl>
    <w:p>
      <w:pPr>
        <w:pStyle w:val="0"/>
        <w:ind w:firstLine="540"/>
        <w:jc w:val="both"/>
      </w:pPr>
      <w:r>
        <w:rPr>
          <w:sz w:val="24"/>
        </w:rPr>
      </w:r>
    </w:p>
    <w:p>
      <w:pPr>
        <w:pStyle w:val="0"/>
        <w:ind w:firstLine="540"/>
        <w:jc w:val="both"/>
      </w:pPr>
      <w:r>
        <w:rPr>
          <w:sz w:val="24"/>
        </w:rPr>
        <w:t xml:space="preserve">--------------------------------</w:t>
      </w:r>
    </w:p>
    <w:bookmarkStart w:id="1437" w:name="P1437"/>
    <w:bookmarkEnd w:id="1437"/>
    <w:p>
      <w:pPr>
        <w:pStyle w:val="0"/>
        <w:spacing w:before="240" w:line-rule="auto"/>
        <w:ind w:firstLine="540"/>
        <w:jc w:val="both"/>
      </w:pPr>
      <w:r>
        <w:rPr>
          <w:sz w:val="24"/>
        </w:rPr>
        <w:t xml:space="preserve">&lt;*&gt; Поля заполняются автоматически на основании сведений из учетной записи юридического лица или индивидуального предпринимателя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2024 г. N 1990</w:t>
      </w:r>
    </w:p>
    <w:p>
      <w:pPr>
        <w:pStyle w:val="0"/>
        <w:jc w:val="center"/>
      </w:pPr>
      <w:r>
        <w:rPr>
          <w:sz w:val="24"/>
        </w:rPr>
      </w:r>
    </w:p>
    <w:bookmarkStart w:id="1448" w:name="P1448"/>
    <w:bookmarkEnd w:id="1448"/>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0"/>
        <w:jc w:val="center"/>
      </w:pPr>
      <w:r>
        <w:rPr>
          <w:sz w:val="24"/>
        </w:rPr>
      </w:r>
    </w:p>
    <w:p>
      <w:pPr>
        <w:pStyle w:val="0"/>
        <w:ind w:firstLine="540"/>
        <w:jc w:val="both"/>
      </w:pPr>
      <w:r>
        <w:rPr>
          <w:sz w:val="24"/>
        </w:rPr>
        <w:t xml:space="preserve">1. </w:t>
      </w:r>
      <w:r>
        <w:rPr>
          <w:sz w:val="24"/>
        </w:rPr>
        <w:t xml:space="preserve">Сноску 2</w:t>
      </w:r>
      <w:r>
        <w:rPr>
          <w:sz w:val="24"/>
        </w:rPr>
        <w:t xml:space="preserve"> приложения N 1 к Правилам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утвержденным постановлением Правительства Российской Федерации от 31 мая 2024 г. N 741 "Об утверждении Правил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(Собрание законодательства Российской Федерации, 2024, N 23, ст. 3212), дополнить абзацем следующего содержания:</w:t>
      </w:r>
    </w:p>
    <w:p>
      <w:pPr>
        <w:pStyle w:val="0"/>
        <w:spacing w:before="240" w:line-rule="auto"/>
        <w:ind w:firstLine="540"/>
        <w:jc w:val="both"/>
      </w:pPr>
      <w:r>
        <w:rPr>
          <w:sz w:val="24"/>
        </w:rPr>
        <w:t xml:space="preserve">"При этом, если производитель товара производит часть товара, упаковки, произведенных на территории Российской Федерации с использованием вторичного сырья, произведенного на территории Российской Федерации, в отношении которых подается отчетность, при наличии подтверждения производства товара с использованием вторичного сырья в порядке, утверждаемом Правительством Российской Федерации в соответствии с </w:t>
      </w:r>
      <w:r>
        <w:rPr>
          <w:sz w:val="24"/>
        </w:rPr>
        <w:t xml:space="preserve">пунктом 15 статьи 24.2-1</w:t>
      </w:r>
      <w:r>
        <w:rPr>
          <w:sz w:val="24"/>
        </w:rPr>
        <w:t xml:space="preserve"> Федерального закона "Об отходах производства и потребления", сведения о товаре, упаковке, произведенных с использованием вторичного сырья и без использования такого вторичного сырья, в таблице 1 указываются раздельно.".</w:t>
      </w:r>
    </w:p>
    <w:p>
      <w:pPr>
        <w:pStyle w:val="0"/>
        <w:spacing w:before="240" w:line-rule="auto"/>
        <w:ind w:firstLine="540"/>
        <w:jc w:val="both"/>
      </w:pPr>
      <w:r>
        <w:rPr>
          <w:sz w:val="24"/>
        </w:rPr>
        <w:t xml:space="preserve">2. В </w:t>
      </w:r>
      <w:r>
        <w:rPr>
          <w:sz w:val="24"/>
        </w:rPr>
        <w:t xml:space="preserve">приложении N 2</w:t>
      </w:r>
      <w:r>
        <w:rPr>
          <w:sz w:val="24"/>
        </w:rPr>
        <w:t xml:space="preserve"> к Правилам представления производителями товаров, импортерами товаров отчетности о выполнении самостоятельной утилизации отходов от использования товаров, утвержденным постановлением Правительства Российской Федерации от 31 мая 2024 г. N 742 "Об утверждении Правил представления производителями товаров, импортерами товаров отчетности о выполнении самостоятельной утилизации отходов от использования товаров" (Собрание законодательства Российской Федерации, 2024, N 23, ст. 3213):</w:t>
      </w:r>
    </w:p>
    <w:p>
      <w:pPr>
        <w:pStyle w:val="0"/>
        <w:spacing w:before="240" w:line-rule="auto"/>
        <w:ind w:firstLine="540"/>
        <w:jc w:val="both"/>
      </w:pPr>
      <w:r>
        <w:rPr>
          <w:sz w:val="24"/>
        </w:rPr>
        <w:t xml:space="preserve">а) </w:t>
      </w:r>
      <w:r>
        <w:rPr>
          <w:sz w:val="24"/>
        </w:rPr>
        <w:t xml:space="preserve">абзацы первый</w:t>
      </w:r>
      <w:r>
        <w:rPr>
          <w:sz w:val="24"/>
        </w:rPr>
        <w:t xml:space="preserve"> и </w:t>
      </w:r>
      <w:r>
        <w:rPr>
          <w:sz w:val="24"/>
        </w:rPr>
        <w:t xml:space="preserve">второй сноски 28</w:t>
      </w:r>
      <w:r>
        <w:rPr>
          <w:sz w:val="24"/>
        </w:rPr>
        <w:t xml:space="preserve"> изложить в следующей редакции:</w:t>
      </w:r>
    </w:p>
    <w:p>
      <w:pPr>
        <w:pStyle w:val="0"/>
        <w:spacing w:before="240" w:line-rule="auto"/>
        <w:ind w:firstLine="540"/>
        <w:jc w:val="both"/>
      </w:pPr>
      <w:r>
        <w:rPr>
          <w:sz w:val="24"/>
        </w:rPr>
        <w:t xml:space="preserve">"&lt;28&gt; Указывается масса отходов, за которые необходимо уплатить экологический сбор (М</w:t>
      </w:r>
      <w:r>
        <w:rPr>
          <w:sz w:val="24"/>
          <w:vertAlign w:val="subscript"/>
        </w:rPr>
        <w:t xml:space="preserve">эс.т.</w:t>
      </w:r>
      <w:r>
        <w:rPr>
          <w:sz w:val="24"/>
        </w:rPr>
        <w:t xml:space="preserve">), определяемая как разница между значениями М</w:t>
      </w:r>
      <w:r>
        <w:rPr>
          <w:sz w:val="24"/>
          <w:vertAlign w:val="subscript"/>
        </w:rPr>
        <w:t xml:space="preserve">подл.ут.т.</w:t>
      </w:r>
      <w:r>
        <w:rPr>
          <w:sz w:val="24"/>
        </w:rPr>
        <w:t xml:space="preserve"> (графа 19) и М</w:t>
      </w:r>
      <w:r>
        <w:rPr>
          <w:sz w:val="24"/>
          <w:vertAlign w:val="subscript"/>
        </w:rPr>
        <w:t xml:space="preserve">засч.т.</w:t>
      </w:r>
      <w:r>
        <w:rPr>
          <w:sz w:val="24"/>
        </w:rPr>
        <w:t xml:space="preserve"> (графа 30).</w:t>
      </w:r>
    </w:p>
    <w:p>
      <w:pPr>
        <w:pStyle w:val="0"/>
        <w:spacing w:before="240" w:line-rule="auto"/>
        <w:ind w:firstLine="540"/>
        <w:jc w:val="both"/>
      </w:pPr>
      <w:r>
        <w:rPr>
          <w:sz w:val="24"/>
        </w:rPr>
        <w:t xml:space="preserve">В случае если полученное значение М</w:t>
      </w:r>
      <w:r>
        <w:rPr>
          <w:sz w:val="24"/>
          <w:vertAlign w:val="subscript"/>
        </w:rPr>
        <w:t xml:space="preserve">эс.т.</w:t>
      </w:r>
      <w:r>
        <w:rPr>
          <w:sz w:val="24"/>
        </w:rPr>
        <w:t xml:space="preserve"> меньше значения "0", в строке графы 32 ставится значение "0".";</w:t>
      </w:r>
    </w:p>
    <w:p>
      <w:pPr>
        <w:pStyle w:val="0"/>
        <w:spacing w:before="240" w:line-rule="auto"/>
        <w:ind w:firstLine="540"/>
        <w:jc w:val="both"/>
      </w:pPr>
      <w:r>
        <w:rPr>
          <w:sz w:val="24"/>
        </w:rPr>
        <w:t xml:space="preserve">б) </w:t>
      </w:r>
      <w:r>
        <w:rPr>
          <w:sz w:val="24"/>
        </w:rPr>
        <w:t xml:space="preserve">абзац первый сноски 46</w:t>
      </w:r>
      <w:r>
        <w:rPr>
          <w:sz w:val="24"/>
        </w:rPr>
        <w:t xml:space="preserve"> изложить в следующей редакции:</w:t>
      </w:r>
    </w:p>
    <w:p>
      <w:pPr>
        <w:pStyle w:val="0"/>
        <w:spacing w:before="240" w:line-rule="auto"/>
        <w:ind w:firstLine="540"/>
        <w:jc w:val="both"/>
      </w:pPr>
      <w:r>
        <w:rPr>
          <w:sz w:val="24"/>
        </w:rPr>
        <w:t xml:space="preserve">"&lt;46&gt; Указывается масса отходов, за которые необходимо уплатить экологический сбор (М</w:t>
      </w:r>
      <w:r>
        <w:rPr>
          <w:sz w:val="24"/>
          <w:vertAlign w:val="subscript"/>
        </w:rPr>
        <w:t xml:space="preserve">эс.уп.</w:t>
      </w:r>
      <w:r>
        <w:rPr>
          <w:sz w:val="24"/>
        </w:rPr>
        <w:t xml:space="preserve">), определяемая как разница между значениями М</w:t>
      </w:r>
      <w:r>
        <w:rPr>
          <w:sz w:val="24"/>
          <w:vertAlign w:val="subscript"/>
        </w:rPr>
        <w:t xml:space="preserve">подл.ут.уп.</w:t>
      </w:r>
      <w:r>
        <w:rPr>
          <w:sz w:val="24"/>
        </w:rPr>
        <w:t xml:space="preserve"> (графа 14) и М</w:t>
      </w:r>
      <w:r>
        <w:rPr>
          <w:sz w:val="24"/>
          <w:vertAlign w:val="subscript"/>
        </w:rPr>
        <w:t xml:space="preserve">засч.уп.</w:t>
      </w:r>
      <w:r>
        <w:rPr>
          <w:sz w:val="24"/>
        </w:rPr>
        <w:t xml:space="preserve"> (графа 25).".</w:t>
      </w:r>
    </w:p>
    <w:p>
      <w:pPr>
        <w:pStyle w:val="0"/>
        <w:spacing w:before="240" w:line-rule="auto"/>
        <w:ind w:firstLine="540"/>
        <w:jc w:val="both"/>
      </w:pPr>
      <w:r>
        <w:rPr>
          <w:sz w:val="24"/>
        </w:rPr>
        <w:t xml:space="preserve">3. В </w:t>
      </w:r>
      <w:r>
        <w:rPr>
          <w:sz w:val="24"/>
        </w:rPr>
        <w:t xml:space="preserve">приложении N 3</w:t>
      </w:r>
      <w:r>
        <w:rPr>
          <w:sz w:val="24"/>
        </w:rPr>
        <w:t xml:space="preserve"> к Положению о проведении эксперимента в отношении отдельных групп товаров, в том числе товаров в упаковке, утвержденному постановлением Правительства Российской Федерации от 1 июня 2024 г. N 750 "О проведении эксперимента в отношении отдельных групп товаров, в том числе товаров в упаковке" (Собрание законодательства Российской Федерации, 2024, N 24, ст. 3299):</w:t>
      </w:r>
    </w:p>
    <w:p>
      <w:pPr>
        <w:pStyle w:val="0"/>
        <w:spacing w:before="240" w:line-rule="auto"/>
        <w:ind w:firstLine="540"/>
        <w:jc w:val="both"/>
      </w:pPr>
      <w:r>
        <w:rPr>
          <w:sz w:val="24"/>
        </w:rPr>
        <w:t xml:space="preserve">а) </w:t>
      </w:r>
      <w:r>
        <w:rPr>
          <w:sz w:val="24"/>
        </w:rPr>
        <w:t xml:space="preserve">сноску 15</w:t>
      </w:r>
      <w:r>
        <w:rPr>
          <w:sz w:val="24"/>
        </w:rPr>
        <w:t xml:space="preserve"> изложить в следующей редакции:</w:t>
      </w:r>
    </w:p>
    <w:p>
      <w:pPr>
        <w:pStyle w:val="0"/>
        <w:spacing w:before="240" w:line-rule="auto"/>
        <w:ind w:firstLine="540"/>
        <w:jc w:val="both"/>
      </w:pPr>
      <w:r>
        <w:rPr>
          <w:sz w:val="24"/>
        </w:rPr>
        <w:t xml:space="preserve">"&lt;15&gt; Указывается масса отходов, за которые необходимо уплатить экологический сбор (М</w:t>
      </w:r>
      <w:r>
        <w:rPr>
          <w:sz w:val="24"/>
          <w:vertAlign w:val="subscript"/>
        </w:rPr>
        <w:t xml:space="preserve">эс.т.</w:t>
      </w:r>
      <w:r>
        <w:rPr>
          <w:sz w:val="24"/>
        </w:rPr>
        <w:t xml:space="preserve">), определяемая как разница между значением М</w:t>
      </w:r>
      <w:r>
        <w:rPr>
          <w:sz w:val="24"/>
          <w:vertAlign w:val="subscript"/>
        </w:rPr>
        <w:t xml:space="preserve">подл.ут.т.</w:t>
      </w:r>
      <w:r>
        <w:rPr>
          <w:sz w:val="24"/>
        </w:rPr>
        <w:t xml:space="preserve"> (графа 5) и значением М</w:t>
      </w:r>
      <w:r>
        <w:rPr>
          <w:sz w:val="24"/>
          <w:vertAlign w:val="subscript"/>
        </w:rPr>
        <w:t xml:space="preserve">засч.т.</w:t>
      </w:r>
      <w:r>
        <w:rPr>
          <w:sz w:val="24"/>
        </w:rPr>
        <w:t xml:space="preserve"> (графа 16). В случае если полученное значение М</w:t>
      </w:r>
      <w:r>
        <w:rPr>
          <w:sz w:val="24"/>
          <w:vertAlign w:val="subscript"/>
        </w:rPr>
        <w:t xml:space="preserve">эс.т.</w:t>
      </w:r>
      <w:r>
        <w:rPr>
          <w:sz w:val="24"/>
        </w:rPr>
        <w:t xml:space="preserve"> меньше значения "0", в строке графы 18 ставится значение "0".";</w:t>
      </w:r>
    </w:p>
    <w:p>
      <w:pPr>
        <w:pStyle w:val="0"/>
        <w:spacing w:before="240" w:line-rule="auto"/>
        <w:ind w:firstLine="540"/>
        <w:jc w:val="both"/>
      </w:pPr>
      <w:r>
        <w:rPr>
          <w:sz w:val="24"/>
        </w:rPr>
        <w:t xml:space="preserve">б) </w:t>
      </w:r>
      <w:r>
        <w:rPr>
          <w:sz w:val="24"/>
        </w:rPr>
        <w:t xml:space="preserve">абзац первый</w:t>
      </w:r>
      <w:r>
        <w:rPr>
          <w:sz w:val="24"/>
        </w:rPr>
        <w:t xml:space="preserve"> сноски 27 изложить в следующей редакции:</w:t>
      </w:r>
    </w:p>
    <w:p>
      <w:pPr>
        <w:pStyle w:val="0"/>
        <w:spacing w:before="240" w:line-rule="auto"/>
        <w:ind w:firstLine="540"/>
        <w:jc w:val="both"/>
      </w:pPr>
      <w:r>
        <w:rPr>
          <w:sz w:val="24"/>
        </w:rPr>
        <w:t xml:space="preserve">"&lt;27&gt; Указывается масса отходов, за которые необходимо уплатить экологический сбор (М</w:t>
      </w:r>
      <w:r>
        <w:rPr>
          <w:sz w:val="24"/>
          <w:vertAlign w:val="subscript"/>
        </w:rPr>
        <w:t xml:space="preserve">эс.уп.</w:t>
      </w:r>
      <w:r>
        <w:rPr>
          <w:sz w:val="24"/>
        </w:rPr>
        <w:t xml:space="preserve">), определяемая как разница между значением М</w:t>
      </w:r>
      <w:r>
        <w:rPr>
          <w:sz w:val="24"/>
          <w:vertAlign w:val="subscript"/>
        </w:rPr>
        <w:t xml:space="preserve">подл.ут.уп.</w:t>
      </w:r>
      <w:r>
        <w:rPr>
          <w:sz w:val="24"/>
        </w:rPr>
        <w:t xml:space="preserve"> (графа 7) и значением М</w:t>
      </w:r>
      <w:r>
        <w:rPr>
          <w:sz w:val="24"/>
          <w:vertAlign w:val="subscript"/>
        </w:rPr>
        <w:t xml:space="preserve">засч.уп.</w:t>
      </w:r>
      <w:r>
        <w:rPr>
          <w:sz w:val="24"/>
        </w:rPr>
        <w:t xml:space="preserve"> (графа 18).".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w:t>
            </w:r>
            <w:hyperlink w:history="0" w:anchor="P28" w:tooltip="13. Настоящее постановление вступает в силу с 1 января 2025 г., за исключением пункта 4 изменений, утвержденных настоящим постановлением, который вступает в силу со дня официального опубликования настоящего постановления.">
              <w:r>
                <w:rPr>
                  <w:sz w:val="24"/>
                  <w:color w:val="0000ff"/>
                </w:rPr>
                <w:t xml:space="preserve">вступил</w:t>
              </w:r>
            </w:hyperlink>
            <w:r>
              <w:rPr>
                <w:sz w:val="24"/>
                <w:color w:val="392c69"/>
              </w:rPr>
              <w:t xml:space="preserve"> в силу с 31.12.2024.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6" w:name="P1466"/>
    <w:bookmarkEnd w:id="1466"/>
    <w:p>
      <w:pPr>
        <w:pStyle w:val="0"/>
        <w:spacing w:before="300" w:line-rule="auto"/>
        <w:ind w:firstLine="540"/>
        <w:jc w:val="both"/>
      </w:pPr>
      <w:r>
        <w:rPr>
          <w:sz w:val="24"/>
        </w:rPr>
        <w:t xml:space="preserve">4. </w:t>
      </w:r>
      <w:r>
        <w:rPr>
          <w:sz w:val="24"/>
        </w:rPr>
        <w:t xml:space="preserve">Пункт 5</w:t>
      </w:r>
      <w:r>
        <w:rPr>
          <w:sz w:val="24"/>
        </w:rPr>
        <w:t xml:space="preserve"> постановления Правительства Российской Федерации от 1 августа 2024 г. N 1041 "О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(Собрание законодательства Российской Федерации, 2024, N 32, ст. 4874) дополнить словами ", и пункта 3 настоящего постановления, который вступает в силу с 1 сентября 2025 г.".</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30.12.2024 N 1990</w:t>
            <w:br/>
            <w:t>(ред. от 30.12.2025)</w:t>
            <w:br/>
            <w:t>"О порядке взимания экологического сбора"</w:t>
            <w:br/>
            <w:t>(вмес...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30.12.2024 N 1990</w:t>
            <w:br/>
            <w:t>(ред. от 30.12.2025)</w:t>
            <w:br/>
            <w:t>"О порядке взимания экологического сбора"</w:t>
            <w:br/>
            <w:t>(вмес...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30.12.2024 N 1990
(ред. от 30.12.2025)
"О порядке взимания экологического сбора"
(вместе с "Правилами взимания экологического сбора")
(с изм. и доп., вступ. в силу с 01.01.2026)</dc:title>
  <dcterms:created xsi:type="dcterms:W3CDTF">2026-01-16T09:34:01Z</dcterms:created>
</cp:coreProperties>
</file>