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rtl w:val="0"/>
        </w:rPr>
        <w:t xml:space="preserve">Информация о заседании Комиссии Уральского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9 сентября 2025 г. состоялось заседание Комиссии Уральского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На заседании Комиссии был рассмотрены следующие вопросы: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обращение бывшего государственного гражданского служащего в соответствии со статьей 17 Федерального закона от 27.07.2004 № 79-ФЗ </w:t>
        <w:br w:type="textWrapping"/>
        <w:t xml:space="preserve">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коммерческой организации после увольнения с гражданской службы.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По результатам рассмотрения вышеуказанного вопроса Комиссией принято следующее решение: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дать государственному гражданскому служащему согласие на замещение должности на условиях трудового договора в коммерческой организации.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