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1A" w:rsidRDefault="00FF441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F441A" w:rsidRDefault="00FF441A">
      <w:pPr>
        <w:pStyle w:val="ConsPlusNormal"/>
        <w:jc w:val="both"/>
        <w:outlineLvl w:val="0"/>
      </w:pPr>
    </w:p>
    <w:p w:rsidR="00FF441A" w:rsidRDefault="00FF441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F441A" w:rsidRDefault="00FF441A">
      <w:pPr>
        <w:pStyle w:val="ConsPlusTitle"/>
        <w:jc w:val="center"/>
      </w:pPr>
    </w:p>
    <w:p w:rsidR="00FF441A" w:rsidRDefault="00FF441A">
      <w:pPr>
        <w:pStyle w:val="ConsPlusTitle"/>
        <w:jc w:val="center"/>
      </w:pPr>
      <w:r>
        <w:t>ПОСТАНОВЛЕНИЕ</w:t>
      </w:r>
    </w:p>
    <w:p w:rsidR="00FF441A" w:rsidRDefault="00FF441A">
      <w:pPr>
        <w:pStyle w:val="ConsPlusTitle"/>
        <w:jc w:val="center"/>
      </w:pPr>
      <w:r>
        <w:t>от 11 марта 2022 г. N 343</w:t>
      </w:r>
    </w:p>
    <w:p w:rsidR="00FF441A" w:rsidRDefault="00FF441A">
      <w:pPr>
        <w:pStyle w:val="ConsPlusTitle"/>
        <w:jc w:val="center"/>
      </w:pPr>
    </w:p>
    <w:p w:rsidR="00FF441A" w:rsidRDefault="00FF441A">
      <w:pPr>
        <w:pStyle w:val="ConsPlusTitle"/>
        <w:jc w:val="center"/>
      </w:pPr>
      <w:r>
        <w:t>ОБ УТВЕРЖДЕНИИ ПРАВИЛ</w:t>
      </w:r>
    </w:p>
    <w:p w:rsidR="00FF441A" w:rsidRDefault="00FF441A">
      <w:pPr>
        <w:pStyle w:val="ConsPlusTitle"/>
        <w:jc w:val="center"/>
      </w:pPr>
      <w:r>
        <w:t>ВЫДАЧИ РАЗРЕШЕНИЯ НА ОБОРОТ ОБЪЕКТОВ ЖИВОТНОГО МИРА,</w:t>
      </w:r>
    </w:p>
    <w:p w:rsidR="00FF441A" w:rsidRDefault="00FF441A">
      <w:pPr>
        <w:pStyle w:val="ConsPlusTitle"/>
        <w:jc w:val="center"/>
      </w:pPr>
      <w:r>
        <w:t>ЗАНЕСЕННЫХ В КРАСНУЮ КНИГУ РОССИЙСКОЙ ФЕДЕРАЦИИ, И ПРИЗНАНИИ</w:t>
      </w:r>
    </w:p>
    <w:p w:rsidR="00FF441A" w:rsidRDefault="00FF441A">
      <w:pPr>
        <w:pStyle w:val="ConsPlusTitle"/>
        <w:jc w:val="center"/>
      </w:pPr>
      <w:r>
        <w:t>УТРАТИВШИМИ СИЛУ НЕКОТОРЫХ АКТОВ И ОТДЕЛЬНЫХ ПОЛОЖЕНИЙ</w:t>
      </w:r>
    </w:p>
    <w:p w:rsidR="00FF441A" w:rsidRDefault="00FF441A">
      <w:pPr>
        <w:pStyle w:val="ConsPlusTitle"/>
        <w:jc w:val="center"/>
      </w:pPr>
      <w:r>
        <w:t>НЕКОТОРЫХ АКТОВ ПРАВИТЕЛЬСТВА РОССИЙСКОЙ ФЕДЕРАЦИИ</w:t>
      </w:r>
    </w:p>
    <w:p w:rsidR="00FF441A" w:rsidRDefault="00FF44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44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1A" w:rsidRDefault="00FF44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1A" w:rsidRDefault="00FF44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41A" w:rsidRDefault="00FF44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441A" w:rsidRDefault="00FF44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w:anchor="P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11.03.2022 N 343)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1A" w:rsidRDefault="00FF441A">
            <w:pPr>
              <w:pStyle w:val="ConsPlusNormal"/>
            </w:pPr>
          </w:p>
        </w:tc>
      </w:tr>
    </w:tbl>
    <w:p w:rsidR="00FF441A" w:rsidRDefault="00FF441A">
      <w:pPr>
        <w:pStyle w:val="ConsPlusNormal"/>
        <w:jc w:val="center"/>
      </w:pPr>
    </w:p>
    <w:p w:rsidR="00FF441A" w:rsidRDefault="00FF441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7">
        <w:r>
          <w:rPr>
            <w:color w:val="0000FF"/>
          </w:rPr>
          <w:t>Правила</w:t>
        </w:r>
      </w:hyperlink>
      <w:r>
        <w:t xml:space="preserve"> выдачи разрешения на оборот объектов животного мира, занесенных в Красную книгу Российской Федерации.</w:t>
      </w:r>
    </w:p>
    <w:p w:rsidR="00FF441A" w:rsidRDefault="00FF44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44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1A" w:rsidRDefault="00FF44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1A" w:rsidRDefault="00FF44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41A" w:rsidRDefault="00FF441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441A" w:rsidRDefault="00FF441A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32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01.09.2028.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1A" w:rsidRDefault="00FF441A">
            <w:pPr>
              <w:pStyle w:val="ConsPlusNormal"/>
            </w:pPr>
          </w:p>
        </w:tc>
      </w:tr>
    </w:tbl>
    <w:p w:rsidR="00FF441A" w:rsidRDefault="00FF441A">
      <w:pPr>
        <w:pStyle w:val="ConsPlusNormal"/>
        <w:spacing w:before="280"/>
        <w:ind w:firstLine="540"/>
        <w:jc w:val="both"/>
      </w:pPr>
      <w:bookmarkStart w:id="0" w:name="P18"/>
      <w:bookmarkEnd w:id="0"/>
      <w:r>
        <w:t>2. Установить, что: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содержание в неволе объектов животного мира, занесенных в Красную книгу Российской Федерации, допускается только в целях их сохранения и воспроизводства в искусственно созданной среде обитания, а также в научных и культурно-просветительских целях;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выпуск в естественную природную среду объектов животного мира, занесенных в Красную книгу Российской Федерации, осуществляется в целях сохранения и (или) пополнения их природных популяций.</w:t>
      </w:r>
    </w:p>
    <w:p w:rsidR="00FF441A" w:rsidRDefault="00FF44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44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1A" w:rsidRDefault="00FF44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1A" w:rsidRDefault="00FF44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41A" w:rsidRDefault="00FF441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441A" w:rsidRDefault="00FF441A">
            <w:pPr>
              <w:pStyle w:val="ConsPlusNormal"/>
              <w:jc w:val="both"/>
            </w:pPr>
            <w:r>
              <w:rPr>
                <w:color w:val="392C69"/>
              </w:rPr>
              <w:t xml:space="preserve">П. 3 </w:t>
            </w:r>
            <w:hyperlink w:anchor="P32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01.09.2028.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1A" w:rsidRDefault="00FF441A">
            <w:pPr>
              <w:pStyle w:val="ConsPlusNormal"/>
            </w:pPr>
          </w:p>
        </w:tc>
      </w:tr>
    </w:tbl>
    <w:p w:rsidR="00FF441A" w:rsidRDefault="00FF441A">
      <w:pPr>
        <w:pStyle w:val="ConsPlusNormal"/>
        <w:spacing w:before="280"/>
        <w:ind w:firstLine="540"/>
        <w:jc w:val="both"/>
      </w:pPr>
      <w:bookmarkStart w:id="1" w:name="P23"/>
      <w:bookmarkEnd w:id="1"/>
      <w:r>
        <w:t>3. С 1 января 2023 г. выдача разрешений на оборот объектов животного мира, занесенных в Красную книгу Российской Федерации, а также разрешений (распорядительных лицензий) на оборот диких животных, принадлежащих к видам, занесенным в Красную книгу Российской Федерации, подтверждается Федеральной службой по надзору в сфере природопользования записью в реестре разрешений на оборот объектов животного мира, занесенных в Красную книгу Российской Федерации.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FF441A" w:rsidRDefault="00FF441A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февраля 1996 г. N 156 "О порядке выдачи разрешений (распорядительных лицензий) на оборот диких животных, принадлежащих к видам, занесенным в Красную книгу Российской Федерации" (Собрание законодательства Российской Федерации, 1996, N 9, ст. 807);</w:t>
      </w:r>
    </w:p>
    <w:p w:rsidR="00FF441A" w:rsidRDefault="00FF441A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1</w:t>
        </w:r>
      </w:hyperlink>
      <w:r>
        <w:t xml:space="preserve"> изменений, которые вносятся в решения Правительства Российской Федерации по вопросам охраны и использования объектов животного мира, утвержденных постановлением Правительства Российской Федерации от 24 апреля 2003 г. N 240 "О внесении изменений в некоторые решения Правительства Российской Федерации по вопросам охраны и использования объектов животного мира" (Собрание законодательства Российской Федерации, 2003, N 17, ст. 1621);</w:t>
      </w:r>
    </w:p>
    <w:p w:rsidR="00FF441A" w:rsidRDefault="00FF441A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вопросам охраны и использования объектов животного мира, утвержденных постановлением Правительства Российской Федерации от 14 декабря 2004 г. N 774 "О внесении изменений в некоторые акты Правительства Российской Федерации по вопросам охраны и использования объектов животного мира" (Собрание законодательства Российской Федерации, 2004, N 51, ст. 5188);</w:t>
      </w:r>
    </w:p>
    <w:p w:rsidR="00FF441A" w:rsidRDefault="00FF441A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22 апреля 2009 г. N 351 "О внесении изменений в некоторые акты Правительства Российской Федерации" (Собрание законодательства Российской Федерации, 2009, N 18, ст. 2248);</w:t>
      </w:r>
    </w:p>
    <w:p w:rsidR="00FF441A" w:rsidRDefault="00FF441A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апреля 2014 г. N 357 "О внесении изменений в порядок выдачи разрешений (распорядительных лицензий) на оборот диких животных, принадлежащих к видам, занесенным в Красную книгу Российской Федерации (Собрание законодательства Российской Федерации, 2014, N 18, ст. 2198).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 xml:space="preserve">5. </w:t>
      </w:r>
      <w:hyperlink r:id="rId11">
        <w:r>
          <w:rPr>
            <w:color w:val="0000FF"/>
          </w:rPr>
          <w:t>Пункт 676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сентября 2022 г.</w:t>
      </w:r>
    </w:p>
    <w:bookmarkStart w:id="2" w:name="P32"/>
    <w:bookmarkEnd w:id="2"/>
    <w:p w:rsidR="00FF441A" w:rsidRDefault="00FF441A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"P18" \h </w:instrText>
      </w:r>
      <w:r>
        <w:fldChar w:fldCharType="separate"/>
      </w:r>
      <w:r>
        <w:rPr>
          <w:color w:val="0000FF"/>
        </w:rPr>
        <w:t>Пункты 2</w:t>
      </w:r>
      <w:r>
        <w:rPr>
          <w:color w:val="0000FF"/>
        </w:rPr>
        <w:fldChar w:fldCharType="end"/>
      </w:r>
      <w:r>
        <w:t xml:space="preserve"> и </w:t>
      </w:r>
      <w:hyperlink w:anchor="P23">
        <w:r>
          <w:rPr>
            <w:color w:val="0000FF"/>
          </w:rPr>
          <w:t>3</w:t>
        </w:r>
      </w:hyperlink>
      <w:r>
        <w:t xml:space="preserve"> настоящего постановления и </w:t>
      </w:r>
      <w:hyperlink w:anchor="P47">
        <w:r>
          <w:rPr>
            <w:color w:val="0000FF"/>
          </w:rPr>
          <w:t>Правила</w:t>
        </w:r>
      </w:hyperlink>
      <w:r>
        <w:t xml:space="preserve"> выдачи разрешения на оборот объектов животного мира, занесенных в Красную книгу Российской Федерации, утвержденные настоящим постановлением, действуют до 1 сентября 2028 г., за исключением </w:t>
      </w:r>
      <w:hyperlink w:anchor="P54">
        <w:r>
          <w:rPr>
            <w:color w:val="0000FF"/>
          </w:rPr>
          <w:t>пунктов 2</w:t>
        </w:r>
      </w:hyperlink>
      <w:r>
        <w:t xml:space="preserve"> и </w:t>
      </w:r>
      <w:hyperlink w:anchor="P69">
        <w:r>
          <w:rPr>
            <w:color w:val="0000FF"/>
          </w:rPr>
          <w:t>10</w:t>
        </w:r>
      </w:hyperlink>
      <w:r>
        <w:t xml:space="preserve"> указанных Правил, которые действуют до 1 января 2023 г.</w:t>
      </w:r>
    </w:p>
    <w:p w:rsidR="00FF441A" w:rsidRDefault="00FF441A">
      <w:pPr>
        <w:pStyle w:val="ConsPlusNormal"/>
        <w:ind w:firstLine="540"/>
        <w:jc w:val="both"/>
      </w:pPr>
    </w:p>
    <w:p w:rsidR="00FF441A" w:rsidRDefault="00FF441A">
      <w:pPr>
        <w:pStyle w:val="ConsPlusNormal"/>
        <w:jc w:val="right"/>
      </w:pPr>
      <w:r>
        <w:t>Председатель Правительства</w:t>
      </w:r>
    </w:p>
    <w:p w:rsidR="00FF441A" w:rsidRDefault="00FF441A">
      <w:pPr>
        <w:pStyle w:val="ConsPlusNormal"/>
        <w:jc w:val="right"/>
      </w:pPr>
      <w:r>
        <w:t>Российской Федерации</w:t>
      </w:r>
    </w:p>
    <w:p w:rsidR="00FF441A" w:rsidRDefault="00FF441A">
      <w:pPr>
        <w:pStyle w:val="ConsPlusNormal"/>
        <w:jc w:val="right"/>
      </w:pPr>
      <w:r>
        <w:t>М.МИШУСТИН</w:t>
      </w:r>
    </w:p>
    <w:p w:rsidR="00FF441A" w:rsidRDefault="00FF441A">
      <w:pPr>
        <w:pStyle w:val="ConsPlusNormal"/>
        <w:ind w:firstLine="540"/>
        <w:jc w:val="both"/>
      </w:pPr>
    </w:p>
    <w:p w:rsidR="00FF441A" w:rsidRDefault="00FF441A">
      <w:pPr>
        <w:pStyle w:val="ConsPlusNormal"/>
        <w:ind w:firstLine="540"/>
        <w:jc w:val="both"/>
      </w:pPr>
    </w:p>
    <w:p w:rsidR="00FF441A" w:rsidRDefault="00FF441A">
      <w:pPr>
        <w:pStyle w:val="ConsPlusNormal"/>
        <w:ind w:firstLine="540"/>
        <w:jc w:val="both"/>
      </w:pPr>
    </w:p>
    <w:p w:rsidR="00FF441A" w:rsidRDefault="00FF441A">
      <w:pPr>
        <w:pStyle w:val="ConsPlusNormal"/>
        <w:ind w:firstLine="540"/>
        <w:jc w:val="both"/>
      </w:pPr>
    </w:p>
    <w:p w:rsidR="00FF441A" w:rsidRDefault="00FF441A">
      <w:pPr>
        <w:pStyle w:val="ConsPlusNormal"/>
        <w:ind w:firstLine="540"/>
        <w:jc w:val="both"/>
      </w:pPr>
    </w:p>
    <w:p w:rsidR="00FF441A" w:rsidRDefault="00FF441A">
      <w:pPr>
        <w:pStyle w:val="ConsPlusNormal"/>
        <w:jc w:val="right"/>
        <w:outlineLvl w:val="0"/>
      </w:pPr>
      <w:r>
        <w:t>Утверждены</w:t>
      </w:r>
    </w:p>
    <w:p w:rsidR="00FF441A" w:rsidRDefault="00FF441A">
      <w:pPr>
        <w:pStyle w:val="ConsPlusNormal"/>
        <w:jc w:val="right"/>
      </w:pPr>
      <w:r>
        <w:t>постановлением Правительства</w:t>
      </w:r>
    </w:p>
    <w:p w:rsidR="00FF441A" w:rsidRDefault="00FF441A">
      <w:pPr>
        <w:pStyle w:val="ConsPlusNormal"/>
        <w:jc w:val="right"/>
      </w:pPr>
      <w:r>
        <w:t>Российской Федерации</w:t>
      </w:r>
    </w:p>
    <w:p w:rsidR="00FF441A" w:rsidRDefault="00FF441A">
      <w:pPr>
        <w:pStyle w:val="ConsPlusNormal"/>
        <w:jc w:val="right"/>
      </w:pPr>
      <w:r>
        <w:t>от 11 марта 2022 г. N 343</w:t>
      </w:r>
    </w:p>
    <w:p w:rsidR="00FF441A" w:rsidRDefault="00FF441A">
      <w:pPr>
        <w:pStyle w:val="ConsPlusNormal"/>
        <w:jc w:val="center"/>
      </w:pPr>
    </w:p>
    <w:p w:rsidR="00FF441A" w:rsidRDefault="00FF441A">
      <w:pPr>
        <w:pStyle w:val="ConsPlusTitle"/>
        <w:jc w:val="center"/>
      </w:pPr>
      <w:bookmarkStart w:id="3" w:name="P47"/>
      <w:bookmarkEnd w:id="3"/>
      <w:r>
        <w:t>ПРАВИЛА</w:t>
      </w:r>
    </w:p>
    <w:p w:rsidR="00FF441A" w:rsidRDefault="00FF441A">
      <w:pPr>
        <w:pStyle w:val="ConsPlusTitle"/>
        <w:jc w:val="center"/>
      </w:pPr>
      <w:r>
        <w:t>ВЫДАЧИ РАЗРЕШЕНИЯ НА ОБОРОТ ОБЪЕКТОВ ЖИВОТНОГО МИРА,</w:t>
      </w:r>
    </w:p>
    <w:p w:rsidR="00FF441A" w:rsidRDefault="00FF441A">
      <w:pPr>
        <w:pStyle w:val="ConsPlusTitle"/>
        <w:jc w:val="center"/>
      </w:pPr>
      <w:r>
        <w:t>ЗАНЕСЕННЫХ В КРАСНУЮ КНИГУ РОССИЙСКОЙ ФЕДЕРАЦИИ</w:t>
      </w:r>
    </w:p>
    <w:p w:rsidR="00FF441A" w:rsidRDefault="00FF44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44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1A" w:rsidRDefault="00FF44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1A" w:rsidRDefault="00FF44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41A" w:rsidRDefault="00FF44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441A" w:rsidRDefault="00FF44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w:anchor="P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11.03.2022 N 343)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41A" w:rsidRDefault="00FF441A">
            <w:pPr>
              <w:pStyle w:val="ConsPlusNormal"/>
            </w:pPr>
          </w:p>
        </w:tc>
      </w:tr>
    </w:tbl>
    <w:p w:rsidR="00FF441A" w:rsidRDefault="00FF441A">
      <w:pPr>
        <w:pStyle w:val="ConsPlusNormal"/>
        <w:jc w:val="center"/>
      </w:pPr>
    </w:p>
    <w:p w:rsidR="00FF441A" w:rsidRDefault="00FF441A">
      <w:pPr>
        <w:pStyle w:val="ConsPlusNormal"/>
        <w:ind w:firstLine="540"/>
        <w:jc w:val="both"/>
      </w:pPr>
      <w:r>
        <w:t xml:space="preserve">1. Настоящие Правила устанавливают порядок выдачи разрешения на оборот объектов животного мира, занесенных в </w:t>
      </w:r>
      <w:hyperlink r:id="rId12">
        <w:r>
          <w:rPr>
            <w:color w:val="0000FF"/>
          </w:rPr>
          <w:t>Красную книгу</w:t>
        </w:r>
      </w:hyperlink>
      <w:r>
        <w:t xml:space="preserve"> Российской Федерации (далее соответственно - разрешение, объекты животного мира).</w:t>
      </w:r>
    </w:p>
    <w:p w:rsidR="00FF441A" w:rsidRDefault="00FF441A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2. Утратил силу с 1 января 2023 года. - </w:t>
      </w:r>
      <w:hyperlink w:anchor="P32">
        <w:r>
          <w:rPr>
            <w:color w:val="0000FF"/>
          </w:rPr>
          <w:t>Абзац второй пункта 6</w:t>
        </w:r>
      </w:hyperlink>
      <w:r>
        <w:t xml:space="preserve"> данного Постановления.</w:t>
      </w:r>
    </w:p>
    <w:p w:rsidR="00FF441A" w:rsidRDefault="00FF441A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3. Для получения разрешения заинтересованное юридическое или физическое лицо, в пользовании которого находится объект животного мира, представляет в Федеральную службу по надзору в сфере природопользования </w:t>
      </w:r>
      <w:hyperlink r:id="rId13">
        <w:r>
          <w:rPr>
            <w:color w:val="0000FF"/>
          </w:rPr>
          <w:t>заявление</w:t>
        </w:r>
      </w:hyperlink>
      <w:r>
        <w:t xml:space="preserve"> на получение разрешения (далее - заявление), в котором указываются: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а) сведения о заявителе (для физического лица - паспортные данные, для юридического лица - идентификационный номер налогоплательщика, основной государственный регистрационный номер, для иностранных юридических лиц - номер и дата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лиц);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б) цель пользования объектами животного мира;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в) перечень объектов животного мира с указанием вида, идентификационных признаков (пол, возраст, при наличии - метки, чипы, несъемные кольца);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г) предполагаемый срок пользования объектом животного мира;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д) сведения об условиях содержания изъятых из естественной природной среды объектов животного мира.</w:t>
      </w:r>
    </w:p>
    <w:p w:rsidR="00FF441A" w:rsidRDefault="00FF441A">
      <w:pPr>
        <w:pStyle w:val="ConsPlusNormal"/>
        <w:spacing w:before="220"/>
        <w:ind w:firstLine="540"/>
        <w:jc w:val="both"/>
      </w:pPr>
      <w:bookmarkStart w:id="6" w:name="P61"/>
      <w:bookmarkEnd w:id="6"/>
      <w:r>
        <w:t>4. К заявлению прилагаются: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а) документы, обосновывающие необходимость осуществления указанной в заявлении цели пользования объектами животного мира, в том числе документы, подтверждающие переход права владения объектами животного мира, намерение осуществить мероприятия по искусственному воспроизводству объектов животного мира, сведения о выполнении государственного задания и научных программ, пояснения, представляемые заявителем;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б) документы, подтверждающие право владения объектами животного мира и их происхождение, в том числе выписки из книги учета движения поголовья, паспорта объектов животного мира, генетические паспорта ремонтно-маточных стад, акты рождения, реквизиты разрешений на добывание объектов животного мира.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lastRenderedPageBreak/>
        <w:t xml:space="preserve">5. Заявление и документы, указанные в </w:t>
      </w:r>
      <w:hyperlink w:anchor="P61">
        <w:r>
          <w:rPr>
            <w:color w:val="0000FF"/>
          </w:rPr>
          <w:t>пункте 4</w:t>
        </w:r>
      </w:hyperlink>
      <w:r>
        <w:t xml:space="preserve"> настоящих Правил, представляются в письменной форме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 xml:space="preserve">6. Разрешения выдаются Федеральной службой по надзору в сфере природопользования при условии соответствия целей пользования объектами животного мира, предполагаемого срока пользования объектами животного мира и условий содержания изъятых из естественной природной среды объектов животного мира требованиям, установленным </w:t>
      </w:r>
      <w:hyperlink r:id="rId14">
        <w:r>
          <w:rPr>
            <w:color w:val="0000FF"/>
          </w:rPr>
          <w:t>Законом</w:t>
        </w:r>
      </w:hyperlink>
      <w:r>
        <w:t xml:space="preserve"> Российской Федерации "О ветеринарии",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животном мире" и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"Об ответственном обращении с животными и о внесении изменений в отдельные законодательные акты Российской Федерации" в отношении указанных в заявлении объектов животного мира.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7. Выдача разрешения подтверждается Федеральной службой по надзору в сфере природопользования записью в реестре разрешений на оборот объектов животного мира, занесенных в Красную книгу Российской Федерации, который формируется и ведется в электронном виде Федеральной службой по надзору в сфере природопользования.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8. Лицо, получившее разрешение, направляет в территориальный орган Федеральной службы по надзору в сфере природопользования по месту совершения оборота объектов животного мира уведомление о месте и времени планируемого оборота объектов животного мира.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9. По заявлению заинтересованного лица сведения о конкретном разрешении предоставляются из реестра разрешений на оборот объектов животного мира, занесенных в Красную книгу Российской Федерации, в форме выписки.</w:t>
      </w:r>
    </w:p>
    <w:p w:rsidR="00FF441A" w:rsidRDefault="00FF441A">
      <w:pPr>
        <w:pStyle w:val="ConsPlusNormal"/>
        <w:spacing w:before="220"/>
        <w:ind w:firstLine="540"/>
        <w:jc w:val="both"/>
      </w:pPr>
      <w:bookmarkStart w:id="7" w:name="P69"/>
      <w:bookmarkEnd w:id="7"/>
      <w:r>
        <w:t xml:space="preserve">10. Утратил силу с 1 января 2023 года. - </w:t>
      </w:r>
      <w:hyperlink w:anchor="P32">
        <w:r>
          <w:rPr>
            <w:color w:val="0000FF"/>
          </w:rPr>
          <w:t>Абзац второй пункта 6</w:t>
        </w:r>
      </w:hyperlink>
      <w:r>
        <w:t xml:space="preserve"> данного Постановления.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11. По завершении оборота объектов животного мира лицо, получившее разрешение, в 2-месячный срок представляет в орган, выдавший разрешение, отчет в письменной форме о результатах такого оборота с указанием числа фактически выпущенных особей объектов животного мира, даты и места выпуска объектов животного мира или даты фактической передачи объектов животного мира от одного лица к другому, а также даты регистрации и наименования зарегистрировавшего указанный оборот территориального органа Федеральной службы по надзору в сфере природопользования. Форма отчета о результатах оборота объектов животного мира утверждается Министерством природных ресурсов и экологии Российской Федерации.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 xml:space="preserve">12. Разрешение выдается на срок, соответствующий сроку, указанному в заявлении и документах, указанных в </w:t>
      </w:r>
      <w:hyperlink w:anchor="P6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 xml:space="preserve">13. Оценка соответствия вида пользования объектами животного мира, предполагаемого срока пользования объектами животного мира и условий содержания изъятых из естественной природной среды объектов животного мира требованиям, установленным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животном мире",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ветеринарии" и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"Об ответственном обращении с животными и о внесении изменений в отдельные законодательные акты Российской Федерации" в отношении указанных в заявлении объектов животного мира, осуществляется Федеральной службой по надзору в сфере природопользования по результатам рассмотрения представленных документов с учетом позиции Комиссии по рассмотрению материалов на получение разрешительных документов в области сохранения биологического разнообразия (далее - Комиссия).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 xml:space="preserve">14. Комиссия создается </w:t>
      </w:r>
      <w:hyperlink r:id="rId20">
        <w:r>
          <w:rPr>
            <w:color w:val="0000FF"/>
          </w:rPr>
          <w:t>приказом</w:t>
        </w:r>
      </w:hyperlink>
      <w:r>
        <w:t xml:space="preserve"> Федеральной службы по надзору в сфере природопользования, и в ее состав входят представители Федеральной службы по надзору в </w:t>
      </w:r>
      <w:r>
        <w:lastRenderedPageBreak/>
        <w:t>сфере природопользования, заинтересованных федеральных органов исполнительной власти, научных и общественных организаций.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Заседание Комиссии созывается по мере необходимости, но не реже одного раза в месяц. Комиссия принимает решения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 Принятое Комиссией решение оформляется протоколом Комиссии.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 xml:space="preserve">15. Решение о выдаче или об отказе в выдаче разрешения принимается в течение 10 дней со дня получения заявления и документов, указанных в </w:t>
      </w:r>
      <w:hyperlink w:anchor="P55">
        <w:r>
          <w:rPr>
            <w:color w:val="0000FF"/>
          </w:rPr>
          <w:t>пунктах 3</w:t>
        </w:r>
      </w:hyperlink>
      <w:r>
        <w:t xml:space="preserve"> и </w:t>
      </w:r>
      <w:hyperlink w:anchor="P61">
        <w:r>
          <w:rPr>
            <w:color w:val="0000FF"/>
          </w:rPr>
          <w:t>4</w:t>
        </w:r>
      </w:hyperlink>
      <w:r>
        <w:t xml:space="preserve"> настоящих Правил.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16. Основаниями для отказа в выдаче разрешения являются: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 xml:space="preserve">а) несоответствие состава сведений, указанных в заявлении и документах, </w:t>
      </w:r>
      <w:hyperlink w:anchor="P55">
        <w:r>
          <w:rPr>
            <w:color w:val="0000FF"/>
          </w:rPr>
          <w:t>пунктам 3</w:t>
        </w:r>
      </w:hyperlink>
      <w:r>
        <w:t xml:space="preserve"> и </w:t>
      </w:r>
      <w:hyperlink w:anchor="P61">
        <w:r>
          <w:rPr>
            <w:color w:val="0000FF"/>
          </w:rPr>
          <w:t>4</w:t>
        </w:r>
      </w:hyperlink>
      <w:r>
        <w:t xml:space="preserve"> настоящих Правил;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 xml:space="preserve">б) несоответствие целей пользования объектами животного мира, предполагаемого срока пользования объектами животного мира и условий содержания изъятых из естественной природной среды объектов животного мира требованиям, установленным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животном мире",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ветеринарии" и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"Об ответственном обращении с животными и о внесении изменений в отдельные законодательные акты Российской Федерации" в отношении указанных в заявлении объектов животного мира;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 xml:space="preserve">в) обнаружение недостоверных данных в документах, указанных в </w:t>
      </w:r>
      <w:hyperlink w:anchor="P55">
        <w:r>
          <w:rPr>
            <w:color w:val="0000FF"/>
          </w:rPr>
          <w:t>пунктах 3</w:t>
        </w:r>
      </w:hyperlink>
      <w:r>
        <w:t xml:space="preserve"> и </w:t>
      </w:r>
      <w:hyperlink w:anchor="P61">
        <w:r>
          <w:rPr>
            <w:color w:val="0000FF"/>
          </w:rPr>
          <w:t>4</w:t>
        </w:r>
      </w:hyperlink>
      <w:r>
        <w:t xml:space="preserve"> настоящих Правил;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 xml:space="preserve">г) отрицательное решение Комиссии, принятое по результатам рассмотрения заявления и документов, указанных в </w:t>
      </w:r>
      <w:hyperlink w:anchor="P55">
        <w:r>
          <w:rPr>
            <w:color w:val="0000FF"/>
          </w:rPr>
          <w:t>пунктах 3</w:t>
        </w:r>
      </w:hyperlink>
      <w:r>
        <w:t xml:space="preserve"> и </w:t>
      </w:r>
      <w:hyperlink w:anchor="P61">
        <w:r>
          <w:rPr>
            <w:color w:val="0000FF"/>
          </w:rPr>
          <w:t>4</w:t>
        </w:r>
      </w:hyperlink>
      <w:r>
        <w:t xml:space="preserve"> настоящих Правил.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17. Уведомление о принятии решения о выдаче или об отказе в выдаче разрешения направляется заявителю в суточный срок в письменной форме или в форме электронного документа, при этом в уведомлении о принятии решения об отказе в выдаче разрешения указываются причины для отказа в выдаче разрешения.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18. Решение Федеральной службы по надзору в сфере природопользования об отказе в выдаче разрешения может быть обжаловано в суд в установленном порядке.</w:t>
      </w:r>
    </w:p>
    <w:p w:rsidR="00FF441A" w:rsidRDefault="00FF441A">
      <w:pPr>
        <w:pStyle w:val="ConsPlusNormal"/>
        <w:spacing w:before="220"/>
        <w:ind w:firstLine="540"/>
        <w:jc w:val="both"/>
      </w:pPr>
      <w:r>
        <w:t>19. В случае если международным договором Российской Федерации установлен иной порядок выдачи разрешения, применяются правила соответствующего международного договора.</w:t>
      </w:r>
    </w:p>
    <w:p w:rsidR="00FF441A" w:rsidRDefault="00FF441A">
      <w:pPr>
        <w:pStyle w:val="ConsPlusNormal"/>
        <w:jc w:val="both"/>
      </w:pPr>
    </w:p>
    <w:p w:rsidR="00FF441A" w:rsidRDefault="00FF441A">
      <w:pPr>
        <w:pStyle w:val="ConsPlusNormal"/>
        <w:jc w:val="both"/>
      </w:pPr>
    </w:p>
    <w:p w:rsidR="00FF441A" w:rsidRDefault="00FF44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719" w:rsidRDefault="00FF441A">
      <w:bookmarkStart w:id="8" w:name="_GoBack"/>
      <w:bookmarkEnd w:id="8"/>
    </w:p>
    <w:sectPr w:rsidR="00506719" w:rsidSect="0027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1A"/>
    <w:rsid w:val="0042546D"/>
    <w:rsid w:val="00E8567E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4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44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44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4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44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44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710&amp;dst=100009" TargetMode="External"/><Relationship Id="rId13" Type="http://schemas.openxmlformats.org/officeDocument/2006/relationships/hyperlink" Target="https://login.consultant.ru/link/?req=doc&amp;base=LAW&amp;n=369738&amp;dst=100299" TargetMode="External"/><Relationship Id="rId18" Type="http://schemas.openxmlformats.org/officeDocument/2006/relationships/hyperlink" Target="https://login.consultant.ru/link/?req=doc&amp;base=LAW&amp;n=4827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862" TargetMode="External"/><Relationship Id="rId7" Type="http://schemas.openxmlformats.org/officeDocument/2006/relationships/hyperlink" Target="https://login.consultant.ru/link/?req=doc&amp;base=LAW&amp;n=41988&amp;dst=100009" TargetMode="External"/><Relationship Id="rId12" Type="http://schemas.openxmlformats.org/officeDocument/2006/relationships/hyperlink" Target="https://login.consultant.ru/link/?req=doc&amp;base=LAW&amp;n=349637&amp;dst=100014" TargetMode="External"/><Relationship Id="rId17" Type="http://schemas.openxmlformats.org/officeDocument/2006/relationships/hyperlink" Target="https://login.consultant.ru/link/?req=doc&amp;base=LAW&amp;n=482862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855" TargetMode="External"/><Relationship Id="rId20" Type="http://schemas.openxmlformats.org/officeDocument/2006/relationships/hyperlink" Target="https://login.consultant.ru/link/?req=doc&amp;base=LAW&amp;n=120885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2110" TargetMode="External"/><Relationship Id="rId11" Type="http://schemas.openxmlformats.org/officeDocument/2006/relationships/hyperlink" Target="https://login.consultant.ru/link/?req=doc&amp;base=LAW&amp;n=424769&amp;dst=10083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2862" TargetMode="External"/><Relationship Id="rId23" Type="http://schemas.openxmlformats.org/officeDocument/2006/relationships/hyperlink" Target="https://login.consultant.ru/link/?req=doc&amp;base=LAW&amp;n=482855" TargetMode="External"/><Relationship Id="rId10" Type="http://schemas.openxmlformats.org/officeDocument/2006/relationships/hyperlink" Target="https://login.consultant.ru/link/?req=doc&amp;base=LAW&amp;n=162096" TargetMode="External"/><Relationship Id="rId19" Type="http://schemas.openxmlformats.org/officeDocument/2006/relationships/hyperlink" Target="https://login.consultant.ru/link/?req=doc&amp;base=LAW&amp;n=482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5875&amp;dst=100010" TargetMode="External"/><Relationship Id="rId14" Type="http://schemas.openxmlformats.org/officeDocument/2006/relationships/hyperlink" Target="https://login.consultant.ru/link/?req=doc&amp;base=LAW&amp;n=482791" TargetMode="External"/><Relationship Id="rId22" Type="http://schemas.openxmlformats.org/officeDocument/2006/relationships/hyperlink" Target="https://login.consultant.ru/link/?req=doc&amp;base=LAW&amp;n=482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"Хай-тек Сервис"</Company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User032-6</dc:creator>
  <cp:lastModifiedBy>User032-6</cp:lastModifiedBy>
  <cp:revision>1</cp:revision>
  <dcterms:created xsi:type="dcterms:W3CDTF">2024-08-20T11:25:00Z</dcterms:created>
  <dcterms:modified xsi:type="dcterms:W3CDTF">2024-08-20T11:25:00Z</dcterms:modified>
</cp:coreProperties>
</file>