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exact" w:line="24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Spacing"/>
        <w:spacing w:lineRule="exact" w:line="24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ОБЗОР </w:t>
      </w:r>
    </w:p>
    <w:p>
      <w:pPr>
        <w:pStyle w:val="NoSpacing"/>
        <w:spacing w:lineRule="exact" w:line="24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обращений граждан, поступивших в </w:t>
      </w:r>
    </w:p>
    <w:p>
      <w:pPr>
        <w:pStyle w:val="NoSpacing"/>
        <w:spacing w:lineRule="exact" w:line="24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Северо-Западное межрегиональное управление Росприроднадзора (далее - Управление) за 4 квартал 2025г.</w:t>
      </w:r>
    </w:p>
    <w:p>
      <w:pPr>
        <w:pStyle w:val="NoSpacing"/>
        <w:spacing w:lineRule="exact" w:line="240"/>
        <w:ind w:hanging="0"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Обращения граждан и организаций (далее – обращения) рассматриваются в Северо-Западном межрегиональном Управлении Росприроднадзора строго в соответствии с Федеральным законом Российской Федерации от 02.05.2006</w:t>
        <w:br/>
        <w:t>№ 59-ФЗ «О порядке рассмотрения обращений граждан Российской Федерации».</w:t>
      </w:r>
      <w:r>
        <w:rPr/>
        <w:t xml:space="preserve">  </w:t>
      </w:r>
      <w:r>
        <w:rPr>
          <w:rFonts w:cs="Times New Roman" w:ascii="Times New Roman" w:hAnsi="Times New Roman"/>
          <w:sz w:val="28"/>
          <w:szCs w:val="28"/>
        </w:rPr>
        <w:t>Внимание уделяется соблюдению сроков рассмотрения обращений. Все обращения граждан, поступившие в Управление, берутся на внутренний контроль и передаются на исполнение в отделы. В случае необходимости обращения рассматриваются с привлечением иных органов, служб и организаций, имеющих отношение к решению данного вопроса.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4-й квартал 2025 года в Управление поступило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821</w:t>
      </w:r>
      <w:r>
        <w:rPr>
          <w:rFonts w:cs="Times New Roman" w:ascii="Times New Roman" w:hAnsi="Times New Roman"/>
          <w:sz w:val="28"/>
          <w:szCs w:val="28"/>
        </w:rPr>
        <w:t xml:space="preserve"> обращение, что на 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205</w:t>
      </w:r>
      <w:r>
        <w:rPr>
          <w:rFonts w:cs="Times New Roman" w:ascii="Times New Roman" w:hAnsi="Times New Roman"/>
          <w:sz w:val="28"/>
          <w:szCs w:val="28"/>
        </w:rPr>
        <w:t xml:space="preserve"> обращений меньше, чем за аналогичный период 2024 (</w:t>
      </w: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1026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обр.) года. 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том числе, поступивших на рассмотрение из: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 Ц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 xml:space="preserve">ентрального аппарата Росприроднадзора </w:t>
      </w:r>
      <w:r>
        <w:rPr>
          <w:rFonts w:cs="Times New Roman" w:ascii="Times New Roman" w:hAnsi="Times New Roman"/>
          <w:sz w:val="28"/>
          <w:szCs w:val="28"/>
        </w:rPr>
        <w:t xml:space="preserve">– 59 обращений;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Общественных организаций и объединений –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52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- Непосредственно от граждан и юридических лиц </w:t>
      </w:r>
      <w:r>
        <w:rPr>
          <w:rFonts w:cs="Times New Roman" w:ascii="Times New Roman" w:hAnsi="Times New Roman"/>
          <w:sz w:val="28"/>
          <w:szCs w:val="28"/>
        </w:rPr>
        <w:t>–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225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й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из иных государственных учреждений – </w:t>
      </w:r>
      <w:r>
        <w:rPr>
          <w:rFonts w:cs="Times New Roman" w:ascii="Times New Roman" w:hAnsi="Times New Roman"/>
          <w:sz w:val="28"/>
          <w:szCs w:val="28"/>
        </w:rPr>
        <w:t>484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524500" cy="3828415"/>
            <wp:effectExtent l="0" t="0" r="0" b="0"/>
            <wp:docPr id="1" name="Диаграмма 6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Spacing"/>
        <w:ind w:firstLine="709"/>
        <w:jc w:val="both"/>
        <w:rPr>
          <w:color w:val="242424"/>
          <w:sz w:val="28"/>
          <w:szCs w:val="28"/>
          <w:shd w:fill="F8F8F8" w:val="clear"/>
        </w:rPr>
      </w:pPr>
      <w:r>
        <w:rPr>
          <w:color w:val="242424"/>
          <w:sz w:val="28"/>
          <w:szCs w:val="28"/>
          <w:shd w:fill="F8F8F8" w:val="clear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Анализ источников поступления обращений показал, что за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квартал 2025 года уменьшилось количество обращений направленных в форме электронного документа по сравнению с 2024 годом (2</w:t>
      </w:r>
      <w:r>
        <w:rPr>
          <w:rFonts w:cs="Times New Roman" w:ascii="Times New Roman" w:hAnsi="Times New Roman"/>
          <w:sz w:val="28"/>
          <w:szCs w:val="28"/>
        </w:rPr>
        <w:t>19</w:t>
      </w:r>
      <w:r>
        <w:rPr>
          <w:rFonts w:cs="Times New Roman" w:ascii="Times New Roman" w:hAnsi="Times New Roman"/>
          <w:sz w:val="28"/>
          <w:szCs w:val="28"/>
        </w:rPr>
        <w:t xml:space="preserve"> обр./</w:t>
      </w:r>
      <w:r>
        <w:rPr>
          <w:rFonts w:cs="Times New Roman" w:ascii="Times New Roman" w:hAnsi="Times New Roman"/>
          <w:sz w:val="28"/>
          <w:szCs w:val="28"/>
        </w:rPr>
        <w:t>288</w:t>
      </w:r>
      <w:r>
        <w:rPr>
          <w:rFonts w:cs="Times New Roman" w:ascii="Times New Roman" w:hAnsi="Times New Roman"/>
          <w:sz w:val="28"/>
          <w:szCs w:val="28"/>
        </w:rPr>
        <w:t xml:space="preserve"> обр.),  граждане направили в Управление обращения путем заполнения специальной формы на Едином портале для подачи обращений граждан </w:t>
      </w:r>
      <w:r>
        <w:rPr>
          <w:rFonts w:cs="Times New Roman" w:ascii="Times New Roman" w:hAnsi="Times New Roman"/>
          <w:b/>
          <w:sz w:val="28"/>
          <w:szCs w:val="28"/>
        </w:rPr>
        <w:t>«Направить обращение»,</w:t>
      </w:r>
      <w:r>
        <w:rPr>
          <w:rFonts w:cs="Times New Roman" w:ascii="Times New Roman" w:hAnsi="Times New Roman"/>
          <w:sz w:val="28"/>
          <w:szCs w:val="28"/>
        </w:rPr>
        <w:t xml:space="preserve"> размещенном на официальном сайте Росприроднадзора. </w:t>
      </w:r>
      <w:r>
        <w:rPr>
          <w:rFonts w:cs="Times New Roman" w:ascii="Times New Roman" w:hAnsi="Times New Roman"/>
          <w:sz w:val="28"/>
          <w:szCs w:val="28"/>
        </w:rPr>
        <w:t>740</w:t>
      </w:r>
      <w:r>
        <w:rPr>
          <w:rFonts w:cs="Times New Roman" w:ascii="Times New Roman" w:hAnsi="Times New Roman"/>
          <w:sz w:val="28"/>
          <w:szCs w:val="28"/>
        </w:rPr>
        <w:t xml:space="preserve"> обращени</w:t>
      </w:r>
      <w:r>
        <w:rPr>
          <w:rFonts w:cs="Times New Roman" w:ascii="Times New Roman" w:hAnsi="Times New Roman"/>
          <w:sz w:val="28"/>
          <w:szCs w:val="28"/>
        </w:rPr>
        <w:t>й</w:t>
      </w:r>
      <w:r>
        <w:rPr>
          <w:rFonts w:cs="Times New Roman" w:ascii="Times New Roman" w:hAnsi="Times New Roman"/>
          <w:sz w:val="28"/>
          <w:szCs w:val="28"/>
        </w:rPr>
        <w:t>, поступившие в Управление в 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 квартале 2025 года, рассмотрены. </w:t>
      </w:r>
      <w:r>
        <w:rPr>
          <w:rFonts w:cs="Times New Roman" w:ascii="Times New Roman" w:hAnsi="Times New Roman"/>
          <w:sz w:val="28"/>
          <w:szCs w:val="28"/>
        </w:rPr>
        <w:t>41 обращение, поступившие в 4 квартале 2025 года, находятся на рассмотрении.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Значительное количество обращений граждан от общего числа, рассмотренных в 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квартале 2025 года в Управлении, связано с нарушениями водного законодательства в части застройки водоохранных зон, возведения гидротехнических сооружений и огораживания берегов водоемов, а также сбросов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различных отходов, что составляет 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4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4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 от поступивших обращений.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Второе место занимают обращения, </w:t>
      </w:r>
      <w:r>
        <w:rPr>
          <w:rFonts w:cs="Times New Roman" w:ascii="Times New Roman" w:hAnsi="Times New Roman"/>
          <w:sz w:val="28"/>
          <w:szCs w:val="28"/>
        </w:rPr>
        <w:t>связанные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с прочими вопросами - </w:t>
      </w:r>
      <w:r>
        <w:rPr>
          <w:rFonts w:cs="Times New Roman" w:ascii="Times New Roman" w:hAnsi="Times New Roman"/>
          <w:sz w:val="28"/>
          <w:szCs w:val="28"/>
        </w:rPr>
        <w:t>16.7 %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 xml:space="preserve">На третьем месте </w:t>
      </w: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есанкционированные свалки в Северо-Западном регионе - 1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8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В адрес ведомства в отчетном периоде, также поступали обращения граждан по вопросам: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-Загрязнение окружающей среды выбросами и сбросами различных предприятий - 1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5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О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храна атмосферного воздуха - 1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4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-Деятельность по сбору, накоплению, транспортированию, обработке, утилизации, обезвреживанию, размещению отходов ТКО и ТБО -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9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-Защита животных - 3.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8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-Предполагаемое строительство объектов, деятельность которых может оказывать негативное воздействие на окружающую среду -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7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-Недропользование -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-Нарушение лесного законодательства -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</w:rPr>
        <w:t>Особо охраняемые природные территории - 0.6 %;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  <w:t>-Д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 xml:space="preserve">еятельность полигонов ТКО и ТБО в Северо-Западном регионе - 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0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5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 xml:space="preserve"> %;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Поступившие обращения, не входящие в компетенцию Управления, направлены на рассмотрение: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-МУ Роспотребнадзора по Санкт-Петербургу и Ленинградской области;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-Комитет государственного экологического надзора Ленинградской области;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-Комитет по природопользованию, охраны окружающей среды и обеспечения экологической безопасности;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-Иные органы исполнительной власти;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-Администрации районов Санкт-Петербурга и Ленинградской области и др.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713730" cy="4933950"/>
            <wp:effectExtent l="0" t="0" r="0" b="0"/>
            <wp:docPr id="2" name="Диаграмма 9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0" w:after="200"/>
        <w:jc w:val="center"/>
        <w:rPr>
          <w:lang w:eastAsia="en-US"/>
        </w:rPr>
      </w:pPr>
      <w:r>
        <w:rPr>
          <w:lang w:eastAsia="en-US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Consolas">
    <w:charset w:val="01"/>
    <w:family w:val="auto"/>
    <w:pitch w:val="variable"/>
  </w:font>
  <w:font w:name="Tahoma">
    <w:charset w:val="01"/>
    <w:family w:val="auto"/>
    <w:pitch w:val="variable"/>
  </w:font>
  <w:font w:name="Open Sans">
    <w:charset w:val="01"/>
    <w:family w:val="auto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Arial" w:cs="Arial" w:eastAsiaTheme="minorEastAsia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Знак"/>
    <w:basedOn w:val="DefaultParagraphFont"/>
    <w:link w:val="PlainText"/>
    <w:uiPriority w:val="99"/>
    <w:semiHidden/>
    <w:qFormat/>
    <w:rPr>
      <w:rFonts w:ascii="Consolas" w:hAnsi="Consolas"/>
      <w:sz w:val="21"/>
      <w:szCs w:val="21"/>
    </w:rPr>
  </w:style>
  <w:style w:type="character" w:styleId="Style8" w:customStyle="1">
    <w:name w:val="Верхний колонтитул Знак"/>
    <w:basedOn w:val="DefaultParagraphFont"/>
    <w:uiPriority w:val="99"/>
    <w:qFormat/>
    <w:rPr>
      <w:rFonts w:eastAsia="Arial" w:eastAsiaTheme="minorEastAsia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eastAsia="Arial" w:eastAsiaTheme="minorEastAsia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eastAsia="Arial" w:cs="Tahoma" w:eastAsiaTheme="minorEastAsia"/>
      <w:sz w:val="16"/>
      <w:szCs w:val="16"/>
      <w:lang w:eastAsia="ru-RU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Droid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PlainText">
    <w:name w:val="Plai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Consolas" w:hAnsi="Consolas" w:eastAsia="Calibri" w:eastAsiaTheme="minorHAnsi"/>
      <w:sz w:val="21"/>
      <w:szCs w:val="21"/>
      <w:lang w:eastAsia="en-U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20"/>
    </w:pPr>
    <w:rPr>
      <w:rFonts w:ascii="Calibri" w:hAnsi="Calibri" w:eastAsia="Calibri" w:cs="Times New Roman" w:eastAsiaTheme="minorHAnsi"/>
      <w:lang w:eastAsia="en-US"/>
    </w:rPr>
  </w:style>
  <w:style w:type="numbering" w:styleId="Style13" w:default="1">
    <w:name w:val="Без списка"/>
    <w:uiPriority w:val="99"/>
    <w:semiHidden/>
    <w:unhideWhenUsed/>
    <w:qFormat/>
  </w:style>
  <w:style w:type="table" w:styleId="725">
    <w:name w:val="Table Grid"/>
    <w:basedOn w:val="85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Table Grid Light"/>
    <w:basedOn w:val="85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5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28">
    <w:name w:val="Plain Table 2"/>
    <w:basedOn w:val="85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29">
    <w:name w:val="Plain Table 3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30">
    <w:name w:val="Plain Table 4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1">
    <w:name w:val="Plain Table 5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1 Light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3">
    <w:name w:val="Grid Table 1 Light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4">
    <w:name w:val="Grid Table 1 Light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5">
    <w:name w:val="Grid Table 1 Light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6">
    <w:name w:val="Grid Table 1 Light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7">
    <w:name w:val="Grid Table 1 Light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8">
    <w:name w:val="Grid Table 1 Light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39">
    <w:name w:val="Grid Table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4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55">
    <w:name w:val="Grid Table 4 - Accent 2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56">
    <w:name w:val="Grid Table 4 - Accent 3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57">
    <w:name w:val="Grid Table 4 - Accent 4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58">
    <w:name w:val="Grid Table 4 - Accent 5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5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61">
    <w:name w:val="Grid Table 5 Dark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62">
    <w:name w:val="Grid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63">
    <w:name w:val="Grid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64">
    <w:name w:val="Grid Table 5 Dark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65">
    <w:name w:val="Grid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66">
    <w:name w:val="Grid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67">
    <w:name w:val="Grid Table 6 Colorful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68">
    <w:name w:val="Grid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69">
    <w:name w:val="Grid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70">
    <w:name w:val="Grid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71">
    <w:name w:val="Grid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72">
    <w:name w:val="Grid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3">
    <w:name w:val="Grid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74">
    <w:name w:val="Grid Table 7 Colorful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5">
    <w:name w:val="Grid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6">
    <w:name w:val="Grid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7">
    <w:name w:val="Grid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8">
    <w:name w:val="Grid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79">
    <w:name w:val="Grid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0">
    <w:name w:val="Grid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1">
    <w:name w:val="List Table 1 Light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5">
    <w:name w:val="List Table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6">
    <w:name w:val="List Table 3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7">
    <w:name w:val="List Table 3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8">
    <w:name w:val="List Table 3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99">
    <w:name w:val="List Table 3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0">
    <w:name w:val="List Table 3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1">
    <w:name w:val="List Table 3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2">
    <w:name w:val="List Table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3">
    <w:name w:val="List Table 4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4">
    <w:name w:val="List Table 4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5">
    <w:name w:val="List Table 4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6">
    <w:name w:val="List Table 4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7">
    <w:name w:val="List Table 4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4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5 Dark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0">
    <w:name w:val="List Table 5 Dark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1">
    <w:name w:val="List Table 5 Dark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2">
    <w:name w:val="List Table 5 Dark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3">
    <w:name w:val="List Table 5 Dark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4">
    <w:name w:val="List Table 5 Dark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5">
    <w:name w:val="List Table 5 Dark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16">
    <w:name w:val="List Table 6 Colorful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17">
    <w:name w:val="List Table 6 Colorful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19">
    <w:name w:val="List Table 6 Colorful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20">
    <w:name w:val="List Table 6 Colorful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21">
    <w:name w:val="List Table 6 Colorful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22">
    <w:name w:val="List Table 6 Colorful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23">
    <w:name w:val="List Table 7 Colorful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24">
    <w:name w:val="List Table 7 Colorful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25">
    <w:name w:val="List Table 7 Colorful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26">
    <w:name w:val="List Table 7 Colorful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27">
    <w:name w:val="List Table 7 Colorful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28">
    <w:name w:val="List Table 7 Colorful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29">
    <w:name w:val="List Table 7 Colorful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30">
    <w:name w:val="Lined - Accent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1">
    <w:name w:val="Lined - Accent 1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32">
    <w:name w:val="Lined - Accent 2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33">
    <w:name w:val="Lined - Accent 3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34">
    <w:name w:val="Lined - Accent 4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35">
    <w:name w:val="Lined - Accent 5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36">
    <w:name w:val="Lined - Accent 6"/>
    <w:basedOn w:val="85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37">
    <w:name w:val="Bordered &amp; Lined - Accent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38">
    <w:name w:val="Bordered &amp; Lined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839">
    <w:name w:val="Bordered &amp; Lined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840">
    <w:name w:val="Bordered &amp; Lined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841">
    <w:name w:val="Bordered &amp; Lined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842">
    <w:name w:val="Bordered &amp; Lined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843">
    <w:name w:val="Bordered &amp; Lined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844">
    <w:name w:val="Bordered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45">
    <w:name w:val="Bordered - Accent 1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47">
    <w:name w:val="Bordered - Accent 3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48">
    <w:name w:val="Bordered - Accent 4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49">
    <w:name w:val="Bordered - Accent 5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50">
    <w:name w:val="Bordered - Accent 6"/>
    <w:basedOn w:val="85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5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solidFill>
          <a:srgbClr val="c3d69b"/>
        </a:solidFill>
        <a:ln w="9360">
          <a:solidFill>
            <a:srgbClr val="878787"/>
          </a:solidFill>
          <a:round/>
        </a:ln>
      </c:spPr>
    </c:sideWall>
    <c:backWall>
      <c:spPr>
        <a:solidFill>
          <a:srgbClr val="c3d69b"/>
        </a:solidFill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1229375"/>
          <c:y val="0.0637777777777778"/>
          <c:w val="0.7501875"/>
          <c:h val="0.8241111111111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2023г.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  <a:ea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Общее количество обращений</c:v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982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2024г.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  <a:ea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Общее количество обращений</c:v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1026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2025г.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  <a:ea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Общее количество обращений</c:v>
                </c:pt>
                <c:pt idx="1">
                  <c:v/>
                </c:pt>
                <c:pt idx="2">
                  <c:v/>
                </c:pt>
                <c:pt idx="3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821</c:v>
                </c:pt>
              </c:numCache>
            </c:numRef>
          </c:val>
        </c:ser>
        <c:gapWidth val="150"/>
        <c:shape val="cylinder"/>
        <c:axId val="880733"/>
        <c:axId val="50037049"/>
        <c:axId val="0"/>
      </c:bar3DChart>
      <c:catAx>
        <c:axId val="880733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  <a:ea typeface="Arial"/>
              </a:defRPr>
            </a:pPr>
          </a:p>
        </c:txPr>
        <c:crossAx val="50037049"/>
        <c:crosses val="autoZero"/>
        <c:auto val="1"/>
        <c:lblAlgn val="ctr"/>
        <c:lblOffset val="100"/>
        <c:noMultiLvlLbl val="0"/>
      </c:catAx>
      <c:valAx>
        <c:axId val="50037049"/>
        <c:scaling>
          <c:orientation val="minMax"/>
        </c:scaling>
        <c:delete val="0"/>
        <c:axPos val="l"/>
        <c:majorGridlines>
          <c:spPr>
            <a:ln w="9360">
              <a:solidFill>
                <a:srgbClr val="d99694"/>
              </a:solidFill>
              <a:round/>
            </a:ln>
          </c:spPr>
        </c:majorGridlines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  <a:ea typeface="Arial"/>
              </a:defRPr>
            </a:pPr>
          </a:p>
        </c:txPr>
        <c:crossAx val="880733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8375"/>
          <c:y val="0.089"/>
          <c:w val="0.104569035564723"/>
          <c:h val="0.179908878764307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0" sz="1000" strike="noStrike" u="none">
              <a:solidFill>
                <a:srgbClr val="000000"/>
              </a:solidFill>
              <a:uFillTx/>
              <a:latin typeface="Calibri"/>
              <a:ea typeface="Arial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trike="noStrike" u="none">
                <a:uFillTx/>
                <a:latin typeface="Open Sans"/>
              </a:defRPr>
            </a:pPr>
            <a:r>
              <a:rPr b="1" lang="ru-RU" sz="1800" strike="noStrike" u="none">
                <a:solidFill>
                  <a:srgbClr val="000000"/>
                </a:solidFill>
                <a:uFillTx/>
                <a:latin typeface="Times New Roman"/>
                <a:ea typeface="Arial"/>
              </a:rPr>
              <a:t>Обращения граждан за 2025 г. %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413"/>
          <c:y val="0.211333333333333"/>
          <c:w val="0.5435625"/>
          <c:h val="0.7268888888888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Обращения за 3 квартал 2025г., %</c:v>
                </c:pt>
              </c:strCache>
            </c:strRef>
          </c:tx>
          <c:spPr>
            <a:solidFill>
              <a:srgbClr val="4f81bd"/>
            </a:solidFill>
            <a:ln w="0">
              <a:solidFill>
                <a:srgbClr val="4f81bd"/>
              </a:solidFill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3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4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5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6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Pt>
            <c:idx val="7"/>
            <c:invertIfNegative val="0"/>
            <c:spPr>
              <a:solidFill>
                <a:srgbClr val="4f81bd"/>
              </a:solidFill>
              <a:ln w="0">
                <a:solidFill>
                  <a:srgbClr val="4f81bd"/>
                </a:solidFill>
              </a:ln>
            </c:spPr>
          </c:dPt>
          <c:dLbls>
            <c:numFmt formatCode="0.0%" sourceLinked="0"/>
            <c:dLbl>
              <c:idx val="0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5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6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7"/>
              <c:numFmt formatCode="0.0%" sourceLinked="0"/>
              <c:txPr>
                <a:bodyPr wrap="square"/>
                <a:lstStyle/>
                <a:p>
                  <a:pPr>
                    <a:defRPr b="0" sz="1000" strike="noStrike" u="none">
                      <a:solidFill>
                        <a:srgbClr val="000000"/>
                      </a:solidFill>
                      <a:uFillTx/>
                      <a:latin typeface="Calibri"/>
                    </a:defRPr>
                  </a:pPr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000" strike="noStrike" u="none">
                    <a:solidFill>
                      <a:srgbClr val="000000"/>
                    </a:solidFill>
                    <a:uFillTx/>
                    <a:latin typeface="Calibri"/>
                    <a:ea typeface="Arial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leaderLines>
              <c:spPr>
                <a:ln>
                  <a:solidFill>
                    <a:srgbClr val="4f81bd"/>
                  </a:solidFill>
                </a:ln>
              </c:spPr>
            </c:leaderLines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12"/>
                <c:pt idx="0">
                  <c:v>Деятельность предприятий </c:v>
                </c:pt>
                <c:pt idx="1">
                  <c:v>Полигоны ТКО и ТБО</c:v>
                </c:pt>
                <c:pt idx="2">
                  <c:v>Нарушение водного законодательства</c:v>
                </c:pt>
                <c:pt idx="3">
                  <c:v>Свалки ТКО</c:v>
                </c:pt>
                <c:pt idx="4">
                  <c:v>Атмосферный воздух </c:v>
                </c:pt>
                <c:pt idx="5">
                  <c:v>Прочие </c:v>
                </c:pt>
                <c:pt idx="6">
                  <c:v>Строительство</c:v>
                </c:pt>
                <c:pt idx="7">
                  <c:v>Деятельность с отходами</c:v>
                </c:pt>
                <c:pt idx="8">
                  <c:v>Защита животных</c:v>
                </c:pt>
                <c:pt idx="9">
                  <c:v>Функционирование особо охраняемых природных территорий </c:v>
                </c:pt>
                <c:pt idx="10">
                  <c:v>Недропользование</c:v>
                </c:pt>
                <c:pt idx="11">
                  <c:v>Нарушение лесного законодательства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2"/>
                <c:pt idx="0">
                  <c:v>0.125</c:v>
                </c:pt>
                <c:pt idx="1">
                  <c:v>0.005</c:v>
                </c:pt>
                <c:pt idx="2">
                  <c:v>0.244</c:v>
                </c:pt>
                <c:pt idx="3">
                  <c:v>0.158</c:v>
                </c:pt>
                <c:pt idx="4">
                  <c:v>0.104</c:v>
                </c:pt>
                <c:pt idx="5">
                  <c:v>0.167</c:v>
                </c:pt>
                <c:pt idx="6">
                  <c:v>0.037</c:v>
                </c:pt>
                <c:pt idx="7">
                  <c:v>0.091</c:v>
                </c:pt>
                <c:pt idx="8">
                  <c:v>0.038</c:v>
                </c:pt>
                <c:pt idx="9">
                  <c:v>0.006</c:v>
                </c:pt>
                <c:pt idx="10">
                  <c:v>0.013</c:v>
                </c:pt>
                <c:pt idx="11">
                  <c:v>0.012</c:v>
                </c:pt>
              </c:numCache>
            </c:numRef>
          </c:val>
        </c:ser>
        <c:gapWidth val="100"/>
        <c:overlap val="0"/>
        <c:axId val="50135819"/>
        <c:axId val="6562021"/>
      </c:barChart>
      <c:catAx>
        <c:axId val="5013581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1" sz="1000" strike="noStrike" u="none">
                <a:solidFill>
                  <a:srgbClr val="000000"/>
                </a:solidFill>
                <a:uFillTx/>
                <a:latin typeface="Times New Roman"/>
                <a:ea typeface="Arial"/>
              </a:defRPr>
            </a:pPr>
          </a:p>
        </c:txPr>
        <c:crossAx val="6562021"/>
        <c:crosses val="autoZero"/>
        <c:auto val="1"/>
        <c:lblAlgn val="ctr"/>
        <c:lblOffset val="100"/>
        <c:noMultiLvlLbl val="0"/>
      </c:catAx>
      <c:valAx>
        <c:axId val="6562021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.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trike="noStrike" u="none">
                <a:solidFill>
                  <a:srgbClr val="000000"/>
                </a:solidFill>
                <a:uFillTx/>
                <a:latin typeface="Calibri"/>
                <a:ea typeface="Arial"/>
              </a:defRPr>
            </a:pPr>
          </a:p>
        </c:txPr>
        <c:crossAx val="50135819"/>
        <c:crosses val="autoZero"/>
        <c:crossBetween val="between"/>
      </c:valAx>
      <c:spPr>
        <a:solidFill>
          <a:srgbClr val="c3d69b"/>
        </a:solidFill>
        <a:ln w="0">
          <a:noFill/>
        </a:ln>
      </c:spPr>
    </c:plotArea>
    <c:legend>
      <c:legendPos val="t"/>
      <c:overlay val="0"/>
      <c:spPr>
        <a:noFill/>
        <a:ln w="0">
          <a:noFill/>
        </a:ln>
      </c:spPr>
      <c:txPr>
        <a:bodyPr/>
        <a:lstStyle/>
        <a:p>
          <a:pPr>
            <a:defRPr b="0" sz="1000" strike="noStrike" u="none">
              <a:solidFill>
                <a:srgbClr val="000000"/>
              </a:solidFill>
              <a:uFillTx/>
              <a:latin typeface="Calibri"/>
              <a:ea typeface="Arial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633F4-9D55-4D2B-AD8F-03185CB4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Application>LibreOffice/24.8.4.1$Linux_X86_64 LibreOffice_project/480$Build-1</Application>
  <AppVersion>15.0000</AppVersion>
  <Pages>3</Pages>
  <Words>423</Words>
  <Characters>2901</Characters>
  <CharactersWithSpaces>3307</CharactersWithSpaces>
  <Paragraphs>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2024-04-12T04:58:00Z</dcterms:created>
  <dc:creator>mushnikovamy</dc:creator>
  <dc:description/>
  <dc:language>ru-RU</dc:language>
  <cp:lastModifiedBy/>
  <dcterms:modified xsi:type="dcterms:W3CDTF">2026-01-12T14:20:59Z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