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01" w:rsidRPr="00985D01" w:rsidRDefault="00985D01" w:rsidP="00985D01">
      <w:pPr>
        <w:jc w:val="center"/>
        <w:rPr>
          <w:rFonts w:ascii="Times New Roman" w:hAnsi="Times New Roman" w:cs="Times New Roman"/>
          <w:b/>
          <w:sz w:val="28"/>
          <w:szCs w:val="28"/>
        </w:rPr>
      </w:pPr>
      <w:r w:rsidRPr="00985D01">
        <w:rPr>
          <w:rFonts w:ascii="Times New Roman" w:hAnsi="Times New Roman" w:cs="Times New Roman"/>
          <w:b/>
          <w:sz w:val="28"/>
          <w:szCs w:val="28"/>
        </w:rPr>
        <w:t>Об общественных обсуждениях объекта государственной экологической экспертизы</w:t>
      </w:r>
    </w:p>
    <w:tbl>
      <w:tblPr>
        <w:tblW w:w="5228" w:type="pct"/>
        <w:tblCellSpacing w:w="0" w:type="dxa"/>
        <w:tblInd w:w="-426" w:type="dxa"/>
        <w:tblCellMar>
          <w:left w:w="0" w:type="dxa"/>
          <w:right w:w="0" w:type="dxa"/>
        </w:tblCellMar>
        <w:tblLook w:val="04A0" w:firstRow="1" w:lastRow="0" w:firstColumn="1" w:lastColumn="0" w:noHBand="0" w:noVBand="1"/>
      </w:tblPr>
      <w:tblGrid>
        <w:gridCol w:w="9758"/>
        <w:gridCol w:w="6"/>
        <w:gridCol w:w="6"/>
        <w:gridCol w:w="6"/>
        <w:gridCol w:w="6"/>
      </w:tblGrid>
      <w:tr w:rsidR="00985D01" w:rsidRPr="00985D01" w:rsidTr="00985D01">
        <w:trPr>
          <w:gridAfter w:val="2"/>
          <w:wAfter w:w="6" w:type="pct"/>
          <w:trHeight w:val="480"/>
          <w:tblCellSpacing w:w="0" w:type="dxa"/>
        </w:trPr>
        <w:tc>
          <w:tcPr>
            <w:tcW w:w="4988" w:type="pct"/>
            <w:vAlign w:val="bottom"/>
          </w:tcPr>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b/>
                <w:bCs/>
                <w:color w:val="333333"/>
                <w:sz w:val="24"/>
                <w:szCs w:val="24"/>
                <w:lang w:eastAsia="ru-RU"/>
              </w:rPr>
              <w:t>Статьей 14 Федерального закона № 174-ФЗ от 23.11.1994 «Об экологической экспертизе» определено наличие в составе материалов, подлежащих государственной экологической экспертизе, публикаций в средствах массовой информации (на федеральном, региональном и местном уровнях), а также наличие протокола общественных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Форма и содержание публикаций определены Приказ</w:t>
            </w:r>
            <w:r>
              <w:rPr>
                <w:rFonts w:ascii="Times New Roman" w:eastAsia="Times New Roman" w:hAnsi="Times New Roman" w:cs="Times New Roman"/>
                <w:color w:val="333333"/>
                <w:sz w:val="24"/>
                <w:szCs w:val="24"/>
                <w:lang w:eastAsia="ru-RU"/>
              </w:rPr>
              <w:t xml:space="preserve">ом </w:t>
            </w:r>
            <w:proofErr w:type="spellStart"/>
            <w:r>
              <w:rPr>
                <w:rFonts w:ascii="Times New Roman" w:eastAsia="Times New Roman" w:hAnsi="Times New Roman" w:cs="Times New Roman"/>
                <w:color w:val="333333"/>
                <w:sz w:val="24"/>
                <w:szCs w:val="24"/>
                <w:lang w:eastAsia="ru-RU"/>
              </w:rPr>
              <w:t>Госкомэкологии</w:t>
            </w:r>
            <w:proofErr w:type="spellEnd"/>
            <w:r w:rsidRPr="00985D01">
              <w:rPr>
                <w:rFonts w:ascii="Times New Roman" w:eastAsia="Times New Roman" w:hAnsi="Times New Roman" w:cs="Times New Roman"/>
                <w:color w:val="333333"/>
                <w:sz w:val="24"/>
                <w:szCs w:val="24"/>
                <w:lang w:eastAsia="ru-RU"/>
              </w:rPr>
              <w:t xml:space="preserve"> </w:t>
            </w:r>
            <w:r w:rsidRPr="00985D01">
              <w:rPr>
                <w:rFonts w:ascii="Times New Roman" w:eastAsia="Times New Roman" w:hAnsi="Times New Roman" w:cs="Times New Roman"/>
                <w:color w:val="333333"/>
                <w:sz w:val="24"/>
                <w:szCs w:val="24"/>
                <w:lang w:eastAsia="ru-RU"/>
              </w:rPr>
              <w:t xml:space="preserve">от 16.05.2000 </w:t>
            </w:r>
            <w:r>
              <w:rPr>
                <w:rFonts w:ascii="Times New Roman" w:eastAsia="Times New Roman" w:hAnsi="Times New Roman" w:cs="Times New Roman"/>
                <w:color w:val="333333"/>
                <w:sz w:val="24"/>
                <w:szCs w:val="24"/>
                <w:lang w:eastAsia="ru-RU"/>
              </w:rPr>
              <w:br/>
            </w:r>
            <w:r w:rsidRPr="00985D01">
              <w:rPr>
                <w:rFonts w:ascii="Times New Roman" w:eastAsia="Times New Roman" w:hAnsi="Times New Roman" w:cs="Times New Roman"/>
                <w:color w:val="333333"/>
                <w:sz w:val="24"/>
                <w:szCs w:val="24"/>
                <w:lang w:eastAsia="ru-RU"/>
              </w:rPr>
              <w:t>№ 372 «Об утверждении положения об оценке воздействия намечаемой хозяйственной и иной деятельности на окружающую среду в Российской Федерации».</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 xml:space="preserve"> Информирование общественности и других участников общественных обсуждений осуществляется заказчиком в соответствии с Приказом </w:t>
            </w:r>
            <w:proofErr w:type="spellStart"/>
            <w:r w:rsidRPr="00985D01">
              <w:rPr>
                <w:rFonts w:ascii="Times New Roman" w:eastAsia="Times New Roman" w:hAnsi="Times New Roman" w:cs="Times New Roman"/>
                <w:color w:val="333333"/>
                <w:sz w:val="24"/>
                <w:szCs w:val="24"/>
                <w:lang w:eastAsia="ru-RU"/>
              </w:rPr>
              <w:t>Госкомэкологии</w:t>
            </w:r>
            <w:proofErr w:type="spellEnd"/>
            <w:r w:rsidRPr="00985D01">
              <w:rPr>
                <w:rFonts w:ascii="Times New Roman" w:eastAsia="Times New Roman" w:hAnsi="Times New Roman" w:cs="Times New Roman"/>
                <w:color w:val="333333"/>
                <w:sz w:val="24"/>
                <w:szCs w:val="24"/>
                <w:lang w:eastAsia="ru-RU"/>
              </w:rPr>
              <w:t xml:space="preserve"> РФ от 16.05.2000 г. № 372 "Об утверждении Положения об оценке воздействия намечаемой хозяйственной и иной деятельности на окружающую среду в Российской Федерации".</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Информация в кратком виде публикуется 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субъектов Российской Федерации и органов местного самоуправления, на территории которых намечается реализация объекта государственной экологической экспертизы, а также на территории которых намечаемая хозяйственная и иная деятельность может оказать воздействие.</w:t>
            </w:r>
          </w:p>
          <w:p w:rsidR="00985D01" w:rsidRPr="00985D01" w:rsidRDefault="00985D01" w:rsidP="00985D01">
            <w:pPr>
              <w:spacing w:after="0"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В публикации представляются сведения о:</w:t>
            </w:r>
          </w:p>
          <w:p w:rsidR="00985D01" w:rsidRPr="00985D01" w:rsidRDefault="00985D01" w:rsidP="00985D01">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85D01">
              <w:rPr>
                <w:rFonts w:ascii="Times New Roman" w:eastAsia="Times New Roman" w:hAnsi="Times New Roman" w:cs="Times New Roman"/>
                <w:color w:val="333333"/>
                <w:sz w:val="24"/>
                <w:szCs w:val="24"/>
                <w:lang w:eastAsia="ru-RU"/>
              </w:rPr>
              <w:t>названии, целях и месторасположения объекта государственной экологической экспертизы;</w:t>
            </w:r>
          </w:p>
          <w:p w:rsidR="00985D01" w:rsidRPr="00985D01" w:rsidRDefault="00985D01" w:rsidP="00985D01">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85D01">
              <w:rPr>
                <w:rFonts w:ascii="Times New Roman" w:eastAsia="Times New Roman" w:hAnsi="Times New Roman" w:cs="Times New Roman"/>
                <w:color w:val="333333"/>
                <w:sz w:val="24"/>
                <w:szCs w:val="24"/>
                <w:lang w:eastAsia="ru-RU"/>
              </w:rPr>
              <w:t>наименовании и адресе заказчика или его представителя;</w:t>
            </w:r>
          </w:p>
          <w:p w:rsidR="00985D01" w:rsidRPr="00985D01" w:rsidRDefault="00985D01" w:rsidP="00985D01">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85D01">
              <w:rPr>
                <w:rFonts w:ascii="Times New Roman" w:eastAsia="Times New Roman" w:hAnsi="Times New Roman" w:cs="Times New Roman"/>
                <w:color w:val="333333"/>
                <w:sz w:val="24"/>
                <w:szCs w:val="24"/>
                <w:lang w:eastAsia="ru-RU"/>
              </w:rPr>
              <w:t>органе, ответственном за организацию общественного обсуждения;</w:t>
            </w:r>
          </w:p>
          <w:p w:rsidR="00985D01" w:rsidRPr="00985D01" w:rsidRDefault="00985D01" w:rsidP="00985D01">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85D01">
              <w:rPr>
                <w:rFonts w:ascii="Times New Roman" w:eastAsia="Times New Roman" w:hAnsi="Times New Roman" w:cs="Times New Roman"/>
                <w:color w:val="333333"/>
                <w:sz w:val="24"/>
                <w:szCs w:val="24"/>
                <w:lang w:eastAsia="ru-RU"/>
              </w:rPr>
              <w:t>предполагаемой форме общественного обсуждения (опрос, слушания, референдум и т.п.), а также форме представления замечаний и предложений;</w:t>
            </w:r>
          </w:p>
          <w:p w:rsidR="00985D01" w:rsidRPr="00985D01" w:rsidRDefault="00985D01" w:rsidP="00985D01">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85D01">
              <w:rPr>
                <w:rFonts w:ascii="Times New Roman" w:eastAsia="Times New Roman" w:hAnsi="Times New Roman" w:cs="Times New Roman"/>
                <w:color w:val="333333"/>
                <w:sz w:val="24"/>
                <w:szCs w:val="24"/>
                <w:lang w:eastAsia="ru-RU"/>
              </w:rPr>
              <w:t>сроках и месте доступности проектной документации, включающей материалы по оценке воздействия на окружающую среду;</w:t>
            </w:r>
          </w:p>
          <w:p w:rsidR="00985D01" w:rsidRPr="00985D01" w:rsidRDefault="00985D01" w:rsidP="00985D01">
            <w:pPr>
              <w:spacing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85D01">
              <w:rPr>
                <w:rFonts w:ascii="Times New Roman" w:eastAsia="Times New Roman" w:hAnsi="Times New Roman" w:cs="Times New Roman"/>
                <w:color w:val="333333"/>
                <w:sz w:val="24"/>
                <w:szCs w:val="24"/>
                <w:lang w:eastAsia="ru-RU"/>
              </w:rPr>
              <w:t>иной информации.</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Дополнительное информирование может осуществляться путем распространения информации по радио, на телевидении, в периодической печати, через Интернет и иными способами, обеспечивающими распространение информации.</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Заказчик (исполнитель) принимает и документирует замечания и предложения от общественности в течение 30 дней со дня опубликования информации.</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Заказчик обеспечивает доступ к проектной документации заинтересованной общественности и других участников процесса оценки воздействия на окружающую среду.</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 xml:space="preserve">При принятии решения о форме проведения общественных обсуждений, в том числе общественных слушаний, необходимо руководствоваться степенью </w:t>
            </w:r>
            <w:proofErr w:type="gramStart"/>
            <w:r w:rsidRPr="00985D01">
              <w:rPr>
                <w:rFonts w:ascii="Times New Roman" w:eastAsia="Times New Roman" w:hAnsi="Times New Roman" w:cs="Times New Roman"/>
                <w:color w:val="333333"/>
                <w:sz w:val="24"/>
                <w:szCs w:val="24"/>
                <w:lang w:eastAsia="ru-RU"/>
              </w:rPr>
              <w:t>экологической опасности</w:t>
            </w:r>
            <w:proofErr w:type="gramEnd"/>
            <w:r w:rsidRPr="00985D01">
              <w:rPr>
                <w:rFonts w:ascii="Times New Roman" w:eastAsia="Times New Roman" w:hAnsi="Times New Roman" w:cs="Times New Roman"/>
                <w:color w:val="333333"/>
                <w:sz w:val="24"/>
                <w:szCs w:val="24"/>
                <w:lang w:eastAsia="ru-RU"/>
              </w:rPr>
              <w:t xml:space="preserve"> намечаемой хозяйственной и иной деятельности, учитывать фактор неопределенности, степень заинтересованности общественности.</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lastRenderedPageBreak/>
              <w:t>Информация о сроках и месте доступности проектной документации (в том числе, материалов по оценке воздействия на окружающую среду), о дате и месте проведения общественных слушаний, других форм общественного участия публикуется в средствах массовой информации, не позднее чем за 30 дней до окончания проведения общественных обсуждений (проведения общественных слушаний).</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Образец публикации Вы можете скачать </w:t>
            </w:r>
            <w:hyperlink r:id="rId5" w:history="1">
              <w:r w:rsidRPr="00985D01">
                <w:rPr>
                  <w:rFonts w:ascii="Times New Roman" w:eastAsia="Times New Roman" w:hAnsi="Times New Roman" w:cs="Times New Roman"/>
                  <w:b/>
                  <w:bCs/>
                  <w:color w:val="0000FF"/>
                  <w:sz w:val="24"/>
                  <w:szCs w:val="24"/>
                  <w:u w:val="single"/>
                  <w:lang w:eastAsia="ru-RU"/>
                </w:rPr>
                <w:t>здесь</w:t>
              </w:r>
            </w:hyperlink>
            <w:r w:rsidRPr="00985D01">
              <w:rPr>
                <w:rFonts w:ascii="Times New Roman" w:eastAsia="Times New Roman" w:hAnsi="Times New Roman" w:cs="Times New Roman"/>
                <w:b/>
                <w:bCs/>
                <w:color w:val="333333"/>
                <w:sz w:val="24"/>
                <w:szCs w:val="24"/>
                <w:u w:val="single"/>
                <w:lang w:eastAsia="ru-RU"/>
              </w:rPr>
              <w:t>.</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b/>
                <w:color w:val="333333"/>
                <w:sz w:val="24"/>
                <w:szCs w:val="24"/>
                <w:u w:val="single"/>
                <w:lang w:eastAsia="ru-RU"/>
              </w:rPr>
            </w:pPr>
            <w:r w:rsidRPr="00985D01">
              <w:rPr>
                <w:rFonts w:ascii="Times New Roman" w:eastAsia="Times New Roman" w:hAnsi="Times New Roman" w:cs="Times New Roman"/>
                <w:color w:val="333333"/>
                <w:sz w:val="24"/>
                <w:szCs w:val="24"/>
                <w:lang w:eastAsia="ru-RU"/>
              </w:rPr>
              <w:t xml:space="preserve">По результатам проведения общественных слушаний должен быть составлен </w:t>
            </w:r>
            <w:r w:rsidRPr="00985D01">
              <w:rPr>
                <w:rFonts w:ascii="Times New Roman" w:eastAsia="Times New Roman" w:hAnsi="Times New Roman" w:cs="Times New Roman"/>
                <w:b/>
                <w:color w:val="333333"/>
                <w:sz w:val="24"/>
                <w:szCs w:val="24"/>
                <w:u w:val="single"/>
                <w:lang w:eastAsia="ru-RU"/>
              </w:rPr>
              <w:t>Протокол.</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Протокол должен иметь </w:t>
            </w:r>
            <w:r w:rsidRPr="00985D01">
              <w:rPr>
                <w:rFonts w:ascii="Times New Roman" w:eastAsia="Times New Roman" w:hAnsi="Times New Roman" w:cs="Times New Roman"/>
                <w:color w:val="333333"/>
                <w:sz w:val="24"/>
                <w:szCs w:val="24"/>
                <w:u w:val="single"/>
                <w:lang w:eastAsia="ru-RU"/>
              </w:rPr>
              <w:t>дату и номер</w:t>
            </w:r>
            <w:r w:rsidRPr="00985D01">
              <w:rPr>
                <w:rFonts w:ascii="Times New Roman" w:eastAsia="Times New Roman" w:hAnsi="Times New Roman" w:cs="Times New Roman"/>
                <w:color w:val="333333"/>
                <w:sz w:val="24"/>
                <w:szCs w:val="24"/>
                <w:lang w:eastAsia="ru-RU"/>
              </w:rPr>
              <w:t>. Датой протокола является дата проведения общественных слушаний. Номером Протокола является порядковый номер заседания в пределах календарного года или срока полномочий органа, ответственного за проведение общественных слушаний.</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В </w:t>
            </w:r>
            <w:r w:rsidRPr="00985D01">
              <w:rPr>
                <w:rFonts w:ascii="Times New Roman" w:eastAsia="Times New Roman" w:hAnsi="Times New Roman" w:cs="Times New Roman"/>
                <w:color w:val="333333"/>
                <w:sz w:val="24"/>
                <w:szCs w:val="24"/>
                <w:u w:val="single"/>
                <w:lang w:eastAsia="ru-RU"/>
              </w:rPr>
              <w:t>заголовке</w:t>
            </w:r>
            <w:r w:rsidRPr="00985D01">
              <w:rPr>
                <w:rFonts w:ascii="Times New Roman" w:eastAsia="Times New Roman" w:hAnsi="Times New Roman" w:cs="Times New Roman"/>
                <w:color w:val="333333"/>
                <w:sz w:val="24"/>
                <w:szCs w:val="24"/>
                <w:lang w:eastAsia="ru-RU"/>
              </w:rPr>
              <w:t> необходимо указать наименование органа исполнительной власти (Администрации муниципального района), ответственного за проведение общественных слушаний, наименование проектной документации (или объекта государственной экологической экспертизы), по которому проводятся общественные слушания.</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Текст Протокола включает вводную и основную части.</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Во </w:t>
            </w:r>
            <w:r w:rsidRPr="00985D01">
              <w:rPr>
                <w:rFonts w:ascii="Times New Roman" w:eastAsia="Times New Roman" w:hAnsi="Times New Roman" w:cs="Times New Roman"/>
                <w:color w:val="333333"/>
                <w:sz w:val="24"/>
                <w:szCs w:val="24"/>
                <w:u w:val="single"/>
                <w:lang w:eastAsia="ru-RU"/>
              </w:rPr>
              <w:t>вводной части</w:t>
            </w:r>
            <w:r w:rsidRPr="00985D01">
              <w:rPr>
                <w:rFonts w:ascii="Times New Roman" w:eastAsia="Times New Roman" w:hAnsi="Times New Roman" w:cs="Times New Roman"/>
                <w:color w:val="333333"/>
                <w:sz w:val="24"/>
                <w:szCs w:val="24"/>
                <w:lang w:eastAsia="ru-RU"/>
              </w:rPr>
              <w:t> Протокола после заголовка приводятся фамилии и инициалы председателя и секретаря. С новой строки после слова «Присутствовали» в алфавитном порядке перечисляют фамилии, инициалы должностных лиц органа исполнительной власти, ответственного за проведение общественных слушаний, и присутствовавших на них.</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Если при проведении слушаний присутствовали представители заказчика государственной экологической экспертизы, разработчика проектной документации, представители населения, а также представители других организаций, то после слова «Присутствовали» с новой строки печатают слово «Приглашенные» и указывается список приглашенных лиц, в этом случае перед каждой фамилией указывается должность и место работы. </w:t>
            </w:r>
            <w:r w:rsidRPr="00985D01">
              <w:rPr>
                <w:rFonts w:ascii="Times New Roman" w:eastAsia="Times New Roman" w:hAnsi="Times New Roman" w:cs="Times New Roman"/>
                <w:i/>
                <w:iCs/>
                <w:color w:val="333333"/>
                <w:sz w:val="24"/>
                <w:szCs w:val="24"/>
                <w:lang w:eastAsia="ru-RU"/>
              </w:rPr>
              <w:t>В случае если присутствующих более 15 человек, то в Протоколе делается ссылка на список приглашенных, который будет являться неотъемлемой частью Протокола</w:t>
            </w:r>
            <w:r w:rsidRPr="00985D01">
              <w:rPr>
                <w:rFonts w:ascii="Times New Roman" w:eastAsia="Times New Roman" w:hAnsi="Times New Roman" w:cs="Times New Roman"/>
                <w:color w:val="333333"/>
                <w:sz w:val="24"/>
                <w:szCs w:val="24"/>
                <w:lang w:eastAsia="ru-RU"/>
              </w:rPr>
              <w:t>.</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Также в</w:t>
            </w:r>
            <w:r w:rsidRPr="00985D01">
              <w:rPr>
                <w:rFonts w:ascii="Times New Roman" w:eastAsia="Times New Roman" w:hAnsi="Times New Roman" w:cs="Times New Roman"/>
                <w:color w:val="333333"/>
                <w:sz w:val="24"/>
                <w:szCs w:val="24"/>
                <w:lang w:eastAsia="ru-RU"/>
              </w:rPr>
              <w:t xml:space="preserve"> вводной части протокола указывается повестка дня.</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 xml:space="preserve">Повестка дня должна содержать перечень вопросов для обсуждения, закреплять последовательность их рассмотрения и содержать сведения о выступающих (Ф.И.О.). Каждый вопрос повестки дня нумеруется арабской цифрой, его формулируют с использованием предлогов «О» или «Об». </w:t>
            </w:r>
            <w:proofErr w:type="gramStart"/>
            <w:r w:rsidRPr="00985D01">
              <w:rPr>
                <w:rFonts w:ascii="Times New Roman" w:eastAsia="Times New Roman" w:hAnsi="Times New Roman" w:cs="Times New Roman"/>
                <w:color w:val="333333"/>
                <w:sz w:val="24"/>
                <w:szCs w:val="24"/>
                <w:lang w:eastAsia="ru-RU"/>
              </w:rPr>
              <w:t>Например</w:t>
            </w:r>
            <w:proofErr w:type="gramEnd"/>
            <w:r w:rsidRPr="00985D01">
              <w:rPr>
                <w:rFonts w:ascii="Times New Roman" w:eastAsia="Times New Roman" w:hAnsi="Times New Roman" w:cs="Times New Roman"/>
                <w:color w:val="333333"/>
                <w:sz w:val="24"/>
                <w:szCs w:val="24"/>
                <w:lang w:eastAsia="ru-RU"/>
              </w:rPr>
              <w:t>: «О строительстве полигона твердых бытовых отходов в поселке Тюш Октябрьского района Пермского края». По каждому пункту указывается докладчик.</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 В соответствии с последовательностью вопросов в повестке дня оформляется текст </w:t>
            </w:r>
            <w:r w:rsidRPr="00985D01">
              <w:rPr>
                <w:rFonts w:ascii="Times New Roman" w:eastAsia="Times New Roman" w:hAnsi="Times New Roman" w:cs="Times New Roman"/>
                <w:color w:val="333333"/>
                <w:sz w:val="24"/>
                <w:szCs w:val="24"/>
                <w:u w:val="single"/>
                <w:lang w:eastAsia="ru-RU"/>
              </w:rPr>
              <w:t>основной части</w:t>
            </w:r>
            <w:r w:rsidRPr="00985D01">
              <w:rPr>
                <w:rFonts w:ascii="Times New Roman" w:eastAsia="Times New Roman" w:hAnsi="Times New Roman" w:cs="Times New Roman"/>
                <w:color w:val="333333"/>
                <w:sz w:val="24"/>
                <w:szCs w:val="24"/>
                <w:lang w:eastAsia="ru-RU"/>
              </w:rPr>
              <w:t> протокола.</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Основная часть должна включать достаточно подробные записи, передающие содержание докладов и выступлений участников заседания, все высказанные мнения, прозвучавшие вопросы и реплики, замечания, позиции.</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lastRenderedPageBreak/>
              <w:t>Текст основной части Протокола должен содержать столько разделов, сколько пунктов включает в себя повестка дня. Каждый раздел состоит из трех частей: «СЛУШАЛИ», «ВЫСТУПИЛИ», «ПОСТАНОВИЛИ» («РЕШИЛИ»), которые печатаются от левого поля прописными буквами.</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В части «СЛУШАЛИ» излагается текст выступления. В начале текста с новой строки в именительном падеже указывают фамилию выступающего. Запись выступления отделяют от фамилии тире. Выступление излагается от третьего лица единственного числа. Допускается вместо записи выступления после фамилии указать («Запись выступления прилагается», «Текст доклада прилагается»). В последнем случае доклады становятся приложением к протоколу.</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 xml:space="preserve">В части «ВЫСТУПИЛИ» с новой строки в именительном падеже указывают фамилию выступающего и </w:t>
            </w:r>
            <w:proofErr w:type="gramStart"/>
            <w:r w:rsidRPr="00985D01">
              <w:rPr>
                <w:rFonts w:ascii="Times New Roman" w:eastAsia="Times New Roman" w:hAnsi="Times New Roman" w:cs="Times New Roman"/>
                <w:color w:val="333333"/>
                <w:sz w:val="24"/>
                <w:szCs w:val="24"/>
                <w:lang w:eastAsia="ru-RU"/>
              </w:rPr>
              <w:t>после тире</w:t>
            </w:r>
            <w:proofErr w:type="gramEnd"/>
            <w:r w:rsidRPr="00985D01">
              <w:rPr>
                <w:rFonts w:ascii="Times New Roman" w:eastAsia="Times New Roman" w:hAnsi="Times New Roman" w:cs="Times New Roman"/>
                <w:color w:val="333333"/>
                <w:sz w:val="24"/>
                <w:szCs w:val="24"/>
                <w:lang w:eastAsia="ru-RU"/>
              </w:rPr>
              <w:t>, текст выступления или вопрос (если в ходе выступления он был задан докладчику).</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В части «ПОСТАНОВИЛИ» («РЕШИЛИ») отражают принятое решение по обсуждаемому вопросу. Текст постановляющей части печатается полностью в любой форме протокола. Принятое решение формулируется по форме, принятой в распорядительных документах («принять замечания к сведению», «подготовить документы» и т.д.). </w:t>
            </w:r>
            <w:r w:rsidRPr="00985D01">
              <w:rPr>
                <w:rFonts w:ascii="Times New Roman" w:eastAsia="Times New Roman" w:hAnsi="Times New Roman" w:cs="Times New Roman"/>
                <w:i/>
                <w:iCs/>
                <w:color w:val="333333"/>
                <w:sz w:val="24"/>
                <w:szCs w:val="24"/>
                <w:lang w:eastAsia="ru-RU"/>
              </w:rPr>
              <w:t>В случае голосования по обсуждаемому вопросу итоги, при необходимости, приводятся в постановляющей части: «за» – 5 голосов, «против» – нет, «воздержалось» – 2 голоса, решение принято 5 голосами.</w:t>
            </w:r>
          </w:p>
          <w:p w:rsidR="00985D01" w:rsidRPr="00985D01" w:rsidRDefault="00985D01" w:rsidP="00985D01">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985D01">
              <w:rPr>
                <w:rFonts w:ascii="Times New Roman" w:eastAsia="Times New Roman" w:hAnsi="Times New Roman" w:cs="Times New Roman"/>
                <w:color w:val="333333"/>
                <w:sz w:val="24"/>
                <w:szCs w:val="24"/>
                <w:lang w:eastAsia="ru-RU"/>
              </w:rPr>
              <w:t>Текст всего Протокола печатают через 1,5 межстрочных интервала.</w:t>
            </w:r>
          </w:p>
          <w:p w:rsidR="00985D01" w:rsidRPr="00985D01" w:rsidRDefault="00985D01" w:rsidP="00985D01">
            <w:pPr>
              <w:spacing w:before="100" w:beforeAutospacing="1" w:after="100" w:afterAutospacing="1" w:line="240" w:lineRule="auto"/>
              <w:jc w:val="both"/>
              <w:rPr>
                <w:rFonts w:ascii="Arial" w:eastAsia="Times New Roman" w:hAnsi="Arial" w:cs="Arial"/>
                <w:color w:val="333333"/>
                <w:sz w:val="18"/>
                <w:szCs w:val="18"/>
                <w:lang w:eastAsia="ru-RU"/>
              </w:rPr>
            </w:pPr>
            <w:r w:rsidRPr="00985D01">
              <w:rPr>
                <w:rFonts w:ascii="Times New Roman" w:eastAsia="Times New Roman" w:hAnsi="Times New Roman" w:cs="Times New Roman"/>
                <w:color w:val="333333"/>
                <w:sz w:val="24"/>
                <w:szCs w:val="24"/>
                <w:lang w:eastAsia="ru-RU"/>
              </w:rPr>
              <w:t>Протокол должен быть оформлен и подписан представителями органов исполнительной власти и местного самоуправления, граждан, общественных орг</w:t>
            </w:r>
            <w:bookmarkStart w:id="0" w:name="_GoBack"/>
            <w:bookmarkEnd w:id="0"/>
            <w:r w:rsidRPr="00985D01">
              <w:rPr>
                <w:rFonts w:ascii="Times New Roman" w:eastAsia="Times New Roman" w:hAnsi="Times New Roman" w:cs="Times New Roman"/>
                <w:color w:val="333333"/>
                <w:sz w:val="24"/>
                <w:szCs w:val="24"/>
                <w:lang w:eastAsia="ru-RU"/>
              </w:rPr>
              <w:t>анизаций (объединений), заказчика. Подписи отделяют от текста 3 межстрочными интервалами. Наименование должности печатается от границы левого поля, последняя буква в фамилии ограничивается правым полем</w:t>
            </w:r>
            <w:r w:rsidRPr="00985D01">
              <w:rPr>
                <w:rFonts w:ascii="Arial" w:eastAsia="Times New Roman" w:hAnsi="Arial" w:cs="Arial"/>
                <w:color w:val="333333"/>
                <w:sz w:val="18"/>
                <w:szCs w:val="18"/>
                <w:lang w:eastAsia="ru-RU"/>
              </w:rPr>
              <w:t>.</w:t>
            </w:r>
          </w:p>
          <w:p w:rsidR="00985D01" w:rsidRPr="00985D01" w:rsidRDefault="00985D01" w:rsidP="00985D01">
            <w:pPr>
              <w:spacing w:after="300" w:line="240" w:lineRule="auto"/>
              <w:rPr>
                <w:rFonts w:ascii="Times New Roman" w:eastAsia="Times New Roman" w:hAnsi="Times New Roman" w:cs="Times New Roman"/>
                <w:color w:val="2175B5"/>
                <w:sz w:val="30"/>
                <w:szCs w:val="30"/>
                <w:lang w:eastAsia="ru-RU"/>
              </w:rPr>
            </w:pPr>
          </w:p>
        </w:tc>
        <w:tc>
          <w:tcPr>
            <w:tcW w:w="3" w:type="pct"/>
          </w:tcPr>
          <w:p w:rsidR="00985D01" w:rsidRPr="00985D01" w:rsidRDefault="00985D01" w:rsidP="00985D01">
            <w:pPr>
              <w:spacing w:after="0" w:line="240" w:lineRule="auto"/>
              <w:rPr>
                <w:rFonts w:ascii="Arial" w:eastAsia="Times New Roman" w:hAnsi="Arial" w:cs="Arial"/>
                <w:color w:val="636262"/>
                <w:sz w:val="18"/>
                <w:szCs w:val="18"/>
                <w:lang w:eastAsia="ru-RU"/>
              </w:rPr>
            </w:pPr>
          </w:p>
        </w:tc>
        <w:tc>
          <w:tcPr>
            <w:tcW w:w="3" w:type="pct"/>
          </w:tcPr>
          <w:p w:rsidR="00985D01" w:rsidRPr="00985D01" w:rsidRDefault="00985D01" w:rsidP="00985D01">
            <w:pPr>
              <w:spacing w:after="0" w:line="240" w:lineRule="auto"/>
              <w:rPr>
                <w:rFonts w:ascii="Arial" w:eastAsia="Times New Roman" w:hAnsi="Arial" w:cs="Arial"/>
                <w:color w:val="636262"/>
                <w:sz w:val="18"/>
                <w:szCs w:val="18"/>
                <w:lang w:eastAsia="ru-RU"/>
              </w:rPr>
            </w:pPr>
          </w:p>
        </w:tc>
      </w:tr>
      <w:tr w:rsidR="00985D01" w:rsidRPr="00985D01" w:rsidTr="00985D01">
        <w:trPr>
          <w:tblCellSpacing w:w="0" w:type="dxa"/>
        </w:trPr>
        <w:tc>
          <w:tcPr>
            <w:tcW w:w="4988" w:type="pct"/>
          </w:tcPr>
          <w:p w:rsidR="00985D01" w:rsidRPr="00985D01" w:rsidRDefault="00985D01" w:rsidP="00985D01">
            <w:pPr>
              <w:spacing w:after="0" w:line="240" w:lineRule="auto"/>
              <w:rPr>
                <w:rFonts w:ascii="Arial" w:eastAsia="Times New Roman" w:hAnsi="Arial" w:cs="Arial"/>
                <w:color w:val="636262"/>
                <w:sz w:val="18"/>
                <w:szCs w:val="18"/>
                <w:lang w:eastAsia="ru-RU"/>
              </w:rPr>
            </w:pPr>
          </w:p>
        </w:tc>
        <w:tc>
          <w:tcPr>
            <w:tcW w:w="3" w:type="pct"/>
          </w:tcPr>
          <w:p w:rsidR="00985D01" w:rsidRPr="00985D01" w:rsidRDefault="00985D01" w:rsidP="00985D01">
            <w:pPr>
              <w:spacing w:after="0" w:line="240" w:lineRule="auto"/>
              <w:jc w:val="center"/>
              <w:rPr>
                <w:rFonts w:ascii="Arial" w:eastAsia="Times New Roman" w:hAnsi="Arial" w:cs="Arial"/>
                <w:color w:val="333333"/>
                <w:sz w:val="18"/>
                <w:szCs w:val="18"/>
                <w:lang w:eastAsia="ru-RU"/>
              </w:rPr>
            </w:pPr>
          </w:p>
        </w:tc>
        <w:tc>
          <w:tcPr>
            <w:tcW w:w="3" w:type="pct"/>
          </w:tcPr>
          <w:p w:rsidR="00985D01" w:rsidRPr="00985D01" w:rsidRDefault="00985D01" w:rsidP="00985D01">
            <w:pPr>
              <w:spacing w:after="0" w:line="240" w:lineRule="auto"/>
              <w:rPr>
                <w:rFonts w:ascii="Arial" w:eastAsia="Times New Roman" w:hAnsi="Arial" w:cs="Arial"/>
                <w:color w:val="636262"/>
                <w:sz w:val="18"/>
                <w:szCs w:val="18"/>
                <w:lang w:eastAsia="ru-RU"/>
              </w:rPr>
            </w:pPr>
          </w:p>
        </w:tc>
        <w:tc>
          <w:tcPr>
            <w:tcW w:w="3" w:type="pct"/>
          </w:tcPr>
          <w:p w:rsidR="00985D01" w:rsidRPr="00985D01" w:rsidRDefault="00985D01" w:rsidP="00985D01">
            <w:pPr>
              <w:spacing w:after="0" w:line="240" w:lineRule="auto"/>
              <w:rPr>
                <w:rFonts w:ascii="Arial" w:eastAsia="Times New Roman" w:hAnsi="Arial" w:cs="Arial"/>
                <w:color w:val="636262"/>
                <w:sz w:val="18"/>
                <w:szCs w:val="18"/>
                <w:lang w:eastAsia="ru-RU"/>
              </w:rPr>
            </w:pPr>
          </w:p>
        </w:tc>
        <w:tc>
          <w:tcPr>
            <w:tcW w:w="3" w:type="pct"/>
          </w:tcPr>
          <w:p w:rsidR="00985D01" w:rsidRPr="00985D01" w:rsidRDefault="00985D01" w:rsidP="00985D01">
            <w:pPr>
              <w:spacing w:before="100" w:beforeAutospacing="1" w:after="100" w:afterAutospacing="1" w:line="240" w:lineRule="auto"/>
              <w:rPr>
                <w:rFonts w:ascii="Arial" w:eastAsia="Times New Roman" w:hAnsi="Arial" w:cs="Arial"/>
                <w:color w:val="333333"/>
                <w:sz w:val="18"/>
                <w:szCs w:val="18"/>
                <w:lang w:eastAsia="ru-RU"/>
              </w:rPr>
            </w:pPr>
          </w:p>
        </w:tc>
      </w:tr>
    </w:tbl>
    <w:p w:rsidR="002A64F1" w:rsidRDefault="002A64F1"/>
    <w:sectPr w:rsidR="002A6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91D85"/>
    <w:multiLevelType w:val="multilevel"/>
    <w:tmpl w:val="59E06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01"/>
    <w:rsid w:val="002A64F1"/>
    <w:rsid w:val="00985D01"/>
    <w:rsid w:val="00BD1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B8E5A-5117-4AF0-9464-1E5469E9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D01"/>
    <w:rPr>
      <w:color w:val="0000FF"/>
      <w:u w:val="single"/>
    </w:rPr>
  </w:style>
  <w:style w:type="paragraph" w:styleId="a4">
    <w:name w:val="Normal (Web)"/>
    <w:basedOn w:val="a"/>
    <w:uiPriority w:val="99"/>
    <w:semiHidden/>
    <w:unhideWhenUsed/>
    <w:rsid w:val="00985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85D01"/>
    <w:rPr>
      <w:b/>
      <w:bCs/>
    </w:rPr>
  </w:style>
  <w:style w:type="character" w:customStyle="1" w:styleId="apple-converted-space">
    <w:name w:val="apple-converted-space"/>
    <w:basedOn w:val="a0"/>
    <w:rsid w:val="00985D01"/>
  </w:style>
  <w:style w:type="character" w:styleId="a6">
    <w:name w:val="Emphasis"/>
    <w:basedOn w:val="a0"/>
    <w:uiPriority w:val="20"/>
    <w:qFormat/>
    <w:rsid w:val="00985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42895">
      <w:bodyDiv w:val="1"/>
      <w:marLeft w:val="0"/>
      <w:marRight w:val="0"/>
      <w:marTop w:val="0"/>
      <w:marBottom w:val="0"/>
      <w:divBdr>
        <w:top w:val="none" w:sz="0" w:space="0" w:color="auto"/>
        <w:left w:val="none" w:sz="0" w:space="0" w:color="auto"/>
        <w:bottom w:val="none" w:sz="0" w:space="0" w:color="auto"/>
        <w:right w:val="none" w:sz="0" w:space="0" w:color="auto"/>
      </w:divBdr>
    </w:div>
    <w:div w:id="1543324388">
      <w:bodyDiv w:val="1"/>
      <w:marLeft w:val="0"/>
      <w:marRight w:val="0"/>
      <w:marTop w:val="0"/>
      <w:marBottom w:val="0"/>
      <w:divBdr>
        <w:top w:val="none" w:sz="0" w:space="0" w:color="auto"/>
        <w:left w:val="none" w:sz="0" w:space="0" w:color="auto"/>
        <w:bottom w:val="none" w:sz="0" w:space="0" w:color="auto"/>
        <w:right w:val="none" w:sz="0" w:space="0" w:color="auto"/>
      </w:divBdr>
    </w:div>
    <w:div w:id="1584294233">
      <w:bodyDiv w:val="1"/>
      <w:marLeft w:val="0"/>
      <w:marRight w:val="0"/>
      <w:marTop w:val="0"/>
      <w:marBottom w:val="0"/>
      <w:divBdr>
        <w:top w:val="none" w:sz="0" w:space="0" w:color="auto"/>
        <w:left w:val="none" w:sz="0" w:space="0" w:color="auto"/>
        <w:bottom w:val="none" w:sz="0" w:space="0" w:color="auto"/>
        <w:right w:val="none" w:sz="0" w:space="0" w:color="auto"/>
      </w:divBdr>
      <w:divsChild>
        <w:div w:id="91130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irodnadzor.perm.ru/uploaded/file/GEE/Publication.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1119</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Шипицина Мария Александровна</dc:creator>
  <cp:keywords/>
  <dc:description/>
  <cp:lastModifiedBy>Шипицина Мария Александровна</cp:lastModifiedBy>
  <cp:revision>1</cp:revision>
  <dcterms:created xsi:type="dcterms:W3CDTF">2017-04-26T06:56:00Z</dcterms:created>
  <dcterms:modified xsi:type="dcterms:W3CDTF">2017-04-26T08:17:00Z</dcterms:modified>
</cp:coreProperties>
</file>