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03.07.2025 по 16.07.2025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проведена внеплановая выездная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ПАО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«ТГК-2»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НВОС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Северодвинская ТЭЦ-2</w:t>
      </w:r>
      <w:r>
        <w:rPr>
          <w:rFonts w:ascii="Times New Roman" w:hAnsi="Times New Roman"/>
          <w:sz w:val="28"/>
          <w:szCs w:val="28"/>
        </w:rPr>
        <w:t xml:space="preserve">»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оценке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выездной проверки установлено,  что пункты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1Э и 2В предписания 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об устранении выявленных нарушений </w:t>
      </w:r>
      <w:r>
        <w:rPr>
          <w:rFonts w:ascii="Times New Roman" w:hAnsi="Times New Roman"/>
          <w:color w:val="000000"/>
          <w:sz w:val="28"/>
          <w:szCs w:val="28"/>
        </w:rPr>
        <w:t xml:space="preserve">от 06.12.2024                               № 01-07/86-ра/2-2024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13</cp:revision>
  <dcterms:created xsi:type="dcterms:W3CDTF">2024-04-24T12:56:00Z</dcterms:created>
  <dcterms:modified xsi:type="dcterms:W3CDTF">2025-07-18T06:47:49Z</dcterms:modified>
</cp:coreProperties>
</file>