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A7A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A7A58" w:rsidRDefault="005B78A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A5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A7A58" w:rsidRDefault="005B78AF">
            <w:pPr>
              <w:pStyle w:val="ConsPlusTitlePage0"/>
              <w:jc w:val="center"/>
            </w:pPr>
            <w:r>
              <w:rPr>
                <w:sz w:val="48"/>
              </w:rPr>
              <w:t>Приказ Росприроднадзора от 22.08.2016 N 488</w:t>
            </w:r>
            <w:r>
              <w:rPr>
                <w:sz w:val="48"/>
              </w:rPr>
              <w:br/>
              <w:t>"Об утверждении формы расчета суммы экологического сбора"</w:t>
            </w:r>
            <w:r>
              <w:rPr>
                <w:sz w:val="48"/>
              </w:rPr>
              <w:br/>
              <w:t>(Зарегистрировано в Минюсте России 10.10.2016 N 43974)</w:t>
            </w:r>
          </w:p>
        </w:tc>
      </w:tr>
      <w:tr w:rsidR="009A7A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A7A58" w:rsidRDefault="005B78A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9A7A58" w:rsidRDefault="009A7A58">
      <w:pPr>
        <w:pStyle w:val="ConsPlusNormal0"/>
        <w:sectPr w:rsidR="009A7A5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A7A58" w:rsidRDefault="009A7A58">
      <w:pPr>
        <w:pStyle w:val="ConsPlusNormal0"/>
        <w:jc w:val="both"/>
        <w:outlineLvl w:val="0"/>
      </w:pPr>
    </w:p>
    <w:p w:rsidR="009A7A58" w:rsidRDefault="005B78AF">
      <w:pPr>
        <w:pStyle w:val="ConsPlusNormal0"/>
        <w:outlineLvl w:val="0"/>
      </w:pPr>
      <w:r>
        <w:t>Зарегистрировано в Минюсте России 10 октября 2016 г. N 43974</w:t>
      </w:r>
    </w:p>
    <w:p w:rsidR="009A7A58" w:rsidRDefault="009A7A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Title0"/>
        <w:jc w:val="center"/>
      </w:pPr>
      <w:r>
        <w:t>МИНИСТЕРСТВО ПРИРОДНЫХ РЕСУРСОВ И ЭКОЛОГИИ</w:t>
      </w:r>
    </w:p>
    <w:p w:rsidR="009A7A58" w:rsidRDefault="005B78AF">
      <w:pPr>
        <w:pStyle w:val="ConsPlusTitle0"/>
        <w:jc w:val="center"/>
      </w:pPr>
      <w:r>
        <w:t>РОССИЙСКОЙ ФЕДЕРАЦИИ</w:t>
      </w:r>
    </w:p>
    <w:p w:rsidR="009A7A58" w:rsidRDefault="009A7A58">
      <w:pPr>
        <w:pStyle w:val="ConsPlusTitle0"/>
        <w:jc w:val="center"/>
      </w:pPr>
    </w:p>
    <w:p w:rsidR="009A7A58" w:rsidRDefault="005B78AF">
      <w:pPr>
        <w:pStyle w:val="ConsPlusTitle0"/>
        <w:jc w:val="center"/>
      </w:pPr>
      <w:r>
        <w:t>ФЕДЕРАЛЬНАЯ СЛУЖБА ПО НАДЗОРУ В СФЕРЕ ПРИРОДОПОЛЬЗОВАНИЯ</w:t>
      </w:r>
    </w:p>
    <w:p w:rsidR="009A7A58" w:rsidRDefault="009A7A58">
      <w:pPr>
        <w:pStyle w:val="ConsPlusTitle0"/>
        <w:jc w:val="center"/>
      </w:pPr>
    </w:p>
    <w:p w:rsidR="009A7A58" w:rsidRDefault="005B78AF">
      <w:pPr>
        <w:pStyle w:val="ConsPlusTitle0"/>
        <w:jc w:val="center"/>
      </w:pPr>
      <w:r>
        <w:t>ПРИКАЗ</w:t>
      </w:r>
    </w:p>
    <w:p w:rsidR="009A7A58" w:rsidRDefault="005B78AF">
      <w:pPr>
        <w:pStyle w:val="ConsPlusTitle0"/>
        <w:jc w:val="center"/>
      </w:pPr>
      <w:r>
        <w:t>от 22 августа 2016 г. N 488</w:t>
      </w:r>
    </w:p>
    <w:p w:rsidR="009A7A58" w:rsidRDefault="009A7A58">
      <w:pPr>
        <w:pStyle w:val="ConsPlusTitle0"/>
        <w:jc w:val="center"/>
      </w:pPr>
    </w:p>
    <w:p w:rsidR="009A7A58" w:rsidRDefault="005B78AF">
      <w:pPr>
        <w:pStyle w:val="ConsPlusTitle0"/>
        <w:jc w:val="center"/>
      </w:pPr>
      <w:r>
        <w:t>ОБ УТВЕРЖДЕНИИ ФОРМЫ РАСЧЕТА СУММЫ</w:t>
      </w:r>
      <w:r>
        <w:t xml:space="preserve"> ЭКОЛОГИЧЕСКОГО СБОРА</w:t>
      </w:r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08.10.2015 N 1073 (ред. от 23.08.2018) &quot;О порядке взимания экологического сбора&quot; (вместе с &quot;Правилами взимания экологического сбора&quot;) {КонсультантПлюс}">
        <w:r>
          <w:rPr>
            <w:color w:val="0000FF"/>
          </w:rPr>
          <w:t>пунктом 7</w:t>
        </w:r>
      </w:hyperlink>
      <w:r>
        <w:t xml:space="preserve"> Правил взимания экологического сбора, утвержденных постановлением Правительства Российской Федерации от 08.10.2015 N 1073 "О порядке взимания экологического сбора" (Собрание законо</w:t>
      </w:r>
      <w:r>
        <w:t xml:space="preserve">дательства Российской Федерации, 19.10.2015, N 42, ст. 5786), приказываю утвердить прилагаемую </w:t>
      </w:r>
      <w:hyperlink w:anchor="P30" w:tooltip="                                   ФОРМА">
        <w:r>
          <w:rPr>
            <w:color w:val="0000FF"/>
          </w:rPr>
          <w:t>форму</w:t>
        </w:r>
      </w:hyperlink>
      <w:r>
        <w:t xml:space="preserve"> расчета суммы экологического сбора.</w:t>
      </w:r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Normal0"/>
        <w:jc w:val="right"/>
      </w:pPr>
      <w:r>
        <w:t>Руководитель</w:t>
      </w:r>
    </w:p>
    <w:p w:rsidR="009A7A58" w:rsidRDefault="005B78AF">
      <w:pPr>
        <w:pStyle w:val="ConsPlusNormal0"/>
        <w:jc w:val="right"/>
      </w:pPr>
      <w:r>
        <w:t>А.Г.СИДОРОВ</w:t>
      </w:r>
    </w:p>
    <w:p w:rsidR="009A7A58" w:rsidRDefault="009A7A58">
      <w:pPr>
        <w:pStyle w:val="ConsPlusNormal0"/>
        <w:jc w:val="both"/>
      </w:pPr>
    </w:p>
    <w:p w:rsidR="009A7A58" w:rsidRDefault="009A7A58">
      <w:pPr>
        <w:pStyle w:val="ConsPlusNormal0"/>
        <w:jc w:val="both"/>
      </w:pPr>
    </w:p>
    <w:p w:rsidR="009A7A58" w:rsidRDefault="009A7A58">
      <w:pPr>
        <w:pStyle w:val="ConsPlusNormal0"/>
        <w:jc w:val="both"/>
      </w:pPr>
    </w:p>
    <w:p w:rsidR="009A7A58" w:rsidRDefault="009A7A58">
      <w:pPr>
        <w:pStyle w:val="ConsPlusNormal0"/>
        <w:jc w:val="both"/>
      </w:pPr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Normal0"/>
        <w:jc w:val="right"/>
        <w:outlineLvl w:val="0"/>
      </w:pPr>
      <w:r>
        <w:t>Утверждена</w:t>
      </w:r>
    </w:p>
    <w:p w:rsidR="009A7A58" w:rsidRDefault="005B78AF">
      <w:pPr>
        <w:pStyle w:val="ConsPlusNormal0"/>
        <w:jc w:val="right"/>
      </w:pPr>
      <w:r>
        <w:t>прика</w:t>
      </w:r>
      <w:r>
        <w:t>зом Федеральной службы</w:t>
      </w:r>
    </w:p>
    <w:p w:rsidR="009A7A58" w:rsidRDefault="005B78AF">
      <w:pPr>
        <w:pStyle w:val="ConsPlusNormal0"/>
        <w:jc w:val="right"/>
      </w:pPr>
      <w:r>
        <w:t>по надзору в сфере природопользования</w:t>
      </w:r>
    </w:p>
    <w:p w:rsidR="009A7A58" w:rsidRDefault="005B78AF">
      <w:pPr>
        <w:pStyle w:val="ConsPlusNormal0"/>
        <w:jc w:val="right"/>
      </w:pPr>
      <w:r>
        <w:t>от 22.08.2016 N 488</w:t>
      </w:r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Normal0"/>
        <w:jc w:val="right"/>
      </w:pPr>
      <w:r>
        <w:t>(форма)</w:t>
      </w:r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Nonformat0"/>
        <w:jc w:val="both"/>
      </w:pPr>
      <w:bookmarkStart w:id="1" w:name="P30"/>
      <w:bookmarkEnd w:id="1"/>
      <w:r>
        <w:t xml:space="preserve">                                   ФОРМА</w:t>
      </w:r>
    </w:p>
    <w:p w:rsidR="009A7A58" w:rsidRDefault="005B78AF">
      <w:pPr>
        <w:pStyle w:val="ConsPlusNonformat0"/>
        <w:jc w:val="both"/>
      </w:pPr>
      <w:r>
        <w:t xml:space="preserve">                    расчета суммы экологического сбора</w:t>
      </w:r>
    </w:p>
    <w:p w:rsidR="009A7A58" w:rsidRDefault="005B78AF">
      <w:pPr>
        <w:pStyle w:val="ConsPlusNonformat0"/>
        <w:jc w:val="both"/>
      </w:pPr>
      <w:r>
        <w:t xml:space="preserve">                              за 20 ..._ год</w:t>
      </w:r>
    </w:p>
    <w:p w:rsidR="009A7A58" w:rsidRDefault="009A7A58">
      <w:pPr>
        <w:pStyle w:val="ConsPlusNonformat0"/>
        <w:jc w:val="both"/>
      </w:pPr>
    </w:p>
    <w:p w:rsidR="009A7A58" w:rsidRDefault="005B78AF">
      <w:pPr>
        <w:pStyle w:val="ConsPlusNonformat0"/>
        <w:jc w:val="both"/>
      </w:pPr>
      <w:r>
        <w:t xml:space="preserve">Расчет предоставляется </w:t>
      </w:r>
      <w:r>
        <w:t>в: _________________________________________________</w:t>
      </w:r>
    </w:p>
    <w:p w:rsidR="009A7A58" w:rsidRDefault="005B78AF">
      <w:pPr>
        <w:pStyle w:val="ConsPlusNonformat0"/>
        <w:jc w:val="both"/>
      </w:pPr>
      <w:r>
        <w:t xml:space="preserve">                               (наименование территориального органа</w:t>
      </w:r>
    </w:p>
    <w:p w:rsidR="009A7A58" w:rsidRDefault="005B78AF">
      <w:pPr>
        <w:pStyle w:val="ConsPlusNonformat0"/>
        <w:jc w:val="both"/>
      </w:pPr>
      <w:r>
        <w:t xml:space="preserve">                                   Федеральной службы по надзору</w:t>
      </w:r>
    </w:p>
    <w:p w:rsidR="009A7A58" w:rsidRDefault="005B78AF">
      <w:pPr>
        <w:pStyle w:val="ConsPlusNonformat0"/>
        <w:jc w:val="both"/>
      </w:pPr>
      <w:r>
        <w:t xml:space="preserve">                                    в сфере природопользования)</w:t>
      </w:r>
    </w:p>
    <w:p w:rsidR="009A7A58" w:rsidRDefault="009A7A58">
      <w:pPr>
        <w:pStyle w:val="ConsPlusNonformat0"/>
        <w:jc w:val="both"/>
      </w:pPr>
    </w:p>
    <w:p w:rsidR="009A7A58" w:rsidRDefault="005B78AF">
      <w:pPr>
        <w:pStyle w:val="ConsPlusNonformat0"/>
        <w:jc w:val="both"/>
      </w:pPr>
      <w:r>
        <w:t>Раздел  1. Общие сведения о производителе,  импортере  готовых  товаров,  в</w:t>
      </w:r>
    </w:p>
    <w:p w:rsidR="009A7A58" w:rsidRDefault="005B78AF">
      <w:pPr>
        <w:pStyle w:val="ConsPlusNonformat0"/>
        <w:jc w:val="both"/>
      </w:pPr>
      <w:r>
        <w:t>том числе упаковки таких товаров</w:t>
      </w:r>
    </w:p>
    <w:p w:rsidR="009A7A58" w:rsidRDefault="009A7A5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Информация о производителе, импортере товаров (указать нужное)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Для юридического лица: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Организационно-правовая форма юридического лица и наименование организации:</w:t>
            </w:r>
          </w:p>
          <w:p w:rsidR="009A7A58" w:rsidRDefault="005B78AF">
            <w:pPr>
              <w:pStyle w:val="ConsPlusNormal0"/>
            </w:pPr>
            <w:r>
              <w:t>(указать полное и сокращенное, фирменное наименование)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ИНН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КПП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Адрес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ОГРН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Данные документа, подтверждающего факт внесения записи о юридическом лице в ЕГРЮЛ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Для физического лица, зарегистрированного в качестве индивидуального предпринимателя: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Фамилия, имя, отчество (последнее - при наличии)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ИНН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Адрес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ОГРНИП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Данные документа, подтверждающего факт внесения записи об индивидуальном предпринимателе в ЕГРИП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 xml:space="preserve">Код по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(ОК 029-2014 (КДЕС ред. 2))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 xml:space="preserve">Код по </w:t>
            </w:r>
            <w:hyperlink r:id="rId11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      <w:r>
                <w:rPr>
                  <w:color w:val="0000FF"/>
                </w:rPr>
                <w:t>ОКАТО</w:t>
              </w:r>
            </w:hyperlink>
            <w:r>
              <w:t xml:space="preserve"> (ОК 019-95)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 xml:space="preserve">Код по </w:t>
            </w:r>
            <w:hyperlink r:id="rId1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(ОК 033-2013)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624" w:type="dxa"/>
          </w:tcPr>
          <w:p w:rsidR="009A7A58" w:rsidRDefault="005B78A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746" w:type="dxa"/>
          </w:tcPr>
          <w:p w:rsidR="009A7A58" w:rsidRDefault="005B78AF">
            <w:pPr>
              <w:pStyle w:val="ConsPlusNormal0"/>
            </w:pPr>
            <w:r>
              <w:t>Контактная информация: номера телефонов, телефакса; адрес электронной почты (при наличии)</w:t>
            </w:r>
          </w:p>
        </w:tc>
        <w:tc>
          <w:tcPr>
            <w:tcW w:w="1701" w:type="dxa"/>
          </w:tcPr>
          <w:p w:rsidR="009A7A58" w:rsidRDefault="009A7A58">
            <w:pPr>
              <w:pStyle w:val="ConsPlusNormal0"/>
            </w:pPr>
          </w:p>
        </w:tc>
      </w:tr>
    </w:tbl>
    <w:p w:rsidR="009A7A58" w:rsidRDefault="009A7A58">
      <w:pPr>
        <w:pStyle w:val="ConsPlusNormal0"/>
        <w:jc w:val="both"/>
      </w:pPr>
    </w:p>
    <w:p w:rsidR="009A7A58" w:rsidRDefault="005B78AF">
      <w:pPr>
        <w:pStyle w:val="ConsPlusNonformat0"/>
        <w:jc w:val="both"/>
      </w:pPr>
      <w:r>
        <w:t>Раздел 2. Расчет суммы экологического сбора</w:t>
      </w:r>
    </w:p>
    <w:p w:rsidR="009A7A58" w:rsidRDefault="009A7A58">
      <w:pPr>
        <w:pStyle w:val="ConsPlusNormal0"/>
        <w:jc w:val="both"/>
      </w:pPr>
    </w:p>
    <w:p w:rsidR="009A7A58" w:rsidRDefault="009A7A58">
      <w:pPr>
        <w:pStyle w:val="ConsPlusNormal0"/>
        <w:sectPr w:rsidR="009A7A58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1249"/>
        <w:gridCol w:w="628"/>
        <w:gridCol w:w="1875"/>
        <w:gridCol w:w="1875"/>
        <w:gridCol w:w="1589"/>
        <w:gridCol w:w="1015"/>
        <w:gridCol w:w="1589"/>
        <w:gridCol w:w="1589"/>
        <w:gridCol w:w="1589"/>
        <w:gridCol w:w="1320"/>
        <w:gridCol w:w="1320"/>
      </w:tblGrid>
      <w:tr w:rsidR="009A7A58">
        <w:tc>
          <w:tcPr>
            <w:tcW w:w="1020" w:type="dxa"/>
          </w:tcPr>
          <w:p w:rsidR="009A7A58" w:rsidRDefault="005B78A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003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Наименование товара </w:t>
            </w:r>
            <w:hyperlink w:anchor="P205" w:tooltip="&lt;1&gt; Заполняется для готовых товаров, выпущенных в обращение на территории Российской Федерации их производителями, и упаковки таких товаров. Наименование по каждому готовому товару, включая упаковку, указывается в соответствии с перечнем готовых товаров, включ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9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Код товара </w:t>
            </w:r>
            <w:hyperlink w:anchor="P205" w:tooltip="&lt;1&gt; Заполняется для готовых товаров, выпущенных в обращение на территории Российской Федерации их производителями, и упаковки таких товаров. Наименование по каждому готовому товару, включая упаковку, указывается в соответствии с перечнем готовых товаров, включ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74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Наименование позиции единой Товарной номенклатуры внешнеэкономической деятельности Евразийского экономического союза </w:t>
            </w:r>
            <w:hyperlink r:id="rId17" w:tooltip="Решение Совета Евразийской экономической комиссии от 16.07.2012 N 54 (ред. от 14.07.2021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(ТН ВЭД ЕАЭС)</w:t>
              </w:r>
            </w:hyperlink>
            <w:r>
              <w:t xml:space="preserve"> </w:t>
            </w:r>
            <w:hyperlink w:anchor="P206" w:tooltip="&lt;2&gt; Заполняется для импортируемых готовых товаров, выпущенных в обращение на территории Российской Федерации их импортерами, и упаковки таких товаров. Наименование и код по каждому готовому товару (упаковке) указываются по единой Товарной номенклатуре внешнеэк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72" w:type="dxa"/>
          </w:tcPr>
          <w:p w:rsidR="009A7A58" w:rsidRDefault="005B78AF">
            <w:pPr>
              <w:pStyle w:val="ConsPlusNormal0"/>
              <w:jc w:val="center"/>
            </w:pPr>
            <w:r>
              <w:t>Код единой Товарной номенклатуры внешнеэкономической деятельности Евразийского экономиче</w:t>
            </w:r>
            <w:r>
              <w:t xml:space="preserve">ского союза </w:t>
            </w:r>
            <w:hyperlink r:id="rId18" w:tooltip="Решение Совета Евразийской экономической комиссии от 16.07.2012 N 54 (ред. от 14.07.2021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(ТН ВЭД ЕАЭС)</w:t>
              </w:r>
            </w:hyperlink>
            <w:r>
              <w:t xml:space="preserve"> </w:t>
            </w:r>
            <w:hyperlink w:anchor="P206" w:tooltip="&lt;2&gt; Заполняется для импортируемых готовых товаров, выпущенных в обращение на территории Российской Федерации их импортерами, и упаковки таких товаров. Наименование и код по каждому готовому товару (упаковке) указываются по единой Товарной номенклатуре внешнеэк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82" w:type="dxa"/>
          </w:tcPr>
          <w:p w:rsidR="009A7A58" w:rsidRDefault="005B78AF">
            <w:pPr>
              <w:pStyle w:val="ConsPlusNormal0"/>
              <w:jc w:val="center"/>
            </w:pPr>
            <w:r>
              <w:t>Количество товаров (готовых товаров/упаковки), вып</w:t>
            </w:r>
            <w:r>
              <w:t xml:space="preserve">ущенных в обращение на территории Российской Федерации </w:t>
            </w:r>
            <w:hyperlink w:anchor="P207" w:tooltip="&lt;3&gt; Заполняется на основании данных декларации о количестве выпущенных в обращение на территории Российской Федерации за предыдущий календарный год готовых товаров, в том числе упаковки, подлежащих утилизации, представленной в соответствии с Положением о декла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42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Норматив утилизации </w:t>
            </w:r>
            <w:hyperlink w:anchor="P208" w:tooltip="&lt;4&gt; Нормативы утилизации отходов от использования товаров утверждены распоряжением Правительства Российской Федерации от 04.12.2015 N 2491-р (Собрание законодательства Российской Федерации, 14.12.2015, N 50, ст. 7207)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86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Итоговое количество товаров (готовых товаров/упаковки), подлежащих утилизации </w:t>
            </w:r>
            <w:hyperlink w:anchor="P209" w:tooltip="&lt;5&gt; Заполняется на основании данных о количестве отходов от использования готовых товаров, упаковки товаров, переданных на утилизацию в отчетном периоде, за которые необходимо оплатить экологический сбор, указанными в направленной производителями, импортерами 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8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Количество отходов от использования товаров (готовых товаров/упаковки), переданных на утилизацию в отчетный период </w:t>
            </w:r>
            <w:hyperlink w:anchor="P209" w:tooltip="&lt;5&gt; Заполняется на основании данных о количестве отходов от использования готовых товаров, упаковки товаров, переданных на утилизацию в отчетном периоде, за которые необходимо оплатить экологический сбор, указанными в направленной производителями, импортерами 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21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Количество отходов от использования товаров (готовых товаров/упаковки), за которые необходимо уплатить экологический сбор </w:t>
            </w:r>
            <w:hyperlink w:anchor="P209" w:tooltip="&lt;5&gt; Заполняется на основании данных о количестве отходов от использования готовых товаров, упаковки товаров, переданных на утилизацию в отчетном периоде, за которые необходимо оплатить экологический сбор, указанными в направленной производителями, импортерами 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6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Ставка экологического сбора </w:t>
            </w:r>
            <w:hyperlink w:anchor="P210" w:tooltip="&lt;6&gt; Заполняется в соответствии со ставками экологического сбора по каждой группе товаров, подлежащих утилизации после утраты ими потребительских свойств, уплачиваемого производителями, импортерами товаров, которые не обеспечивают самостоятельную утилизацию отх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126" w:type="dxa"/>
          </w:tcPr>
          <w:p w:rsidR="009A7A58" w:rsidRDefault="005B78AF">
            <w:pPr>
              <w:pStyle w:val="ConsPlusNormal0"/>
              <w:jc w:val="center"/>
            </w:pPr>
            <w:r>
              <w:t xml:space="preserve">Сумма экологического сбора, руб. </w:t>
            </w:r>
            <w:hyperlink w:anchor="P211" w:tooltip="&lt;7&gt; Заполняется с точностью до двух знаков после запятой.">
              <w:r>
                <w:rPr>
                  <w:color w:val="0000FF"/>
                </w:rPr>
                <w:t>&lt;7&gt;</w:t>
              </w:r>
            </w:hyperlink>
          </w:p>
        </w:tc>
      </w:tr>
      <w:tr w:rsidR="009A7A58">
        <w:tc>
          <w:tcPr>
            <w:tcW w:w="1020" w:type="dxa"/>
          </w:tcPr>
          <w:p w:rsidR="009A7A58" w:rsidRDefault="005B78A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03" w:type="dxa"/>
          </w:tcPr>
          <w:p w:rsidR="009A7A58" w:rsidRDefault="005B78A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9A7A58" w:rsidRDefault="005B78A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9A7A58" w:rsidRDefault="005B78A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9A7A58" w:rsidRDefault="005B78A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82" w:type="dxa"/>
          </w:tcPr>
          <w:p w:rsidR="009A7A58" w:rsidRDefault="005B78A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42" w:type="dxa"/>
          </w:tcPr>
          <w:p w:rsidR="009A7A58" w:rsidRDefault="005B78A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86" w:type="dxa"/>
          </w:tcPr>
          <w:p w:rsidR="009A7A58" w:rsidRDefault="005B78A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8" w:type="dxa"/>
          </w:tcPr>
          <w:p w:rsidR="009A7A58" w:rsidRDefault="005B78A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21" w:type="dxa"/>
          </w:tcPr>
          <w:p w:rsidR="009A7A58" w:rsidRDefault="005B78AF">
            <w:pPr>
              <w:pStyle w:val="ConsPlusNormal0"/>
              <w:jc w:val="center"/>
            </w:pPr>
            <w:bookmarkStart w:id="2" w:name="P121"/>
            <w:bookmarkEnd w:id="2"/>
            <w:r>
              <w:t>10</w:t>
            </w:r>
          </w:p>
        </w:tc>
        <w:tc>
          <w:tcPr>
            <w:tcW w:w="1416" w:type="dxa"/>
          </w:tcPr>
          <w:p w:rsidR="009A7A58" w:rsidRDefault="005B78AF">
            <w:pPr>
              <w:pStyle w:val="ConsPlusNormal0"/>
              <w:jc w:val="center"/>
            </w:pPr>
            <w:bookmarkStart w:id="3" w:name="P122"/>
            <w:bookmarkEnd w:id="3"/>
            <w:r>
              <w:t>11</w:t>
            </w:r>
          </w:p>
        </w:tc>
        <w:tc>
          <w:tcPr>
            <w:tcW w:w="2126" w:type="dxa"/>
          </w:tcPr>
          <w:p w:rsidR="009A7A58" w:rsidRDefault="005B78AF">
            <w:pPr>
              <w:pStyle w:val="ConsPlusNormal0"/>
              <w:jc w:val="center"/>
            </w:pPr>
            <w:bookmarkStart w:id="4" w:name="P123"/>
            <w:bookmarkEnd w:id="4"/>
            <w:r>
              <w:t>12</w:t>
            </w:r>
          </w:p>
        </w:tc>
      </w:tr>
      <w:tr w:rsidR="009A7A58">
        <w:tc>
          <w:tcPr>
            <w:tcW w:w="13423" w:type="dxa"/>
            <w:gridSpan w:val="11"/>
            <w:vAlign w:val="center"/>
          </w:tcPr>
          <w:p w:rsidR="009A7A58" w:rsidRDefault="005B78AF">
            <w:pPr>
              <w:pStyle w:val="ConsPlusNormal0"/>
            </w:pPr>
            <w:r>
              <w:t xml:space="preserve">ИТОГО сумма экологического сбора, руб. </w:t>
            </w:r>
            <w:hyperlink w:anchor="P212" w:tooltip="&lt;8&gt; Итоговая сумма экологического сбора определяется путем суммирования суммы экологического сбора за готовые товары и суммы экологического сбора за упаковку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126" w:type="dxa"/>
            <w:vAlign w:val="center"/>
          </w:tcPr>
          <w:p w:rsidR="009A7A58" w:rsidRDefault="005B78AF">
            <w:pPr>
              <w:pStyle w:val="ConsPlusNormal0"/>
              <w:jc w:val="center"/>
            </w:pPr>
            <w:r>
              <w:t>(</w:t>
            </w:r>
            <w:hyperlink w:anchor="P126" w:tooltip="1. Сумма экологического сбора за готовые товары, руб. &lt;9&gt;">
              <w:r>
                <w:rPr>
                  <w:color w:val="0000FF"/>
                </w:rPr>
                <w:t>стр. 1</w:t>
              </w:r>
            </w:hyperlink>
            <w:r>
              <w:t xml:space="preserve"> + </w:t>
            </w:r>
            <w:hyperlink w:anchor="P154" w:tooltip="2. Сумма экологического сбора за упаковку, руб.">
              <w:r>
                <w:rPr>
                  <w:color w:val="0000FF"/>
                </w:rPr>
                <w:t>стр. 2</w:t>
              </w:r>
            </w:hyperlink>
            <w:r>
              <w:t>)</w:t>
            </w:r>
          </w:p>
        </w:tc>
      </w:tr>
      <w:tr w:rsidR="009A7A58">
        <w:tc>
          <w:tcPr>
            <w:tcW w:w="13423" w:type="dxa"/>
            <w:gridSpan w:val="11"/>
            <w:vAlign w:val="center"/>
          </w:tcPr>
          <w:p w:rsidR="009A7A58" w:rsidRDefault="005B78AF">
            <w:pPr>
              <w:pStyle w:val="ConsPlusNormal0"/>
            </w:pPr>
            <w:bookmarkStart w:id="5" w:name="P126"/>
            <w:bookmarkEnd w:id="5"/>
            <w:r>
              <w:t xml:space="preserve">1. Сумма экологического сбора за готовые товары, руб. </w:t>
            </w:r>
            <w:hyperlink w:anchor="P213" w:tooltip="&lt;9&gt; Сумма экологического сбора за готовые товары и сумма экологического сбора за упаковку определяются путем суммирования значений по группам товаров, включая упаковку, подлежащих утилизации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2126" w:type="dxa"/>
            <w:vAlign w:val="center"/>
          </w:tcPr>
          <w:p w:rsidR="009A7A58" w:rsidRDefault="005B78AF">
            <w:pPr>
              <w:pStyle w:val="ConsPlusNormal0"/>
              <w:jc w:val="center"/>
            </w:pPr>
            <w:r>
              <w:t>(</w:t>
            </w:r>
            <w:hyperlink w:anchor="P128" w:tooltip="1.1. Группа N ... &lt;10&gt;">
              <w:r>
                <w:rPr>
                  <w:color w:val="0000FF"/>
                </w:rPr>
                <w:t>стр. 1.1</w:t>
              </w:r>
            </w:hyperlink>
            <w:r>
              <w:t xml:space="preserve"> + </w:t>
            </w:r>
            <w:hyperlink w:anchor="P128" w:tooltip="1.1. Группа N ... &lt;10&gt;">
              <w:r>
                <w:rPr>
                  <w:color w:val="0000FF"/>
                </w:rPr>
                <w:t>стр. 1.2</w:t>
              </w:r>
            </w:hyperlink>
            <w:r>
              <w:t xml:space="preserve"> + стр. ...)</w:t>
            </w:r>
          </w:p>
        </w:tc>
      </w:tr>
      <w:tr w:rsidR="009A7A58">
        <w:tc>
          <w:tcPr>
            <w:tcW w:w="13423" w:type="dxa"/>
            <w:gridSpan w:val="11"/>
            <w:vAlign w:val="center"/>
          </w:tcPr>
          <w:p w:rsidR="009A7A58" w:rsidRDefault="005B78AF">
            <w:pPr>
              <w:pStyle w:val="ConsPlusNormal0"/>
            </w:pPr>
            <w:bookmarkStart w:id="6" w:name="P128"/>
            <w:bookmarkEnd w:id="6"/>
            <w:r>
              <w:t xml:space="preserve">1.1. Группа N ... </w:t>
            </w:r>
            <w:hyperlink w:anchor="P214" w:tooltip="&lt;10&gt; Заполняется для каждой группы готовых товаров, включая упаковку, для которой установлены нормативы утилизации. Наименование групп готовых товаров, включая упаковку, указывается в соответствии с перечнем готовых товаров, включая упаковку, подлежащих утилиз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126" w:type="dxa"/>
            <w:vAlign w:val="center"/>
          </w:tcPr>
          <w:p w:rsidR="009A7A58" w:rsidRDefault="005B78AF">
            <w:pPr>
              <w:pStyle w:val="ConsPlusNormal0"/>
              <w:jc w:val="center"/>
            </w:pPr>
            <w:r>
              <w:t>(</w:t>
            </w:r>
            <w:hyperlink w:anchor="P130" w:tooltip="1.1.1. ... &lt;11&gt;">
              <w:r>
                <w:rPr>
                  <w:color w:val="0000FF"/>
                </w:rPr>
                <w:t>стр. 1.1.1</w:t>
              </w:r>
            </w:hyperlink>
            <w:r>
              <w:t xml:space="preserve"> + </w:t>
            </w:r>
            <w:hyperlink w:anchor="P130" w:tooltip="1.1.1. ... &lt;11&gt;">
              <w:r>
                <w:rPr>
                  <w:color w:val="0000FF"/>
                </w:rPr>
                <w:t>стр. 1.1.2</w:t>
              </w:r>
            </w:hyperlink>
            <w:r>
              <w:t xml:space="preserve"> + стр. ...)</w:t>
            </w:r>
          </w:p>
        </w:tc>
      </w:tr>
      <w:tr w:rsidR="009A7A58">
        <w:tc>
          <w:tcPr>
            <w:tcW w:w="1020" w:type="dxa"/>
            <w:vAlign w:val="center"/>
          </w:tcPr>
          <w:p w:rsidR="009A7A58" w:rsidRDefault="005B78AF">
            <w:pPr>
              <w:pStyle w:val="ConsPlusNormal0"/>
            </w:pPr>
            <w:bookmarkStart w:id="7" w:name="P130"/>
            <w:bookmarkEnd w:id="7"/>
            <w:r>
              <w:t xml:space="preserve">1.1.1. ... </w:t>
            </w:r>
            <w:hyperlink w:anchor="P215" w:tooltip="&lt;11&gt; Заполняется по каждому наименованию готовых товаров, упаковки товаров, по которым у производителя, импортера товаров возникает обязанность по их утилизации. Графа 12 определяется путем умножения значений по графе 10 и графе 11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003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859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574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7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8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4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8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48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21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1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2126" w:type="dxa"/>
            <w:vAlign w:val="center"/>
          </w:tcPr>
          <w:p w:rsidR="009A7A58" w:rsidRDefault="005B78AF">
            <w:pPr>
              <w:pStyle w:val="ConsPlusNormal0"/>
              <w:jc w:val="center"/>
            </w:pPr>
            <w:r>
              <w:t>(</w:t>
            </w:r>
            <w:hyperlink w:anchor="P121" w:tooltip="10">
              <w:r>
                <w:rPr>
                  <w:color w:val="0000FF"/>
                </w:rPr>
                <w:t>гр. 10</w:t>
              </w:r>
            </w:hyperlink>
            <w:r>
              <w:t xml:space="preserve"> * </w:t>
            </w:r>
            <w:hyperlink w:anchor="P122" w:tooltip="11">
              <w:r>
                <w:rPr>
                  <w:color w:val="0000FF"/>
                </w:rPr>
                <w:t>гр. 11</w:t>
              </w:r>
            </w:hyperlink>
            <w:r>
              <w:t>)</w:t>
            </w:r>
          </w:p>
        </w:tc>
      </w:tr>
      <w:tr w:rsidR="009A7A58">
        <w:tc>
          <w:tcPr>
            <w:tcW w:w="1020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003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859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574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7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8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4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8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48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21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1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2126" w:type="dxa"/>
            <w:vAlign w:val="center"/>
          </w:tcPr>
          <w:p w:rsidR="009A7A58" w:rsidRDefault="009A7A58">
            <w:pPr>
              <w:pStyle w:val="ConsPlusNormal0"/>
            </w:pPr>
          </w:p>
        </w:tc>
      </w:tr>
      <w:tr w:rsidR="009A7A58">
        <w:tc>
          <w:tcPr>
            <w:tcW w:w="4456" w:type="dxa"/>
            <w:gridSpan w:val="4"/>
            <w:vAlign w:val="center"/>
          </w:tcPr>
          <w:p w:rsidR="009A7A58" w:rsidRDefault="005B78AF">
            <w:pPr>
              <w:pStyle w:val="ConsPlusNormal0"/>
            </w:pPr>
            <w:bookmarkStart w:id="8" w:name="P154"/>
            <w:bookmarkEnd w:id="8"/>
            <w:r>
              <w:lastRenderedPageBreak/>
              <w:t>2. Сумма экологического сбора за упаковку, руб.</w:t>
            </w:r>
          </w:p>
        </w:tc>
        <w:tc>
          <w:tcPr>
            <w:tcW w:w="127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8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4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8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48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21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1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2126" w:type="dxa"/>
            <w:vAlign w:val="center"/>
          </w:tcPr>
          <w:p w:rsidR="009A7A58" w:rsidRDefault="005B78AF">
            <w:pPr>
              <w:pStyle w:val="ConsPlusNormal0"/>
              <w:jc w:val="center"/>
            </w:pPr>
            <w:r>
              <w:t>(</w:t>
            </w:r>
            <w:hyperlink w:anchor="P163" w:tooltip="2.1. Группа N ... 10">
              <w:r>
                <w:rPr>
                  <w:color w:val="0000FF"/>
                </w:rPr>
                <w:t>стр. 2.1</w:t>
              </w:r>
            </w:hyperlink>
            <w:r>
              <w:t xml:space="preserve"> + </w:t>
            </w:r>
            <w:hyperlink w:anchor="P163" w:tooltip="2.1. Группа N ... 10">
              <w:r>
                <w:rPr>
                  <w:color w:val="0000FF"/>
                </w:rPr>
                <w:t>стр. 2.2</w:t>
              </w:r>
            </w:hyperlink>
            <w:r>
              <w:t xml:space="preserve"> + стр. ...)</w:t>
            </w:r>
          </w:p>
        </w:tc>
      </w:tr>
      <w:tr w:rsidR="009A7A58">
        <w:tc>
          <w:tcPr>
            <w:tcW w:w="13423" w:type="dxa"/>
            <w:gridSpan w:val="11"/>
            <w:vAlign w:val="center"/>
          </w:tcPr>
          <w:p w:rsidR="009A7A58" w:rsidRDefault="005B78AF">
            <w:pPr>
              <w:pStyle w:val="ConsPlusNormal0"/>
            </w:pPr>
            <w:bookmarkStart w:id="9" w:name="P163"/>
            <w:bookmarkEnd w:id="9"/>
            <w:r>
              <w:t>2.1. Группа N ... 10</w:t>
            </w:r>
          </w:p>
        </w:tc>
        <w:tc>
          <w:tcPr>
            <w:tcW w:w="2126" w:type="dxa"/>
            <w:vAlign w:val="center"/>
          </w:tcPr>
          <w:p w:rsidR="009A7A58" w:rsidRDefault="005B78AF">
            <w:pPr>
              <w:pStyle w:val="ConsPlusNormal0"/>
              <w:jc w:val="center"/>
            </w:pPr>
            <w:r>
              <w:t>(</w:t>
            </w:r>
            <w:hyperlink w:anchor="P165" w:tooltip="2.1.1. ... &lt;11&gt;">
              <w:r>
                <w:rPr>
                  <w:color w:val="0000FF"/>
                </w:rPr>
                <w:t>стр. 2.1.1</w:t>
              </w:r>
            </w:hyperlink>
            <w:r>
              <w:t xml:space="preserve"> + </w:t>
            </w:r>
            <w:hyperlink w:anchor="P165" w:tooltip="2.1.1. ... &lt;11&gt;">
              <w:r>
                <w:rPr>
                  <w:color w:val="0000FF"/>
                </w:rPr>
                <w:t>стр. 2.1.2</w:t>
              </w:r>
            </w:hyperlink>
            <w:r>
              <w:t xml:space="preserve"> + стр. ...)</w:t>
            </w:r>
          </w:p>
        </w:tc>
      </w:tr>
      <w:tr w:rsidR="009A7A58">
        <w:tc>
          <w:tcPr>
            <w:tcW w:w="1020" w:type="dxa"/>
            <w:vAlign w:val="center"/>
          </w:tcPr>
          <w:p w:rsidR="009A7A58" w:rsidRDefault="005B78AF">
            <w:pPr>
              <w:pStyle w:val="ConsPlusNormal0"/>
            </w:pPr>
            <w:bookmarkStart w:id="10" w:name="P165"/>
            <w:bookmarkEnd w:id="10"/>
            <w:r>
              <w:t xml:space="preserve">2.1.1. ... </w:t>
            </w:r>
            <w:hyperlink w:anchor="P215" w:tooltip="&lt;11&gt; Заполняется по каждому наименованию готовых товаров, упаковки товаров, по которым у производителя, импортера товаров возникает обязанность по их утилизации. Графа 12 определяется путем умножения значений по графе 10 и графе 11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003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859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574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7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8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4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8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48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21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1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2126" w:type="dxa"/>
            <w:vAlign w:val="center"/>
          </w:tcPr>
          <w:p w:rsidR="009A7A58" w:rsidRDefault="005B78AF">
            <w:pPr>
              <w:pStyle w:val="ConsPlusNormal0"/>
              <w:jc w:val="center"/>
            </w:pPr>
            <w:r>
              <w:t>(</w:t>
            </w:r>
            <w:hyperlink w:anchor="P121" w:tooltip="10">
              <w:r>
                <w:rPr>
                  <w:color w:val="0000FF"/>
                </w:rPr>
                <w:t>гр. 10</w:t>
              </w:r>
            </w:hyperlink>
            <w:r>
              <w:t xml:space="preserve"> * </w:t>
            </w:r>
            <w:hyperlink w:anchor="P122" w:tooltip="11">
              <w:r>
                <w:rPr>
                  <w:color w:val="0000FF"/>
                </w:rPr>
                <w:t>гр. 11</w:t>
              </w:r>
            </w:hyperlink>
            <w:r>
              <w:t>)</w:t>
            </w:r>
          </w:p>
        </w:tc>
      </w:tr>
      <w:tr w:rsidR="009A7A58">
        <w:tc>
          <w:tcPr>
            <w:tcW w:w="1020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003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859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574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7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8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42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18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248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21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1416" w:type="dxa"/>
            <w:vAlign w:val="center"/>
          </w:tcPr>
          <w:p w:rsidR="009A7A58" w:rsidRDefault="009A7A58">
            <w:pPr>
              <w:pStyle w:val="ConsPlusNormal0"/>
            </w:pPr>
          </w:p>
        </w:tc>
        <w:tc>
          <w:tcPr>
            <w:tcW w:w="2126" w:type="dxa"/>
            <w:vAlign w:val="center"/>
          </w:tcPr>
          <w:p w:rsidR="009A7A58" w:rsidRDefault="009A7A58">
            <w:pPr>
              <w:pStyle w:val="ConsPlusNormal0"/>
            </w:pPr>
          </w:p>
        </w:tc>
      </w:tr>
    </w:tbl>
    <w:p w:rsidR="009A7A58" w:rsidRDefault="009A7A58">
      <w:pPr>
        <w:pStyle w:val="ConsPlusNormal0"/>
        <w:sectPr w:rsidR="009A7A58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Nonformat0"/>
        <w:jc w:val="both"/>
      </w:pPr>
      <w:r>
        <w:t>Документ составлен на ______ листах с приложением подтверждающих документов</w:t>
      </w:r>
    </w:p>
    <w:p w:rsidR="009A7A58" w:rsidRDefault="005B78AF">
      <w:pPr>
        <w:pStyle w:val="ConsPlusNonformat0"/>
        <w:jc w:val="both"/>
      </w:pPr>
      <w:r>
        <w:t>или их копий на ______ листах.</w:t>
      </w:r>
    </w:p>
    <w:p w:rsidR="009A7A58" w:rsidRDefault="009A7A58">
      <w:pPr>
        <w:pStyle w:val="ConsPlusNonformat0"/>
        <w:jc w:val="both"/>
      </w:pPr>
    </w:p>
    <w:p w:rsidR="009A7A58" w:rsidRDefault="005B78AF">
      <w:pPr>
        <w:pStyle w:val="ConsPlusNonformat0"/>
        <w:jc w:val="both"/>
      </w:pPr>
      <w:r>
        <w:t>Должностное лицо, ответственное</w:t>
      </w:r>
    </w:p>
    <w:p w:rsidR="009A7A58" w:rsidRDefault="005B78AF">
      <w:pPr>
        <w:pStyle w:val="ConsPlusNonformat0"/>
        <w:jc w:val="both"/>
      </w:pPr>
      <w:r>
        <w:t>за представление расчета (руководитель</w:t>
      </w:r>
    </w:p>
    <w:p w:rsidR="009A7A58" w:rsidRDefault="005B78AF">
      <w:pPr>
        <w:pStyle w:val="ConsPlusNonformat0"/>
        <w:jc w:val="both"/>
      </w:pPr>
      <w:r>
        <w:t>юридического лица или лицо,</w:t>
      </w:r>
    </w:p>
    <w:p w:rsidR="009A7A58" w:rsidRDefault="005B78AF">
      <w:pPr>
        <w:pStyle w:val="ConsPlusNonformat0"/>
        <w:jc w:val="both"/>
      </w:pPr>
      <w:r>
        <w:t>уполномоченное от имени</w:t>
      </w:r>
    </w:p>
    <w:p w:rsidR="009A7A58" w:rsidRDefault="005B78AF">
      <w:pPr>
        <w:pStyle w:val="ConsPlusNonformat0"/>
        <w:jc w:val="both"/>
      </w:pPr>
      <w:r>
        <w:t>юридического лица, либо физическое лицо) __________________________________</w:t>
      </w:r>
    </w:p>
    <w:p w:rsidR="009A7A58" w:rsidRDefault="005B78AF">
      <w:pPr>
        <w:pStyle w:val="ConsPlusNonformat0"/>
        <w:jc w:val="both"/>
      </w:pPr>
      <w:r>
        <w:t xml:space="preserve">                                          (должность)  (Ф.И.О.)  (подпись)</w:t>
      </w:r>
    </w:p>
    <w:p w:rsidR="009A7A58" w:rsidRDefault="009A7A58">
      <w:pPr>
        <w:pStyle w:val="ConsPlusNonformat0"/>
        <w:jc w:val="both"/>
      </w:pPr>
    </w:p>
    <w:p w:rsidR="009A7A58" w:rsidRDefault="005B78AF">
      <w:pPr>
        <w:pStyle w:val="ConsPlusNonformat0"/>
        <w:jc w:val="both"/>
      </w:pPr>
      <w:r>
        <w:t xml:space="preserve">                                                     Дата _________________</w:t>
      </w:r>
    </w:p>
    <w:p w:rsidR="009A7A58" w:rsidRDefault="009A7A58">
      <w:pPr>
        <w:pStyle w:val="ConsPlusNonformat0"/>
        <w:jc w:val="both"/>
      </w:pPr>
    </w:p>
    <w:p w:rsidR="009A7A58" w:rsidRDefault="005B78AF">
      <w:pPr>
        <w:pStyle w:val="ConsPlusNonformat0"/>
        <w:jc w:val="both"/>
      </w:pPr>
      <w:r>
        <w:t xml:space="preserve">М.П. </w:t>
      </w:r>
      <w:hyperlink w:anchor="P216" w:tooltip="&lt;12&gt; При представлении расчета суммы экологического сбора на бумажном носителе он заверяется печатью в случае, если в соответствии с законодательством Российской Федерации лицо, подавшее расчет суммы экологического сбора, должно иметь печать.">
        <w:r>
          <w:rPr>
            <w:color w:val="0000FF"/>
          </w:rPr>
          <w:t>&lt;12</w:t>
        </w:r>
        <w:r>
          <w:rPr>
            <w:color w:val="0000FF"/>
          </w:rPr>
          <w:t>&gt;</w:t>
        </w:r>
      </w:hyperlink>
    </w:p>
    <w:p w:rsidR="009A7A58" w:rsidRDefault="009A7A58">
      <w:pPr>
        <w:pStyle w:val="ConsPlusNormal0"/>
        <w:jc w:val="both"/>
      </w:pPr>
    </w:p>
    <w:p w:rsidR="009A7A58" w:rsidRDefault="005B78AF">
      <w:pPr>
        <w:pStyle w:val="ConsPlusNormal0"/>
        <w:ind w:firstLine="540"/>
        <w:jc w:val="both"/>
      </w:pPr>
      <w:r>
        <w:t>--------------------------------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1" w:name="P205"/>
      <w:bookmarkEnd w:id="11"/>
      <w:r>
        <w:t>&lt;1&gt; Заполняется для готовых товаров, выпущенных в обращение на территории Российской Федерации их производителями, и упаковки таких товаров. Наименование по каждому готовому товару, включая упаковку, указывается в соотве</w:t>
      </w:r>
      <w:r>
        <w:t xml:space="preserve">тствии с </w:t>
      </w:r>
      <w:hyperlink r:id="rId23" w:tooltip="Распоряжение Правительства РФ от 24.09.2015 N 1886-р (ред. от 04.05.2017) &lt;Об утверждении перечня готовых товаров, включая упаковку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перечнем</w:t>
        </w:r>
      </w:hyperlink>
      <w:r>
        <w:t xml:space="preserve"> готовых товаров, включая упаковку, подлежащих утилизации после утраты ими потребительских свойств, утвержде</w:t>
      </w:r>
      <w:r>
        <w:t xml:space="preserve">нным распоряжением Правительства Российской Федерации от 24.09.2015 N 1886-р (Собрание законодательства Российской Федерации, 05.10.2015, N 40, ст. 5587). Код по каждому товару, включая упаковку, указывается по Общероссийскому </w:t>
      </w:r>
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2" w:name="P206"/>
      <w:bookmarkEnd w:id="12"/>
      <w:r>
        <w:t>&lt;2&gt; Заполняется для импортируемых готовых товаров, выпущенных в обращение на территории Российской Федерации их импортерами, и упаковки таких товаро</w:t>
      </w:r>
      <w:r>
        <w:t xml:space="preserve">в. Наименование и код по каждому готовому товару (упаковке) указываются по единой Товарной </w:t>
      </w:r>
      <w:hyperlink r:id="rId25" w:tooltip="Решение Совета Евразийской экономической комиссии от 16.07.2012 N 54 (ред. от 14.07.2021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</w:t>
      </w:r>
      <w:r>
        <w:t xml:space="preserve">ческой деятельности Евразийского экономического союза (ТН ВЭД ЕАЭС), утвержденной решением Совета Евразийской экономической комиссии от 16.07.2012 N 54 (официальный сайт Евразийской экономической комиссии </w:t>
      </w:r>
      <w:hyperlink r:id="rId26">
        <w:r>
          <w:rPr>
            <w:color w:val="0000FF"/>
          </w:rPr>
          <w:t>http://www.</w:t>
        </w:r>
        <w:r>
          <w:rPr>
            <w:color w:val="0000FF"/>
          </w:rPr>
          <w:t>tsouz.ru/</w:t>
        </w:r>
      </w:hyperlink>
      <w:r>
        <w:t>, 23.07.2012).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3" w:name="P207"/>
      <w:bookmarkEnd w:id="13"/>
      <w:r>
        <w:t>&lt;3&gt; Заполняется на основании данных декларации о количестве выпущенных в обращение на территории Российской Федерации за предыдущий календарный год готовых товаров, в том числе упаковки, подлежащих утилизации, представленной в соотв</w:t>
      </w:r>
      <w:r>
        <w:t xml:space="preserve">етствии с </w:t>
      </w:r>
      <w:hyperlink r:id="rId27" w:tooltip="Постановление Правительства РФ от 24.12.2015 N 1417 (ред. от 26.04.2022) &quot;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">
        <w:r>
          <w:rPr>
            <w:color w:val="0000FF"/>
          </w:rPr>
          <w:t>Положением</w:t>
        </w:r>
      </w:hyperlink>
      <w:r>
        <w:t xml:space="preserve"> о декларировании производителями, импортерами товаров, подлежащих утилизации, количества выпуще</w:t>
      </w:r>
      <w:r>
        <w:t>нных в обращение на территории Российской Федерации за предыдущий календарный год готовых товаров, в том числе упаковки, утвержденным постановлением Правительства Российской Федерации от 24.12.2015 N 1417 (Собрание законодательства Российской Федерации, 04</w:t>
      </w:r>
      <w:r>
        <w:t>.01.2016, N 1 (часть II), ст. 231).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4" w:name="P208"/>
      <w:bookmarkEnd w:id="14"/>
      <w:r>
        <w:t xml:space="preserve">&lt;4&gt; </w:t>
      </w:r>
      <w:hyperlink r:id="rId28" w:tooltip="Распоряжение Правительства РФ от 04.12.2015 N 2491-р (ред. от 04.05.2017) &lt;Об утверждении нормативов утилизации отходов от использования товаров&gt; ------------ Утратил силу или отменен {КонсультантПлюс}">
        <w:r>
          <w:rPr>
            <w:color w:val="0000FF"/>
          </w:rPr>
          <w:t>Нормативы</w:t>
        </w:r>
      </w:hyperlink>
      <w:r>
        <w:t xml:space="preserve"> утилизации отходов от использования товаров утверждены распоряжением Правительства Российской Федерации от 04.12.2015 N 2491-р (Собрание законодательства Российской Фед</w:t>
      </w:r>
      <w:r>
        <w:t>ерации, 14.12.2015, N 50, ст. 7207).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5" w:name="P209"/>
      <w:bookmarkEnd w:id="15"/>
      <w:r>
        <w:t>&lt;5&gt; Заполняется на основании данных о количестве отходов от использования готовых товаров, упаковки товаров, переданных на утилизацию в отчетном периоде, за которые необходимо оплатить экологический сбор, указанными в н</w:t>
      </w:r>
      <w:r>
        <w:t xml:space="preserve">аправленной производителями, импортерами товаров в текущем году отчетности о выполнении нормативов утилизации отходов </w:t>
      </w:r>
      <w:r>
        <w:lastRenderedPageBreak/>
        <w:t xml:space="preserve">от использования товаров, подлежащих утилизации после утраты ими потребительских свойств, представленной в соответствии с </w:t>
      </w:r>
      <w:hyperlink r:id="rId29" w:tooltip="Постановление Правительства РФ от 08.12.2015 N 1342 (ред. от 17.10.2018) &quot;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&quot; ------------ Утратил силу">
        <w:r>
          <w:rPr>
            <w:color w:val="0000FF"/>
          </w:rPr>
          <w:t>Правилами</w:t>
        </w:r>
      </w:hyperlink>
      <w:r>
        <w:t xml:space="preserve"> представления производителями и импортерами товаров, подлежащих утилизации после утраты ими потребительских свойств, отче</w:t>
      </w:r>
      <w:r>
        <w:t>тности о выполнении нормативов утилизации отходов от использования таких товаров, утвержденными постановлением Правительства Российской Федерации от 08.12.2015 N 1342 (Собрание законодательства Российской Федерации, 21.12.2015, N 51 (часть III), ст. 7332).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6" w:name="P210"/>
      <w:bookmarkEnd w:id="16"/>
      <w:r>
        <w:t xml:space="preserve">&lt;6&gt; Заполняется в соответствии со </w:t>
      </w:r>
      <w:hyperlink r:id="rId30" w:tooltip="Постановление Правительства РФ от 09.04.2016 N 284 (ред. от 31.10.2018) &quot;Об установлении ставок сбора по 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и тов">
        <w:r>
          <w:rPr>
            <w:color w:val="0000FF"/>
          </w:rPr>
          <w:t>ставками</w:t>
        </w:r>
      </w:hyperlink>
      <w:r>
        <w:t xml:space="preserve"> экологического сбора по каждой группе товаров, подлежащих утилизации пос</w:t>
      </w:r>
      <w:r>
        <w:t xml:space="preserve">ле утраты ими потребительских свойств, уплачиваемого производителями, импортерами товаров, которые не обеспечивают самостоятельную утилизацию отходов от использования товаров, утвержденными постановлением Правительства Российской Федерации от 09.04.2016 N </w:t>
      </w:r>
      <w:r>
        <w:t>284 (Собрание законодательства Российской Федерации, 18.04.2016, N 16, ст. 2221).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7" w:name="P211"/>
      <w:bookmarkEnd w:id="17"/>
      <w:r>
        <w:t>&lt;7&gt; Заполняется с точностью до двух знаков после запятой.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8" w:name="P212"/>
      <w:bookmarkEnd w:id="18"/>
      <w:r>
        <w:t>&lt;8&gt; Итоговая сумма экологического сбора определяется путем суммирования суммы экологического сбора за готовые товары</w:t>
      </w:r>
      <w:r>
        <w:t xml:space="preserve"> и суммы экологического сбора за упаковку.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19" w:name="P213"/>
      <w:bookmarkEnd w:id="19"/>
      <w:r>
        <w:t>&lt;9&gt; Сумма экологического сбора за готовые товары и сумма экологического сбора за упаковку определяются путем суммирования значений по группам товаров, включая упаковку, подлежащих утилизации.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20" w:name="P214"/>
      <w:bookmarkEnd w:id="20"/>
      <w:r>
        <w:t xml:space="preserve">&lt;10&gt; Заполняется для </w:t>
      </w:r>
      <w:r>
        <w:t xml:space="preserve">каждой группы готовых товаров, включая упаковку, для которой установлены нормативы утилизации. Наименование групп готовых товаров, включая упаковку, указывается в соответствии с </w:t>
      </w:r>
      <w:hyperlink r:id="rId31" w:tooltip="Распоряжение Правительства РФ от 24.09.2015 N 1886-р (ред. от 04.05.2017) &lt;Об утверждении перечня готовых товаров, включая упаковку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перечнем</w:t>
        </w:r>
      </w:hyperlink>
      <w:r>
        <w:t xml:space="preserve"> готовых товаров, включая упаковку, подлежащих утилизации после утраты ими потребительских свойств, утвержденным распоряжением Правительства Российской Федерации от 24.09.2015 N 1886-р (Собрание </w:t>
      </w:r>
      <w:r>
        <w:t xml:space="preserve">законодательства Российской Федерации, 05.10.2015, N 40, ст. 5587). В расчет включаются только те готовые товары, упаковка товаров, по которым у производителя, импортера товаров возникает обязанность по их утилизации. </w:t>
      </w:r>
      <w:hyperlink w:anchor="P123" w:tooltip="12">
        <w:r>
          <w:rPr>
            <w:color w:val="0000FF"/>
          </w:rPr>
          <w:t>Гра</w:t>
        </w:r>
        <w:r>
          <w:rPr>
            <w:color w:val="0000FF"/>
          </w:rPr>
          <w:t>фа 12</w:t>
        </w:r>
      </w:hyperlink>
      <w:r>
        <w:t xml:space="preserve"> определяется путем суммирования значений по каждой группе готовых товаров, включая упаковку.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21" w:name="P215"/>
      <w:bookmarkEnd w:id="21"/>
      <w:r>
        <w:t>&lt;11&gt; Заполняется по каждому наименованию готовых товаров, упаковки товаров, по которым у производителя, импортера товаров возникает обязанность по их утилиза</w:t>
      </w:r>
      <w:r>
        <w:t xml:space="preserve">ции. </w:t>
      </w:r>
      <w:hyperlink w:anchor="P123" w:tooltip="12">
        <w:r>
          <w:rPr>
            <w:color w:val="0000FF"/>
          </w:rPr>
          <w:t>Графа 12</w:t>
        </w:r>
      </w:hyperlink>
      <w:r>
        <w:t xml:space="preserve"> определяется путем умножения значений по </w:t>
      </w:r>
      <w:hyperlink w:anchor="P121" w:tooltip="10">
        <w:r>
          <w:rPr>
            <w:color w:val="0000FF"/>
          </w:rPr>
          <w:t>графе 10</w:t>
        </w:r>
      </w:hyperlink>
      <w:r>
        <w:t xml:space="preserve"> и </w:t>
      </w:r>
      <w:hyperlink w:anchor="P122" w:tooltip="11">
        <w:r>
          <w:rPr>
            <w:color w:val="0000FF"/>
          </w:rPr>
          <w:t>графе 11</w:t>
        </w:r>
      </w:hyperlink>
      <w:r>
        <w:t>.</w:t>
      </w:r>
    </w:p>
    <w:p w:rsidR="009A7A58" w:rsidRDefault="005B78AF">
      <w:pPr>
        <w:pStyle w:val="ConsPlusNormal0"/>
        <w:spacing w:before="240"/>
        <w:ind w:firstLine="540"/>
        <w:jc w:val="both"/>
      </w:pPr>
      <w:bookmarkStart w:id="22" w:name="P216"/>
      <w:bookmarkEnd w:id="22"/>
      <w:r>
        <w:t>&lt;12&gt; При представлении расчета суммы экологического сбора на бумажном носит</w:t>
      </w:r>
      <w:r>
        <w:t>еле он заверяется печатью в случае, если в соответствии с законодательством Российской Федерации лицо, подавшее расчет суммы экологического сбора, должно иметь печать.</w:t>
      </w:r>
    </w:p>
    <w:p w:rsidR="009A7A58" w:rsidRDefault="009A7A58">
      <w:pPr>
        <w:pStyle w:val="ConsPlusNormal0"/>
        <w:jc w:val="both"/>
      </w:pPr>
    </w:p>
    <w:p w:rsidR="009A7A58" w:rsidRDefault="009A7A58">
      <w:pPr>
        <w:pStyle w:val="ConsPlusNormal0"/>
        <w:jc w:val="both"/>
      </w:pPr>
    </w:p>
    <w:p w:rsidR="009A7A58" w:rsidRDefault="009A7A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7A58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78AF">
      <w:r>
        <w:separator/>
      </w:r>
    </w:p>
  </w:endnote>
  <w:endnote w:type="continuationSeparator" w:id="0">
    <w:p w:rsidR="00000000" w:rsidRDefault="005B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A7A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7A58" w:rsidRDefault="005B78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7A58" w:rsidRDefault="005B78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A58" w:rsidRDefault="005B78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A7A58" w:rsidRDefault="005B78A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A7A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7A58" w:rsidRDefault="005B78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7A58" w:rsidRDefault="005B78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A58" w:rsidRDefault="005B78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A7A58" w:rsidRDefault="005B78A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A7A5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A7A58" w:rsidRDefault="005B78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7A58" w:rsidRDefault="005B78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A58" w:rsidRDefault="005B78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A7A58" w:rsidRDefault="005B78A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A7A5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A7A58" w:rsidRDefault="005B78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7A58" w:rsidRDefault="005B78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A58" w:rsidRDefault="005B78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A7A58" w:rsidRDefault="005B78A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A7A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7A58" w:rsidRDefault="005B78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9A7A58" w:rsidRDefault="005B78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A58" w:rsidRDefault="005B78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A7A58" w:rsidRDefault="005B78A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A7A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7A58" w:rsidRDefault="005B78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7A58" w:rsidRDefault="005B78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A58" w:rsidRDefault="005B78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A7A58" w:rsidRDefault="005B78A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78AF">
      <w:r>
        <w:separator/>
      </w:r>
    </w:p>
  </w:footnote>
  <w:footnote w:type="continuationSeparator" w:id="0">
    <w:p w:rsidR="00000000" w:rsidRDefault="005B7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A7A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7A58" w:rsidRDefault="005B78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22.08.2016 N 488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расчета суммы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300" w:type="pct"/>
          <w:vAlign w:val="center"/>
        </w:tcPr>
        <w:p w:rsidR="009A7A58" w:rsidRDefault="005B78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7A58" w:rsidRDefault="009A7A5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A7A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7A58" w:rsidRDefault="005B78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22.08.2016 N 488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расчета суммы экологическог</w:t>
          </w:r>
          <w:r>
            <w:rPr>
              <w:rFonts w:ascii="Tahoma" w:hAnsi="Tahoma" w:cs="Tahoma"/>
              <w:sz w:val="16"/>
              <w:szCs w:val="16"/>
            </w:rPr>
            <w:t>о сбора"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300" w:type="pct"/>
          <w:vAlign w:val="center"/>
        </w:tcPr>
        <w:p w:rsidR="009A7A58" w:rsidRDefault="005B78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7A58" w:rsidRDefault="009A7A5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A7A5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A7A58" w:rsidRDefault="005B78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22.08.2016 N 488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расчета суммы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300" w:type="pct"/>
          <w:vAlign w:val="center"/>
        </w:tcPr>
        <w:p w:rsidR="009A7A58" w:rsidRDefault="005B78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7A58" w:rsidRDefault="009A7A5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A7A5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A7A58" w:rsidRDefault="005B78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22.08.2016 N 488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расчета суммы </w:t>
          </w:r>
          <w:r>
            <w:rPr>
              <w:rFonts w:ascii="Tahoma" w:hAnsi="Tahoma" w:cs="Tahoma"/>
              <w:sz w:val="16"/>
              <w:szCs w:val="16"/>
            </w:rPr>
            <w:t>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300" w:type="pct"/>
          <w:vAlign w:val="center"/>
        </w:tcPr>
        <w:p w:rsidR="009A7A58" w:rsidRDefault="005B78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7A58" w:rsidRDefault="009A7A5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A7A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7A58" w:rsidRDefault="005B78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22.08.2016 N 488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расчета суммы </w:t>
          </w:r>
          <w:r>
            <w:rPr>
              <w:rFonts w:ascii="Tahoma" w:hAnsi="Tahoma" w:cs="Tahoma"/>
              <w:sz w:val="16"/>
              <w:szCs w:val="16"/>
            </w:rPr>
            <w:t>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300" w:type="pct"/>
          <w:vAlign w:val="center"/>
        </w:tcPr>
        <w:p w:rsidR="009A7A58" w:rsidRDefault="005B78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7A58" w:rsidRDefault="009A7A5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A7A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7A58" w:rsidRDefault="005B78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22.08.2016 N 488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формы расчета суммы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300" w:type="pct"/>
          <w:vAlign w:val="center"/>
        </w:tcPr>
        <w:p w:rsidR="009A7A58" w:rsidRDefault="005B78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A7A58" w:rsidRDefault="009A7A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7A58" w:rsidRDefault="009A7A5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58"/>
    <w:rsid w:val="005B78AF"/>
    <w:rsid w:val="009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2D219-E67E-4F92-B30C-4ED7D23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hyperlink" Target="http://nameserver.domen.ru/cons/cgi/online.cgi?req=doc&amp;base=LAW&amp;n=393533&amp;date=14.07.2025&amp;dst=31252&amp;field=134" TargetMode="External"/><Relationship Id="rId26" Type="http://schemas.openxmlformats.org/officeDocument/2006/relationships/hyperlink" Target="http://www.tsouz.ru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34" Type="http://schemas.openxmlformats.org/officeDocument/2006/relationships/header" Target="header6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nameserver.domen.ru/cons/cgi/online.cgi?req=doc&amp;base=LAW&amp;n=149911&amp;date=14.07.2025" TargetMode="External"/><Relationship Id="rId17" Type="http://schemas.openxmlformats.org/officeDocument/2006/relationships/hyperlink" Target="http://nameserver.domen.ru/cons/cgi/online.cgi?req=doc&amp;base=LAW&amp;n=393533&amp;date=14.07.2025&amp;dst=31252&amp;field=134" TargetMode="External"/><Relationship Id="rId25" Type="http://schemas.openxmlformats.org/officeDocument/2006/relationships/hyperlink" Target="http://nameserver.domen.ru/cons/cgi/online.cgi?req=doc&amp;base=LAW&amp;n=393533&amp;date=14.07.2025&amp;dst=31252&amp;field=134" TargetMode="External"/><Relationship Id="rId33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hyperlink" Target="http://nameserver.domen.ru/cons/cgi/online.cgi?req=doc&amp;base=LAW&amp;n=309711&amp;date=14.07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ameserver.domen.ru/cons/cgi/online.cgi?req=doc&amp;base=LAW&amp;n=507776&amp;date=14.07.2025" TargetMode="External"/><Relationship Id="rId24" Type="http://schemas.openxmlformats.org/officeDocument/2006/relationships/hyperlink" Target="http://nameserver.domen.ru/cons/cgi/online.cgi?req=doc&amp;base=LAW&amp;n=506872&amp;date=14.07.2025" TargetMode="External"/><Relationship Id="rId32" Type="http://schemas.openxmlformats.org/officeDocument/2006/relationships/header" Target="header5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http://nameserver.domen.ru/cons/cgi/online.cgi?req=doc&amp;base=LAW&amp;n=216470&amp;date=14.07.2025&amp;dst=100009&amp;field=134" TargetMode="External"/><Relationship Id="rId28" Type="http://schemas.openxmlformats.org/officeDocument/2006/relationships/hyperlink" Target="http://nameserver.domen.ru/cons/cgi/online.cgi?req=doc&amp;base=LAW&amp;n=216471&amp;date=14.07.2025&amp;dst=100009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nameserver.domen.ru/cons/cgi/online.cgi?req=doc&amp;base=LAW&amp;n=506195&amp;date=14.07.2025" TargetMode="External"/><Relationship Id="rId19" Type="http://schemas.openxmlformats.org/officeDocument/2006/relationships/header" Target="header3.xml"/><Relationship Id="rId31" Type="http://schemas.openxmlformats.org/officeDocument/2006/relationships/hyperlink" Target="http://nameserver.domen.ru/cons/cgi/online.cgi?req=doc&amp;base=LAW&amp;n=216470&amp;date=14.07.2025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305550&amp;date=14.07.2025&amp;dst=100022&amp;field=13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http://nameserver.domen.ru/cons/cgi/online.cgi?req=doc&amp;base=LAW&amp;n=416164&amp;date=14.07.2025&amp;dst=100009&amp;field=134" TargetMode="External"/><Relationship Id="rId30" Type="http://schemas.openxmlformats.org/officeDocument/2006/relationships/hyperlink" Target="http://nameserver.domen.ru/cons/cgi/online.cgi?req=doc&amp;base=LAW&amp;n=310339&amp;date=14.07.2025&amp;dst=100009&amp;field=134" TargetMode="External"/><Relationship Id="rId35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Росприроднадзора от 22.08.2016 N 488
"Об утверждении формы расчета суммы экологического сбора"
(Зарегистрировано в Минюсте России 10.10.2016 N 43974)</vt:lpstr>
    </vt:vector>
  </TitlesOfParts>
  <Company>КонсультантПлюс Версия 4024.00.50</Company>
  <LinksUpToDate>false</LinksUpToDate>
  <CharactersWithSpaces>19862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22.08.2016 N 488
"Об утверждении формы расчета суммы экологического сбора"
(Зарегистрировано в Минюсте России 10.10.2016 N 43974)</dc:title>
  <dc:creator>Паршакова Снежана Игоревна</dc:creator>
  <cp:lastModifiedBy>Паршакова Снежана Игоревна</cp:lastModifiedBy>
  <cp:revision>2</cp:revision>
  <dcterms:created xsi:type="dcterms:W3CDTF">2025-07-14T04:36:00Z</dcterms:created>
  <dcterms:modified xsi:type="dcterms:W3CDTF">2025-07-14T04:36:00Z</dcterms:modified>
</cp:coreProperties>
</file>