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5C" w:rsidRPr="0073605C" w:rsidRDefault="0073605C" w:rsidP="0073605C">
      <w:pPr>
        <w:spacing w:beforeAutospacing="1" w:after="0" w:afterAutospacing="1" w:line="240" w:lineRule="auto"/>
        <w:jc w:val="center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3605C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Объявление о проведении второго этапа конкурса</w:t>
      </w:r>
      <w:r w:rsidRPr="0073605C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br/>
      </w:r>
      <w:r w:rsidRPr="0073605C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на замещение вакантных должностей</w:t>
      </w:r>
      <w:r w:rsidRPr="0073605C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br/>
      </w:r>
      <w:r w:rsidRPr="0073605C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Волжско-Камского межрегионального управления </w:t>
      </w:r>
      <w:proofErr w:type="spellStart"/>
      <w:r w:rsidRPr="0073605C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Росприроднадзора</w:t>
      </w:r>
      <w:proofErr w:type="spellEnd"/>
    </w:p>
    <w:p w:rsidR="0073605C" w:rsidRPr="0073605C" w:rsidRDefault="0073605C" w:rsidP="0073605C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3605C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  </w:t>
      </w:r>
    </w:p>
    <w:p w:rsidR="0073605C" w:rsidRPr="0073605C" w:rsidRDefault="0073605C" w:rsidP="0073605C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3605C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Волжско-Камское межрегиональное управление </w:t>
      </w:r>
      <w:proofErr w:type="spellStart"/>
      <w:r w:rsidRPr="0073605C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Росприроднадзора</w:t>
      </w:r>
      <w:proofErr w:type="spellEnd"/>
      <w:r w:rsidRPr="0073605C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 объявляет о том, что второй этап конкурса на замещение вакантных должностей состоящий из двух частей, будет проведен по месту нахождения вакантной должности (Республика Татарстан г. Казань ул. Вишневского д.26).</w:t>
      </w:r>
    </w:p>
    <w:p w:rsidR="0073605C" w:rsidRPr="0073605C" w:rsidRDefault="0073605C" w:rsidP="0073605C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3605C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26 июня 2024 года в 11.00 состоится тестирование на соответствие базовым квалификационным требованиям по перечню вопросов, связанных со знанием русского языка, основ конституционного устройства и Конституции Российской Федерации, законодательства о гражданской службе, законодательства Российской Федерации о противодействии коррупции, знания в области информационно-коммуникационных технологий.</w:t>
      </w:r>
    </w:p>
    <w:p w:rsidR="0073605C" w:rsidRPr="0073605C" w:rsidRDefault="0073605C" w:rsidP="0073605C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3605C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Прохождение тестирования считается успешным при количестве правильных ответов не менее 70%.</w:t>
      </w:r>
    </w:p>
    <w:p w:rsidR="0073605C" w:rsidRPr="0073605C" w:rsidRDefault="0073605C" w:rsidP="0073605C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3605C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Примерный комплекс тестовых вопросов размещен в разделе «Тесты для самопроверки» в федеральной государственной информационной системе «Федеральный портал государственной службы и управленческих кадров» (</w:t>
      </w:r>
      <w:hyperlink r:id="rId4" w:history="1">
        <w:r w:rsidRPr="0073605C">
          <w:rPr>
            <w:rFonts w:ascii="Regular" w:eastAsia="Times New Roman" w:hAnsi="Regular" w:cs="Times New Roman"/>
            <w:color w:val="4A9D86"/>
            <w:sz w:val="24"/>
            <w:szCs w:val="24"/>
            <w:bdr w:val="none" w:sz="0" w:space="0" w:color="auto" w:frame="1"/>
            <w:lang w:eastAsia="ru-RU"/>
          </w:rPr>
          <w:t>http://gossluzhba.gov.ru</w:t>
        </w:r>
      </w:hyperlink>
      <w:r w:rsidRPr="0073605C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)</w:t>
      </w:r>
    </w:p>
    <w:p w:rsidR="0073605C" w:rsidRPr="0073605C" w:rsidRDefault="0073605C" w:rsidP="0073605C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3605C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27 июня 2024 года в 14.00 - индивидуальное собеседование с членами конкурсной комиссии Волжско-Камского межрегионального управления </w:t>
      </w:r>
      <w:proofErr w:type="spellStart"/>
      <w:r w:rsidRPr="0073605C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Росприроднадзора</w:t>
      </w:r>
      <w:proofErr w:type="spellEnd"/>
      <w:r w:rsidRPr="0073605C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:</w:t>
      </w:r>
    </w:p>
    <w:p w:rsidR="0073605C" w:rsidRPr="0073605C" w:rsidRDefault="0073605C" w:rsidP="0073605C">
      <w:pPr>
        <w:spacing w:before="100" w:beforeAutospacing="1" w:after="100" w:afterAutospacing="1" w:line="240" w:lineRule="auto"/>
        <w:jc w:val="center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3605C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Все лица, допущенные ко второму этапу конкурса в обязательном порядке должны пройти тестирование и индивидуальное собеседование</w:t>
      </w:r>
    </w:p>
    <w:p w:rsidR="0073605C" w:rsidRPr="0073605C" w:rsidRDefault="0073605C" w:rsidP="0073605C">
      <w:pPr>
        <w:spacing w:before="100" w:beforeAutospacing="1" w:after="100" w:afterAutospacing="1" w:line="240" w:lineRule="auto"/>
        <w:jc w:val="center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3605C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(при себе иметь документ, удостоверяющий личность)</w:t>
      </w:r>
    </w:p>
    <w:p w:rsidR="0073605C" w:rsidRPr="0073605C" w:rsidRDefault="0073605C" w:rsidP="0073605C">
      <w:pPr>
        <w:spacing w:before="100" w:beforeAutospacing="1" w:after="100" w:afterAutospacing="1" w:line="240" w:lineRule="auto"/>
        <w:jc w:val="center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3605C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К участию во втором этапе конкурса допущены следующие кандидаты:</w:t>
      </w:r>
    </w:p>
    <w:p w:rsidR="0073605C" w:rsidRPr="0073605C" w:rsidRDefault="0073605C" w:rsidP="0073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54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4"/>
      </w:tblGrid>
      <w:tr w:rsidR="0073605C" w:rsidRPr="0073605C" w:rsidTr="0073605C">
        <w:trPr>
          <w:tblCellSpacing w:w="0" w:type="dxa"/>
        </w:trPr>
        <w:tc>
          <w:tcPr>
            <w:tcW w:w="9269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73605C" w:rsidRPr="0073605C" w:rsidRDefault="0073605C" w:rsidP="0073605C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3605C">
              <w:rPr>
                <w:rFonts w:ascii="Bold" w:eastAsia="Times New Roman" w:hAnsi="Bold" w:cs="Times New Roman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Специалист-эксперт межрегионального отдела государственного геологического контроля (надзора)</w:t>
            </w:r>
          </w:p>
          <w:p w:rsidR="0073605C" w:rsidRPr="0073605C" w:rsidRDefault="0073605C" w:rsidP="0073605C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(Республика Татарстан, г. Казань)</w:t>
            </w:r>
          </w:p>
          <w:p w:rsidR="0073605C" w:rsidRPr="0073605C" w:rsidRDefault="0073605C" w:rsidP="0073605C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Иванова Дарья Анатольевна</w:t>
            </w:r>
          </w:p>
          <w:p w:rsidR="0073605C" w:rsidRPr="0073605C" w:rsidRDefault="0073605C" w:rsidP="0073605C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Тараканова Валерия Игоревна</w:t>
            </w:r>
          </w:p>
        </w:tc>
      </w:tr>
      <w:tr w:rsidR="0073605C" w:rsidRPr="0073605C" w:rsidTr="0073605C">
        <w:trPr>
          <w:tblCellSpacing w:w="0" w:type="dxa"/>
        </w:trPr>
        <w:tc>
          <w:tcPr>
            <w:tcW w:w="9269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73605C" w:rsidRPr="0073605C" w:rsidRDefault="0073605C" w:rsidP="0073605C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3605C">
              <w:rPr>
                <w:rFonts w:ascii="Bold" w:eastAsia="Times New Roman" w:hAnsi="Bold" w:cs="Times New Roman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Главный специалист-эксперт межрегионального правового обеспечения</w:t>
            </w:r>
          </w:p>
          <w:p w:rsidR="0073605C" w:rsidRPr="0073605C" w:rsidRDefault="0073605C" w:rsidP="0073605C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(Республика Татарстан, г. Казань)</w:t>
            </w:r>
          </w:p>
          <w:p w:rsidR="0073605C" w:rsidRPr="0073605C" w:rsidRDefault="0073605C" w:rsidP="0073605C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Ахметзянов Адель </w:t>
            </w:r>
            <w:proofErr w:type="spellStart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Фанилевич</w:t>
            </w:r>
            <w:proofErr w:type="spellEnd"/>
          </w:p>
          <w:p w:rsidR="0073605C" w:rsidRPr="0073605C" w:rsidRDefault="0073605C" w:rsidP="0073605C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Шихранова</w:t>
            </w:r>
            <w:proofErr w:type="spellEnd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</w:tr>
      <w:tr w:rsidR="0073605C" w:rsidRPr="0073605C" w:rsidTr="0073605C">
        <w:trPr>
          <w:tblCellSpacing w:w="0" w:type="dxa"/>
        </w:trPr>
        <w:tc>
          <w:tcPr>
            <w:tcW w:w="9269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73605C" w:rsidRPr="0073605C" w:rsidRDefault="0073605C" w:rsidP="0073605C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3605C">
              <w:rPr>
                <w:rFonts w:ascii="Bold" w:eastAsia="Times New Roman" w:hAnsi="Bold" w:cs="Times New Roman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Главный специалист-эксперт отдела государственного контроля (надзора) по Республике Татарстан (Западная зона)</w:t>
            </w:r>
          </w:p>
          <w:p w:rsidR="0073605C" w:rsidRPr="0073605C" w:rsidRDefault="0073605C" w:rsidP="0073605C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(Республика Татарстан, г. Казань)</w:t>
            </w:r>
          </w:p>
          <w:p w:rsidR="0073605C" w:rsidRPr="0073605C" w:rsidRDefault="0073605C" w:rsidP="0073605C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Ибрагимова Элина </w:t>
            </w:r>
            <w:proofErr w:type="spellStart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Радмировна</w:t>
            </w:r>
            <w:proofErr w:type="spellEnd"/>
          </w:p>
          <w:p w:rsidR="0073605C" w:rsidRPr="0073605C" w:rsidRDefault="0073605C" w:rsidP="0073605C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Яббарова</w:t>
            </w:r>
            <w:proofErr w:type="spellEnd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Айдаровна</w:t>
            </w:r>
            <w:proofErr w:type="spellEnd"/>
          </w:p>
        </w:tc>
      </w:tr>
      <w:tr w:rsidR="0073605C" w:rsidRPr="0073605C" w:rsidTr="0073605C">
        <w:trPr>
          <w:tblCellSpacing w:w="0" w:type="dxa"/>
        </w:trPr>
        <w:tc>
          <w:tcPr>
            <w:tcW w:w="9269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73605C" w:rsidRPr="0073605C" w:rsidRDefault="0073605C" w:rsidP="0073605C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3605C">
              <w:rPr>
                <w:rFonts w:ascii="Bold" w:eastAsia="Times New Roman" w:hAnsi="Bold" w:cs="Times New Roman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Специалист-эксперт отдела государственного контроля (надзора) по Республике Татарстан (Западная зона)</w:t>
            </w:r>
          </w:p>
          <w:p w:rsidR="0073605C" w:rsidRPr="0073605C" w:rsidRDefault="0073605C" w:rsidP="0073605C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(Республика Татарстан, г. Казань)</w:t>
            </w:r>
          </w:p>
          <w:p w:rsidR="0073605C" w:rsidRPr="0073605C" w:rsidRDefault="0073605C" w:rsidP="0073605C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Акмалова</w:t>
            </w:r>
            <w:proofErr w:type="spellEnd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Адиля</w:t>
            </w:r>
            <w:proofErr w:type="spellEnd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Ренатовна</w:t>
            </w:r>
            <w:proofErr w:type="spellEnd"/>
          </w:p>
          <w:p w:rsidR="0073605C" w:rsidRPr="0073605C" w:rsidRDefault="0073605C" w:rsidP="0073605C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lastRenderedPageBreak/>
              <w:t>Зиамбетова</w:t>
            </w:r>
            <w:proofErr w:type="spellEnd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Алина Александровна</w:t>
            </w:r>
          </w:p>
          <w:p w:rsidR="0073605C" w:rsidRPr="0073605C" w:rsidRDefault="0073605C" w:rsidP="0073605C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Сабирзянова</w:t>
            </w:r>
            <w:proofErr w:type="spellEnd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Рузия</w:t>
            </w:r>
            <w:proofErr w:type="spellEnd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</w:tr>
      <w:tr w:rsidR="0073605C" w:rsidRPr="0073605C" w:rsidTr="0073605C">
        <w:trPr>
          <w:tblCellSpacing w:w="0" w:type="dxa"/>
        </w:trPr>
        <w:tc>
          <w:tcPr>
            <w:tcW w:w="9269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73605C" w:rsidRPr="0073605C" w:rsidRDefault="0073605C" w:rsidP="0073605C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3605C">
              <w:rPr>
                <w:rFonts w:ascii="Bold" w:eastAsia="Times New Roman" w:hAnsi="Bold" w:cs="Times New Roman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Специалист-эксперт межрегионального отдела кадрового обеспечения и делопроизводства</w:t>
            </w:r>
          </w:p>
          <w:p w:rsidR="0073605C" w:rsidRPr="0073605C" w:rsidRDefault="0073605C" w:rsidP="0073605C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(Республика Татарстан, г. Казань)</w:t>
            </w:r>
          </w:p>
          <w:p w:rsidR="0073605C" w:rsidRPr="0073605C" w:rsidRDefault="0073605C" w:rsidP="0073605C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Епишкина</w:t>
            </w:r>
            <w:proofErr w:type="spellEnd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Наталья Вячеславовна</w:t>
            </w:r>
          </w:p>
          <w:p w:rsidR="0073605C" w:rsidRPr="0073605C" w:rsidRDefault="0073605C" w:rsidP="0073605C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Акмалова</w:t>
            </w:r>
            <w:proofErr w:type="spellEnd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Адиля</w:t>
            </w:r>
            <w:proofErr w:type="spellEnd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</w:tr>
      <w:tr w:rsidR="0073605C" w:rsidRPr="0073605C" w:rsidTr="0073605C">
        <w:trPr>
          <w:tblCellSpacing w:w="0" w:type="dxa"/>
        </w:trPr>
        <w:tc>
          <w:tcPr>
            <w:tcW w:w="9269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73605C" w:rsidRPr="0073605C" w:rsidRDefault="0073605C" w:rsidP="0073605C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3605C">
              <w:rPr>
                <w:rFonts w:ascii="Bold" w:eastAsia="Times New Roman" w:hAnsi="Bold" w:cs="Times New Roman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Главный специалист-эксперт межрегионального отдела бухгалтерского, финансового и административно-хозяйственного обеспечения</w:t>
            </w:r>
          </w:p>
          <w:p w:rsidR="0073605C" w:rsidRPr="0073605C" w:rsidRDefault="0073605C" w:rsidP="0073605C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(Республика Татарстан, г. Казань)</w:t>
            </w:r>
          </w:p>
          <w:p w:rsidR="0073605C" w:rsidRPr="0073605C" w:rsidRDefault="0073605C" w:rsidP="0073605C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Муратова Лилия </w:t>
            </w:r>
            <w:proofErr w:type="spellStart"/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Зилетзиновна</w:t>
            </w:r>
            <w:proofErr w:type="spellEnd"/>
          </w:p>
          <w:p w:rsidR="0073605C" w:rsidRPr="0073605C" w:rsidRDefault="0073605C" w:rsidP="0073605C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73605C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Медведева Эльвира Ивановна</w:t>
            </w:r>
          </w:p>
        </w:tc>
      </w:tr>
    </w:tbl>
    <w:p w:rsidR="00696BB4" w:rsidRDefault="00696BB4">
      <w:bookmarkStart w:id="0" w:name="_GoBack"/>
      <w:bookmarkEnd w:id="0"/>
    </w:p>
    <w:sectPr w:rsidR="0069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04"/>
    <w:rsid w:val="00696BB4"/>
    <w:rsid w:val="0073605C"/>
    <w:rsid w:val="009A5204"/>
    <w:rsid w:val="00D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2E5DE-2C95-4F02-9365-C5B8ADA7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ssluzhb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Гульфия Ильгамовна</dc:creator>
  <cp:keywords/>
  <dc:description/>
  <cp:lastModifiedBy>Султанова Гульфия Ильгамовна</cp:lastModifiedBy>
  <cp:revision>2</cp:revision>
  <dcterms:created xsi:type="dcterms:W3CDTF">2024-06-28T12:03:00Z</dcterms:created>
  <dcterms:modified xsi:type="dcterms:W3CDTF">2024-06-28T12:04:00Z</dcterms:modified>
</cp:coreProperties>
</file>