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4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b/>
          <w:bCs/>
          <w:color w:val="000000"/>
          <w:sz w:val="28"/>
          <w:szCs w:val="28"/>
        </w:rPr>
        <w:t xml:space="preserve">Анализ работы Межрегионального управления Росприроднадзора по Нижегородской области и Республике Мордовия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с обращениями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граждан (на 01.01.2026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4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</w:rPr>
      </w:r>
      <w:r/>
    </w:p>
    <w:p>
      <w:pPr>
        <w:pStyle w:val="85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состоянию на 01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04.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в Межрегиональное управление Росприроднадзора по Нижегородской области и 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спублике Мордовия поступило 1001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бращение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 и организаций.</w:t>
      </w:r>
      <w:r>
        <w:rPr>
          <w:color w:val="000000" w:themeColor="text1"/>
        </w:rPr>
      </w:r>
      <w:r/>
    </w:p>
    <w:p>
      <w:pPr>
        <w:pStyle w:val="85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</w:rPr>
      </w:r>
      <w:r/>
    </w:p>
    <w:tbl>
      <w:tblPr>
        <w:tblStyle w:val="706"/>
        <w:tblW w:w="0" w:type="auto"/>
        <w:tblInd w:w="1475" w:type="dxa"/>
        <w:tblLayout w:type="fixed"/>
        <w:tblLook w:val="04A0" w:firstRow="1" w:lastRow="0" w:firstColumn="1" w:lastColumn="0" w:noHBand="0" w:noVBand="1"/>
      </w:tblPr>
      <w:tblGrid>
        <w:gridCol w:w="5160"/>
        <w:gridCol w:w="2352"/>
      </w:tblGrid>
      <w:tr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6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 Narrow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Поступило обращений граждан, всего:</w:t>
            </w:r>
            <w:r>
              <w:rPr>
                <w:color w:val="000000" w:themeColor="text1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52" w:type="dxa"/>
            <w:vAlign w:val="bottom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193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6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 Narrow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в том числе:</w:t>
            </w:r>
            <w:r>
              <w:rPr>
                <w:color w:val="000000" w:themeColor="text1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52" w:type="dxa"/>
            <w:vAlign w:val="bottom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Arial Narrow" w:cs="Times New Roman"/>
                <w:b w:val="0"/>
                <w:i w:val="0"/>
                <w:strike w:val="0"/>
                <w:color w:val="ff0000"/>
                <w:sz w:val="28"/>
                <w:szCs w:val="28"/>
                <w:u w:val="none"/>
                <w:vertAlign w:val="baseline"/>
              </w:rPr>
            </w:r>
            <w:r>
              <w:rPr>
                <w:color w:val="ff0000"/>
              </w:rPr>
            </w:r>
            <w:r/>
          </w:p>
        </w:tc>
      </w:tr>
      <w:tr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6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 Narrow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- по сети Интернет</w:t>
            </w:r>
            <w:r>
              <w:rPr>
                <w:color w:val="000000" w:themeColor="text1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52" w:type="dxa"/>
            <w:vAlign w:val="bottom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123</w:t>
            </w:r>
            <w:r>
              <w:rPr>
                <w:color w:val="000000" w:themeColor="text1"/>
              </w:rPr>
            </w:r>
          </w:p>
        </w:tc>
      </w:tr>
      <w:tr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6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 Narrow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Обращения, переадресованные по принадлежности</w:t>
            </w:r>
            <w:r>
              <w:rPr>
                <w:color w:val="000000" w:themeColor="text1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52" w:type="dxa"/>
            <w:vAlign w:val="bottom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38</w:t>
            </w:r>
            <w:r>
              <w:rPr>
                <w:color w:val="000000" w:themeColor="text1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6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 Narrow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Обращения, находящиеся на рассмотрении</w:t>
            </w:r>
            <w:r>
              <w:rPr>
                <w:color w:val="000000" w:themeColor="text1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52" w:type="dxa"/>
            <w:vAlign w:val="bottom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32</w:t>
            </w:r>
            <w:r>
              <w:rPr>
                <w:color w:val="000000" w:themeColor="text1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6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 Narrow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Обращения, законченные рассмотрением</w:t>
            </w:r>
            <w:r>
              <w:rPr>
                <w:color w:val="000000" w:themeColor="text1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52" w:type="dxa"/>
            <w:vAlign w:val="bottom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160</w:t>
            </w:r>
            <w:r>
              <w:rPr>
                <w:color w:val="000000" w:themeColor="text1"/>
              </w:rPr>
            </w:r>
          </w:p>
        </w:tc>
      </w:tr>
    </w:tbl>
    <w:p>
      <w:pPr>
        <w:pStyle w:val="85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</w:rPr>
      </w:r>
      <w:r/>
    </w:p>
    <w:p>
      <w:pPr>
        <w:pStyle w:val="85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Основные вопросы, содержащиеся в обращениях:</w:t>
      </w:r>
      <w:r>
        <w:rPr>
          <w:color w:val="000000" w:themeColor="text1"/>
        </w:rPr>
      </w:r>
      <w:r/>
    </w:p>
    <w:p>
      <w:pPr>
        <w:pStyle w:val="85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 нарушениях водного законодательства (загрязнение водных объектов, ограничение доступа к водным объектам, незаконное строительств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водоохран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зоне и др.) –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19 обращений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/>
    </w:p>
    <w:p>
      <w:pPr>
        <w:pStyle w:val="85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 нарушениях требований законодательства в области обращения с отходами (несанкционированные свалки, эксплуатация полигонов ТБО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др.)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–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67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обращений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/>
    </w:p>
    <w:p>
      <w:pPr>
        <w:pStyle w:val="85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- о нарушениях в области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храны атмосферного воздуха –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br/>
        <w:t xml:space="preserve">17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обращени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й;</w:t>
      </w:r>
      <w:r>
        <w:rPr>
          <w:highlight w:val="white"/>
        </w:rPr>
      </w:r>
      <w:r/>
    </w:p>
    <w:p>
      <w:pPr>
        <w:pStyle w:val="85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 нарушениях в области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емельного законодательства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-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63 обращений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/>
    </w:p>
    <w:p>
      <w:pPr>
        <w:pStyle w:val="85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 нару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ениях в области охраны недр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-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обращение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/>
    </w:p>
    <w:p>
      <w:pPr>
        <w:pStyle w:val="85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- иные вопросы -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25 обращений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/>
    </w:p>
    <w:p>
      <w:pPr>
        <w:pStyle w:val="85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Обращения в адрес Межрегионального управления посту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пали непосредственно от граждан, из Федеральной службы по надзору в сфере природопользования (Росприроднадзора), региональных органов исполнительной власти Нижегородской области и Республики Мордовия, органов прокурорского надзора, территориальных органов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Роспотребнадзора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СМИ и др.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части оценки каналов поступления обращений граждан заметна тенденция увеличения доля обращений, поступающих с использованием гражданами средств информационно-телекоммуникационной сети «Интернет».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квартале 2026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более половины всех обращен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ий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(123)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получено Межрегиональным управлением именно таким образом.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5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подготовки качественных и достоверных ответов на обращения, поступившие в адрес Межрегионального управления, направлялись со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ответствующие запросы в администрации городов, в региональные органы исполнительной власти Нижегородской области и Республики Мордовия, территориальные органы федеральных органов исполнительной власти, другие организации.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Также Межрегиональным управлением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целью всестороннего ра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ссмотрения обращений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проводились внеплановые выездные проверки и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выездные обследования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(39).</w:t>
      </w:r>
      <w:r>
        <w:rPr>
          <w:color w:val="000000" w:themeColor="text1"/>
          <w:highlight w:val="white"/>
        </w:rPr>
      </w:r>
      <w:r>
        <w:rPr>
          <w:color w:val="000000" w:themeColor="text1"/>
        </w:rPr>
      </w:r>
    </w:p>
    <w:p>
      <w:pPr>
        <w:pStyle w:val="85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Значительная часть регистрируемых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обращений ввиду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отсутствия полномочий, относящихся к сфере деятельности Росприроднадзора, направляется по принадлежности в иные государственные органы и органы местного самоуправления.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Специалистами Межрег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ионального управления направле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38</w:t>
      </w:r>
      <w:bookmarkStart w:id="0" w:name="_GoBack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bookmarkEnd w:id="0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ащений в иные учреждения и организации, в компетенцию которых входит решение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просов, содержащихся в 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</w:rPr>
      </w:r>
      <w:r/>
    </w:p>
    <w:p>
      <w:pPr>
        <w:pStyle w:val="85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ответы на обращения граждан и организаций были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подготовлены и направлены в соответствии с Федеральным законом от 02.05.2006 № 59-ФЗ </w:t>
        <w:br/>
        <w:t xml:space="preserve">"О порядке рассмотрения обращений граждан Российс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кой Федерации".</w:t>
      </w:r>
      <w:r>
        <w:rPr>
          <w:color w:val="000000" w:themeColor="text1"/>
        </w:rPr>
      </w:r>
      <w:r/>
    </w:p>
    <w:p>
      <w:pPr>
        <w:pStyle w:val="85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</w:rPr>
      </w:r>
      <w:r/>
    </w:p>
    <w:tbl>
      <w:tblPr>
        <w:tblStyle w:val="706"/>
        <w:tblW w:w="0" w:type="auto"/>
        <w:tblInd w:w="1758" w:type="dxa"/>
        <w:tblLayout w:type="fixed"/>
        <w:tblLook w:val="04A0" w:firstRow="1" w:lastRow="0" w:firstColumn="1" w:lastColumn="0" w:noHBand="0" w:noVBand="1"/>
      </w:tblPr>
      <w:tblGrid>
        <w:gridCol w:w="5160"/>
        <w:gridCol w:w="1365"/>
      </w:tblGrid>
      <w:tr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60" w:type="dxa"/>
            <w:vAlign w:val="center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 Narrow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</w:rPr>
              <w:t xml:space="preserve">Результативность по обращениям, законченным рассмотрением: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bottom"/>
            <w:textDirection w:val="lrTb"/>
            <w:noWrap w:val="false"/>
          </w:tcPr>
          <w:p>
            <w:r/>
            <w:r/>
          </w:p>
        </w:tc>
      </w:tr>
      <w:tr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60" w:type="dxa"/>
            <w:vAlign w:val="center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 Narrow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</w:rPr>
              <w:t xml:space="preserve">- разъяснено </w:t>
            </w:r>
            <w:r>
              <w:rPr>
                <w:color w:val="000000" w:themeColor="text1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bottom"/>
            <w:textDirection w:val="lrTb"/>
            <w:noWrap w:val="false"/>
          </w:tcPr>
          <w:p>
            <w:pPr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38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60" w:type="dxa"/>
            <w:vAlign w:val="center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 Narrow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</w:rPr>
              <w:t xml:space="preserve">- поддержано</w:t>
            </w:r>
            <w:r>
              <w:rPr>
                <w:color w:val="000000" w:themeColor="text1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bottom"/>
            <w:textDirection w:val="lrTb"/>
            <w:noWrap w:val="false"/>
          </w:tcPr>
          <w:p>
            <w:pPr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 Narrow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</w:rPr>
              <w:t xml:space="preserve">72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60" w:type="dxa"/>
            <w:vAlign w:val="center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 Narrow" w:cs="Times New Roman"/>
                <w:b/>
                <w:i w:val="0"/>
                <w:strike w:val="0"/>
                <w:color w:val="000000" w:themeColor="text1"/>
                <w:sz w:val="28"/>
                <w:szCs w:val="28"/>
                <w:u w:val="none"/>
              </w:rPr>
              <w:t xml:space="preserve">- в том числе меры приняты</w:t>
            </w:r>
            <w:r>
              <w:rPr>
                <w:rFonts w:ascii="Times New Roman" w:hAnsi="Times New Roman" w:eastAsia="Arial Narrow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</w:rPr>
              <w:t xml:space="preserve"> </w:t>
            </w:r>
            <w:r>
              <w:rPr>
                <w:color w:val="000000" w:themeColor="text1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bottom"/>
            <w:textDirection w:val="lrTb"/>
            <w:noWrap w:val="false"/>
          </w:tcPr>
          <w:p>
            <w:pPr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72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60" w:type="dxa"/>
            <w:vAlign w:val="center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 Narrow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</w:rPr>
              <w:t xml:space="preserve">- не поддержано</w:t>
            </w:r>
            <w:r>
              <w:rPr>
                <w:color w:val="000000" w:themeColor="text1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bottom"/>
            <w:textDirection w:val="lrTb"/>
            <w:noWrap w:val="false"/>
          </w:tcPr>
          <w:p>
            <w:pPr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12</w:t>
            </w:r>
            <w:r/>
          </w:p>
        </w:tc>
      </w:tr>
    </w:tbl>
    <w:p>
      <w:pPr>
        <w:pStyle w:val="854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color w:val="000000" w:themeColor="text1"/>
        </w:rPr>
      </w:r>
      <w:r/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Arial Narrow">
    <w:panose1 w:val="020B06040202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0"/>
      <w:jc w:val="center"/>
    </w:pPr>
    <w:fldSimple w:instr="PAGE \* MERGEFORMAT">
      <w:r>
        <w:t xml:space="preserve">1</w:t>
      </w:r>
    </w:fldSimple>
    <w:r/>
    <w:r/>
  </w:p>
  <w:p>
    <w:pPr>
      <w:pStyle w:val="70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>
    <w:name w:val="Heading 1"/>
    <w:basedOn w:val="850"/>
    <w:next w:val="850"/>
    <w:link w:val="6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3">
    <w:name w:val="Heading 1 Char"/>
    <w:basedOn w:val="851"/>
    <w:link w:val="672"/>
    <w:uiPriority w:val="9"/>
    <w:rPr>
      <w:rFonts w:ascii="Arial" w:hAnsi="Arial" w:eastAsia="Arial" w:cs="Arial"/>
      <w:sz w:val="40"/>
      <w:szCs w:val="40"/>
    </w:rPr>
  </w:style>
  <w:style w:type="paragraph" w:styleId="674">
    <w:name w:val="Heading 2"/>
    <w:basedOn w:val="850"/>
    <w:next w:val="850"/>
    <w:link w:val="6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5">
    <w:name w:val="Heading 2 Char"/>
    <w:basedOn w:val="851"/>
    <w:link w:val="674"/>
    <w:uiPriority w:val="9"/>
    <w:rPr>
      <w:rFonts w:ascii="Arial" w:hAnsi="Arial" w:eastAsia="Arial" w:cs="Arial"/>
      <w:sz w:val="34"/>
    </w:rPr>
  </w:style>
  <w:style w:type="paragraph" w:styleId="676">
    <w:name w:val="Heading 3"/>
    <w:basedOn w:val="850"/>
    <w:next w:val="850"/>
    <w:link w:val="6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7">
    <w:name w:val="Heading 3 Char"/>
    <w:basedOn w:val="851"/>
    <w:link w:val="676"/>
    <w:uiPriority w:val="9"/>
    <w:rPr>
      <w:rFonts w:ascii="Arial" w:hAnsi="Arial" w:eastAsia="Arial" w:cs="Arial"/>
      <w:sz w:val="30"/>
      <w:szCs w:val="30"/>
    </w:rPr>
  </w:style>
  <w:style w:type="paragraph" w:styleId="678">
    <w:name w:val="Heading 4"/>
    <w:basedOn w:val="850"/>
    <w:next w:val="850"/>
    <w:link w:val="6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9">
    <w:name w:val="Heading 4 Char"/>
    <w:basedOn w:val="851"/>
    <w:link w:val="678"/>
    <w:uiPriority w:val="9"/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850"/>
    <w:next w:val="850"/>
    <w:link w:val="6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1">
    <w:name w:val="Heading 5 Char"/>
    <w:basedOn w:val="851"/>
    <w:link w:val="680"/>
    <w:uiPriority w:val="9"/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850"/>
    <w:next w:val="850"/>
    <w:link w:val="6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3">
    <w:name w:val="Heading 6 Char"/>
    <w:basedOn w:val="851"/>
    <w:link w:val="682"/>
    <w:uiPriority w:val="9"/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850"/>
    <w:next w:val="850"/>
    <w:link w:val="6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7 Char"/>
    <w:basedOn w:val="851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850"/>
    <w:next w:val="850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7">
    <w:name w:val="Heading 8 Char"/>
    <w:basedOn w:val="851"/>
    <w:link w:val="686"/>
    <w:uiPriority w:val="9"/>
    <w:rPr>
      <w:rFonts w:ascii="Arial" w:hAnsi="Arial" w:eastAsia="Arial" w:cs="Arial"/>
      <w:i/>
      <w:iCs/>
      <w:sz w:val="22"/>
      <w:szCs w:val="22"/>
    </w:rPr>
  </w:style>
  <w:style w:type="paragraph" w:styleId="688">
    <w:name w:val="Heading 9"/>
    <w:basedOn w:val="850"/>
    <w:next w:val="850"/>
    <w:link w:val="6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>
    <w:name w:val="Heading 9 Char"/>
    <w:basedOn w:val="851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690">
    <w:name w:val="List Paragraph"/>
    <w:basedOn w:val="850"/>
    <w:uiPriority w:val="34"/>
    <w:qFormat/>
    <w:pPr>
      <w:contextualSpacing/>
      <w:ind w:left="720"/>
    </w:pPr>
  </w:style>
  <w:style w:type="paragraph" w:styleId="691">
    <w:name w:val="No Spacing"/>
    <w:uiPriority w:val="1"/>
    <w:qFormat/>
    <w:pPr>
      <w:spacing w:before="0" w:after="0" w:line="240" w:lineRule="auto"/>
    </w:pPr>
  </w:style>
  <w:style w:type="paragraph" w:styleId="692">
    <w:name w:val="Title"/>
    <w:basedOn w:val="850"/>
    <w:next w:val="850"/>
    <w:link w:val="69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3">
    <w:name w:val="Title Char"/>
    <w:basedOn w:val="851"/>
    <w:link w:val="692"/>
    <w:uiPriority w:val="10"/>
    <w:rPr>
      <w:sz w:val="48"/>
      <w:szCs w:val="48"/>
    </w:rPr>
  </w:style>
  <w:style w:type="paragraph" w:styleId="694">
    <w:name w:val="Subtitle"/>
    <w:basedOn w:val="850"/>
    <w:next w:val="850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1"/>
    <w:link w:val="694"/>
    <w:uiPriority w:val="11"/>
    <w:rPr>
      <w:sz w:val="24"/>
      <w:szCs w:val="24"/>
    </w:rPr>
  </w:style>
  <w:style w:type="paragraph" w:styleId="696">
    <w:name w:val="Quote"/>
    <w:basedOn w:val="850"/>
    <w:next w:val="850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0"/>
    <w:next w:val="850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0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1"/>
    <w:link w:val="700"/>
    <w:uiPriority w:val="99"/>
  </w:style>
  <w:style w:type="paragraph" w:styleId="702">
    <w:name w:val="Footer"/>
    <w:basedOn w:val="850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1"/>
    <w:link w:val="702"/>
    <w:uiPriority w:val="99"/>
  </w:style>
  <w:style w:type="paragraph" w:styleId="704">
    <w:name w:val="Caption"/>
    <w:basedOn w:val="850"/>
    <w:next w:val="85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8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0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1"/>
    <w:uiPriority w:val="99"/>
    <w:unhideWhenUsed/>
    <w:rPr>
      <w:vertAlign w:val="superscript"/>
    </w:rPr>
  </w:style>
  <w:style w:type="paragraph" w:styleId="836">
    <w:name w:val="endnote text"/>
    <w:basedOn w:val="850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1"/>
    <w:uiPriority w:val="99"/>
    <w:semiHidden/>
    <w:unhideWhenUsed/>
    <w:rPr>
      <w:vertAlign w:val="superscript"/>
    </w:rPr>
  </w:style>
  <w:style w:type="paragraph" w:styleId="839">
    <w:name w:val="toc 1"/>
    <w:basedOn w:val="850"/>
    <w:next w:val="850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0"/>
    <w:next w:val="850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0"/>
    <w:next w:val="850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0"/>
    <w:next w:val="850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0"/>
    <w:next w:val="850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0"/>
    <w:next w:val="850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0"/>
    <w:next w:val="850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0"/>
    <w:next w:val="850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0"/>
    <w:next w:val="850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0"/>
    <w:next w:val="850"/>
    <w:uiPriority w:val="99"/>
    <w:unhideWhenUsed/>
    <w:pPr>
      <w:spacing w:after="0" w:afterAutospacing="0"/>
    </w:pPr>
  </w:style>
  <w:style w:type="paragraph" w:styleId="850" w:default="1">
    <w:name w:val="Normal"/>
    <w:qFormat/>
  </w:style>
  <w:style w:type="character" w:styleId="851" w:default="1">
    <w:name w:val="Default Paragraph Font"/>
    <w:uiPriority w:val="1"/>
    <w:semiHidden/>
    <w:unhideWhenUsed/>
  </w:style>
  <w:style w:type="table" w:styleId="85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3" w:default="1">
    <w:name w:val="No List"/>
    <w:uiPriority w:val="99"/>
    <w:semiHidden/>
    <w:unhideWhenUsed/>
  </w:style>
  <w:style w:type="paragraph" w:styleId="854">
    <w:name w:val="Normal (Web)"/>
    <w:basedOn w:val="850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55">
    <w:name w:val="Balloon Text"/>
    <w:basedOn w:val="850"/>
    <w:link w:val="85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56" w:customStyle="1">
    <w:name w:val="Текст выноски Знак"/>
    <w:basedOn w:val="851"/>
    <w:link w:val="855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revision>16</cp:revision>
  <dcterms:created xsi:type="dcterms:W3CDTF">2023-08-09T12:32:00Z</dcterms:created>
  <dcterms:modified xsi:type="dcterms:W3CDTF">2026-04-28T13:57:18Z</dcterms:modified>
</cp:coreProperties>
</file>