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ведущего специалиста-эксперта отдела государственного экологического надзора по Чукотскому автономному округу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Анадырь)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59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7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17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 направлени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подготовки):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</w:t>
      </w:r>
      <w:r>
        <w:rPr>
          <w:color w:val="000000" w:themeColor="text1"/>
          <w:sz w:val="24"/>
          <w:szCs w:val="24"/>
        </w:rPr>
        <w:t xml:space="preserve">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использование природных ресурсов», «Экология и природопользование», «Почвоведение», «Лесное дело», «Защита растений», «Лесное хозяйство», «Биотехния», «Ветеринарно-санитарная экспертиза», «Х</w:t>
      </w:r>
      <w:r>
        <w:rPr>
          <w:color w:val="000000" w:themeColor="text1"/>
          <w:sz w:val="24"/>
          <w:szCs w:val="24"/>
        </w:rPr>
        <w:t xml:space="preserve">имия»,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«Биоэкология», «Геоэкология», «Агроэкология», «Инженерная защита окружающей среды», «Зоология», </w:t>
      </w:r>
      <w:r>
        <w:rPr>
          <w:color w:val="000000" w:themeColor="text1"/>
          <w:sz w:val="24"/>
          <w:szCs w:val="24"/>
        </w:rPr>
        <w:t xml:space="preserve">«Ботаника», «Биохимия», «Гидрология», «Водные ресурсы и водопользование», «Природоохранное обустройство территорий», «Лесоинженерное дело», «Комплексное использование и охрана водных ресурсов», </w:t>
      </w:r>
      <w:bookmarkStart w:id="0" w:name="undefined"/>
      <w:r>
        <w:rPr>
          <w:color w:val="000000" w:themeColor="text1"/>
          <w:sz w:val="24"/>
          <w:szCs w:val="24"/>
        </w:rPr>
        <w:t xml:space="preserve">«Подземная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», «Гео</w:t>
      </w:r>
      <w:r>
        <w:rPr>
          <w:color w:val="000000" w:themeColor="text1"/>
          <w:sz w:val="24"/>
          <w:szCs w:val="24"/>
        </w:rPr>
        <w:t xml:space="preserve">графия», «Водоснабжение и водоотведение», «Зоотехния», «Ветеринария», </w:t>
      </w:r>
      <w:bookmarkStart w:id="0" w:name="undefined"/>
      <w:r>
        <w:rPr>
          <w:color w:val="000000" w:themeColor="text1"/>
          <w:sz w:val="24"/>
          <w:szCs w:val="24"/>
        </w:rPr>
        <w:t xml:space="preserve">«Экология», </w:t>
      </w:r>
      <w:bookmarkEnd w:id="0"/>
      <w:r>
        <w:rPr>
          <w:color w:val="000000" w:themeColor="text1"/>
          <w:sz w:val="24"/>
          <w:szCs w:val="24"/>
        </w:rPr>
        <w:t xml:space="preserve">«Лесоинженерное дело», «Технология лесозаготовок», «Зоология»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7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</w:t>
      </w:r>
      <w:r>
        <w:rPr>
          <w:color w:val="000000" w:themeColor="text1"/>
          <w:sz w:val="24"/>
          <w:szCs w:val="24"/>
        </w:rPr>
        <w:t xml:space="preserve">жбы по надзору в сфере природопользования);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pStyle w:val="1241"/>
        <w:ind w:left="0" w:right="0" w:firstLine="567"/>
        <w:jc w:val="both"/>
        <w:rPr>
          <w:rFonts w:ascii="Times New Roman" w:hAnsi="Times New Roman" w:cs="Times New Roman"/>
          <w:color w:val="00b05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Лесного кодекса Российской Федерации от 04.12.2006 № 200-ФЗ;</w:t>
      </w:r>
      <w:r>
        <w:rPr>
          <w:rFonts w:ascii="Times New Roman" w:hAnsi="Times New Roman" w:cs="Times New Roman"/>
          <w:color w:val="00b050" w:themeColor="text1"/>
          <w:sz w:val="28"/>
          <w:szCs w:val="28"/>
        </w:rPr>
      </w:r>
      <w:r>
        <w:rPr>
          <w:rFonts w:ascii="Times New Roman" w:hAnsi="Times New Roman" w:cs="Times New Roman"/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10.01.2002 № 7-ФЗ «Об охране окружающей среды»;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14.03.19</w:t>
      </w:r>
      <w:r>
        <w:rPr>
          <w:color w:val="000000" w:themeColor="text1"/>
          <w:sz w:val="24"/>
          <w:szCs w:val="24"/>
        </w:rPr>
        <w:t xml:space="preserve">95 № 33-ФЗ «Об особо охраняемых природных территориях»;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24.04.1995 № 52-ФЗ «О животном мире»;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02.05.2006 № 59-ФЗ «О порядке рассмотрения обращений граждан Российской Федерации»;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</w:t>
      </w:r>
      <w:r>
        <w:rPr>
          <w:color w:val="000000" w:themeColor="text1"/>
          <w:sz w:val="24"/>
          <w:szCs w:val="24"/>
        </w:rPr>
        <w:t xml:space="preserve"> 21.12.1994 № 68-ФЗ «О защите населения и территорий от чрезвычайных ситуаций природного и техногенного характера»;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70c0" w:themeColor="text1"/>
          <w:spacing w:val="4"/>
          <w:sz w:val="28"/>
          <w:szCs w:val="28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24.06</w:t>
      </w:r>
      <w:r>
        <w:rPr>
          <w:color w:val="000000" w:themeColor="text1"/>
          <w:sz w:val="24"/>
          <w:szCs w:val="24"/>
        </w:rPr>
        <w:t xml:space="preserve">.1998 № 89-ФЗ «Об отходах производства и потребления»;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04.05.1999 № 96-ФЗ «Об охране атмосферного воздуха»;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Федерального закона от 19.07.1997</w:t>
      </w:r>
      <w:r>
        <w:rPr>
          <w:color w:val="000000" w:themeColor="text1"/>
          <w:sz w:val="24"/>
          <w:szCs w:val="24"/>
        </w:rPr>
        <w:t xml:space="preserve"> № 109-ФЗ «О безопасном обращении с пестицидами и агрохимикатами»;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Федерального закона от 21.07.1997 № 117-ФЗ «О безопасности гидротехнических сооружений»;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Федерального закона от 27.07.2006 № 152-ФЗ «О персональных данных»;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Федерального закон</w:t>
      </w:r>
      <w:r>
        <w:rPr>
          <w:color w:val="000000" w:themeColor="text1"/>
          <w:sz w:val="24"/>
          <w:szCs w:val="24"/>
        </w:rPr>
        <w:t xml:space="preserve">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Федерального закона от 17.12.1998 № 191-ФЗ «Об исключительной экономической зоне Российской Фед</w:t>
      </w:r>
      <w:r>
        <w:rPr>
          <w:color w:val="000000" w:themeColor="text1"/>
          <w:sz w:val="24"/>
          <w:szCs w:val="24"/>
        </w:rPr>
        <w:t xml:space="preserve">ерации»;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Федерального закона от 31.07.2020 № 248-ФЗ «О государственном контроле </w:t>
      </w:r>
      <w:r>
        <w:rPr>
          <w:color w:val="000000" w:themeColor="text1"/>
          <w:sz w:val="24"/>
          <w:szCs w:val="24"/>
        </w:rPr>
        <w:t xml:space="preserve">(надзоре) и муниципальном контроле в Российской Федерации»;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Федерального закона от 25.12.2008 № 273-ФЗ «О противодействии коррупции»;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Федерального закона от 29.12.2014 № 473-ФЗ «О территориях опережающего социально-экономического развития в Российс</w:t>
      </w:r>
      <w:r>
        <w:rPr>
          <w:color w:val="000000" w:themeColor="text1"/>
          <w:sz w:val="24"/>
          <w:szCs w:val="24"/>
        </w:rPr>
        <w:t xml:space="preserve">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 Федерального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27.12.2018 № 498-ФЗ «Об ответственном обращении с животными и о внесении в отдельные законодательные акты Российской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Постановления Правительства Российской Федерации от 16.</w:t>
      </w:r>
      <w:r>
        <w:rPr>
          <w:color w:val="000000" w:themeColor="text1"/>
          <w:sz w:val="24"/>
          <w:szCs w:val="24"/>
        </w:rPr>
        <w:t xml:space="preserve">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Постановления Правительства Росси</w:t>
      </w:r>
      <w:r>
        <w:rPr>
          <w:color w:val="000000" w:themeColor="text1"/>
          <w:sz w:val="24"/>
          <w:szCs w:val="24"/>
        </w:rPr>
        <w:t xml:space="preserve">йской Федерации от 31.10.2013 № 978 «Об утверждении перечня особо ценных диких животных, водных биологических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</w:t>
      </w:r>
      <w:r>
        <w:rPr>
          <w:color w:val="000000" w:themeColor="text1"/>
          <w:sz w:val="24"/>
          <w:szCs w:val="24"/>
        </w:rPr>
        <w:t xml:space="preserve">ми Российской Федерации, для целей статей 226.1, 258.1 и 260.1 Уголовного кодекса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Постановления Правительства Российской Федерации от 30.06.2021 № 1065 «О федеральном государственном охотничьем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Постан</w:t>
      </w:r>
      <w:r>
        <w:rPr>
          <w:color w:val="000000" w:themeColor="text1"/>
          <w:sz w:val="24"/>
          <w:szCs w:val="24"/>
        </w:rPr>
        <w:t xml:space="preserve">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Постановления Правительства Российской Федерации от 30.06.2021 № 1089 «О федеральном государственном контроле (надзоре</w:t>
      </w:r>
      <w:r>
        <w:rPr>
          <w:color w:val="000000" w:themeColor="text1"/>
          <w:sz w:val="24"/>
          <w:szCs w:val="24"/>
        </w:rPr>
        <w:t xml:space="preserve">) в области обращения с животными»;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Постановления Правительства Российской Федерации от 30.06.2021 № 1090 «О федеральном государственном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Постановления </w:t>
      </w:r>
      <w:r>
        <w:rPr>
          <w:color w:val="000000" w:themeColor="text1"/>
          <w:sz w:val="24"/>
          <w:szCs w:val="24"/>
        </w:rPr>
        <w:t xml:space="preserve">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Постановления Правительства Российской Федерац</w:t>
      </w:r>
      <w:r>
        <w:rPr>
          <w:color w:val="000000" w:themeColor="text1"/>
          <w:sz w:val="24"/>
          <w:szCs w:val="24"/>
        </w:rPr>
        <w:t xml:space="preserve">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Постановления Правительства Российской Федерации от 30.06.2021 № 1098 «О федеральном государственном лесном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Постановления Правите</w:t>
      </w:r>
      <w:r>
        <w:rPr>
          <w:color w:val="000000" w:themeColor="text1"/>
          <w:sz w:val="24"/>
          <w:szCs w:val="24"/>
        </w:rPr>
        <w:t xml:space="preserve">льства Российской Федерации от 31.10.2024 № 1459«Об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Постановления Правительства Российской Федерации от 31.12.2020 № 2398 «Об утвержден</w:t>
      </w:r>
      <w:r>
        <w:rPr>
          <w:color w:val="000000" w:themeColor="text1"/>
          <w:sz w:val="24"/>
          <w:szCs w:val="24"/>
        </w:rPr>
        <w:t xml:space="preserve">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етодических рекомендац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ий по осуществлению мониторинга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ведения органами исполнительной власти субъектов Российской Федерации региональных государственных реестров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</w:t>
      </w:r>
      <w:r>
        <w:rPr>
          <w:color w:val="000000" w:themeColor="text1"/>
          <w:sz w:val="24"/>
          <w:szCs w:val="24"/>
        </w:rPr>
        <w:t xml:space="preserve">)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</w:t>
      </w:r>
      <w:r>
        <w:rPr>
          <w:color w:val="000000" w:themeColor="text1"/>
          <w:sz w:val="24"/>
          <w:szCs w:val="24"/>
        </w:rPr>
        <w:t xml:space="preserve">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методы использования программно-целевых методов управления в области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основные направления совершенствования нормативно-правовой базы, обеспечивающей эффективное развитие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процесс экологического сопровождения реализации государственных инфраструктурных проектов;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современное развитие системы о</w:t>
      </w:r>
      <w:r>
        <w:rPr>
          <w:rFonts w:ascii="Times New Roman" w:hAnsi="Times New Roman" w:cs="Times New Roman"/>
          <w:sz w:val="24"/>
          <w:szCs w:val="24"/>
        </w:rPr>
        <w:t xml:space="preserve">собо охраняемых природных территорий;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технология обеспечения основной деятельности заповедников и национальных парков;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виды, формы, порядок представления разрешительной и иной документации в области охраны атмосферного воздуха;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понятие, цели и пор</w:t>
      </w:r>
      <w:r>
        <w:rPr>
          <w:rFonts w:ascii="Times New Roman" w:hAnsi="Times New Roman" w:cs="Times New Roman"/>
          <w:sz w:val="24"/>
          <w:szCs w:val="24"/>
        </w:rPr>
        <w:t xml:space="preserve">ядок организации земельного надзора;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понятие, цели и порядок организации государственного экологического надзора в области охраны атмосферного воздуха;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виды, особенности создания и применения карт, планов, пространственных данных и геоинформационных </w:t>
      </w:r>
      <w:r>
        <w:rPr>
          <w:rFonts w:ascii="Times New Roman" w:hAnsi="Times New Roman" w:cs="Times New Roman"/>
          <w:sz w:val="24"/>
          <w:szCs w:val="24"/>
        </w:rPr>
        <w:t xml:space="preserve">сервисов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научно-техническая документация и технико-экономические основы работ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научно-техническая документация в области стратегического и территориального планирования (развития) в с</w:t>
      </w:r>
      <w:r>
        <w:rPr>
          <w:rFonts w:ascii="Times New Roman" w:hAnsi="Times New Roman" w:cs="Times New Roman"/>
          <w:sz w:val="24"/>
          <w:szCs w:val="24"/>
        </w:rPr>
        <w:t xml:space="preserve">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основные закономерности функционирования и развития природных, природно-хозяйственных и социально-экономических территориальных систем района исследований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13) отечественный и международный </w:t>
      </w:r>
      <w:r>
        <w:rPr>
          <w:rFonts w:ascii="Times New Roman" w:hAnsi="Times New Roman" w:cs="Times New Roman"/>
          <w:sz w:val="24"/>
          <w:szCs w:val="24"/>
        </w:rPr>
        <w:t xml:space="preserve">опыт реализации проектов социально-экономической и экологической направленности в сфере охраны окружающей среды на разных территориальных уровнях;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14) основы проектного менеджмента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15) методы проведения комплексной диагност</w:t>
      </w:r>
      <w:r>
        <w:rPr>
          <w:rFonts w:ascii="Times New Roman" w:hAnsi="Times New Roman" w:cs="Times New Roman"/>
          <w:sz w:val="24"/>
          <w:szCs w:val="24"/>
        </w:rPr>
        <w:t xml:space="preserve">ики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16) стандартное программное обеспечение, используемое для подготовки документов по результатам комплексной географической оценки содержания работ и проектов в сфере охраны окружающей среды.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 принципы, методы, технологии и механизмы осуществления контроля (надзора);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принципы защиты прав подконтрольных лиц;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виды, порядок организации и осуществления мероприятий по профилактике нарушения обязательных требований;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 обязанности </w:t>
      </w:r>
      <w:r>
        <w:rPr>
          <w:sz w:val="24"/>
          <w:szCs w:val="24"/>
        </w:rPr>
        <w:t xml:space="preserve">и ограничения при проведении мероприятий по контролю;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виды и основные характеристики мероприятий по контролю;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порядок организации и осуществления мероприятий по контролю без взаимодействия;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порядок организации и осуществления плановых проверок,</w:t>
      </w:r>
      <w:r>
        <w:rPr>
          <w:sz w:val="24"/>
          <w:szCs w:val="24"/>
        </w:rPr>
        <w:t xml:space="preserve"> формирования ежегодного плана проведения плановых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 институт предварительной проверки жалобы и иной информации, поступившей в контрольно-надзорный орган;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 основания проведения и особенности внеплановых проверок, согласование их проведения с</w:t>
      </w:r>
      <w:r>
        <w:rPr>
          <w:sz w:val="24"/>
          <w:szCs w:val="24"/>
        </w:rPr>
        <w:t xml:space="preserve"> органами прокуратуры;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 порядок, этапы, инструменты организации и проведения проверки;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 понятие единого реестра контрольных (надзорных) мероприятий, процедура его формирования;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 меры, принимаемые по результатам проверки.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8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9" w:tooltip="&lt;div class=&quot;doc www&quot;&gt;&lt;span class=&quot;aligner&quot;&gt;&lt;div class=&quot;icon listDocWWW-16&quot;&gt;&lt;/div&gt;&lt;/span&gt;pravo.gov.ru&lt;/div&gt;" w:history="1">
        <w:r>
          <w:rPr>
            <w:rStyle w:val="941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</w:t>
      </w:r>
      <w:r>
        <w:rPr>
          <w:rFonts w:ascii="Times New Roman" w:hAnsi="Times New Roman" w:cs="Times New Roman"/>
          <w:sz w:val="24"/>
          <w:szCs w:val="24"/>
        </w:rPr>
        <w:t xml:space="preserve">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сравн</w:t>
      </w:r>
      <w:r>
        <w:rPr>
          <w:rFonts w:ascii="Times New Roman" w:hAnsi="Times New Roman" w:cs="Times New Roman"/>
          <w:sz w:val="24"/>
          <w:szCs w:val="24"/>
        </w:rPr>
        <w:t xml:space="preserve">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применять общие и специализированны</w:t>
      </w:r>
      <w:r>
        <w:rPr>
          <w:rFonts w:ascii="Times New Roman" w:hAnsi="Times New Roman" w:cs="Times New Roman"/>
          <w:sz w:val="24"/>
          <w:szCs w:val="24"/>
        </w:rPr>
        <w:t xml:space="preserve">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</w:t>
      </w:r>
      <w:r>
        <w:rPr>
          <w:rFonts w:ascii="Times New Roman" w:hAnsi="Times New Roman" w:cs="Times New Roman"/>
          <w:sz w:val="24"/>
          <w:szCs w:val="24"/>
        </w:rPr>
        <w:t xml:space="preserve">ксной географической оценки содержания работ и проектов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применять специализированное программное обеспе</w:t>
      </w:r>
      <w:r>
        <w:rPr>
          <w:rFonts w:ascii="Times New Roman" w:hAnsi="Times New Roman" w:cs="Times New Roman"/>
          <w:sz w:val="24"/>
          <w:szCs w:val="24"/>
        </w:rPr>
        <w:t xml:space="preserve">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</w:t>
      </w:r>
      <w:r>
        <w:rPr>
          <w:sz w:val="24"/>
          <w:szCs w:val="24"/>
        </w:rPr>
        <w:t xml:space="preserve">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</w:t>
      </w:r>
      <w:r>
        <w:rPr>
          <w:sz w:val="24"/>
          <w:szCs w:val="24"/>
        </w:rPr>
        <w:t xml:space="preserve">олю;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</w:t>
      </w:r>
      <w:r>
        <w:rPr>
          <w:sz w:val="24"/>
          <w:szCs w:val="24"/>
        </w:rPr>
        <w:t xml:space="preserve">ольно-надзорных органов;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согласование документации, заявок, заявлений;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</w:t>
      </w:r>
      <w:r>
        <w:rPr>
          <w:sz w:val="24"/>
          <w:szCs w:val="24"/>
        </w:rPr>
        <w:t xml:space="preserve">ных, выдача справок, выписок, документов, разъяснений и сведений;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 утверждение нормативов;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 рассмотрение запросов, ходатайств, уведомлений, жалоб;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13) проведение экспертизы;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14) проведение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Ведущего</w:t>
      </w:r>
      <w:r>
        <w:rPr>
          <w:color w:val="000000" w:themeColor="text1"/>
          <w:sz w:val="24"/>
          <w:szCs w:val="24"/>
        </w:rPr>
        <w:t xml:space="preserve"> специалиста-эксперта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</w:t>
      </w:r>
      <w:r>
        <w:rPr>
          <w:color w:val="000000" w:themeColor="text1"/>
          <w:sz w:val="24"/>
          <w:szCs w:val="24"/>
        </w:rPr>
        <w:t xml:space="preserve">поведению,</w:t>
      </w:r>
      <w:r>
        <w:rPr>
          <w:color w:val="000000" w:themeColor="text1"/>
          <w:sz w:val="24"/>
          <w:szCs w:val="24"/>
        </w:rPr>
        <w:t xml:space="preserve"> установлены статьями 15</w:t>
      </w:r>
      <w:r>
        <w:rPr>
          <w:color w:val="000000" w:themeColor="text1"/>
          <w:sz w:val="24"/>
          <w:szCs w:val="24"/>
        </w:rPr>
        <w:t xml:space="preserve">-</w:t>
      </w:r>
      <w:r>
        <w:rPr>
          <w:color w:val="000000" w:themeColor="text1"/>
          <w:sz w:val="24"/>
          <w:szCs w:val="24"/>
        </w:rPr>
        <w:t xml:space="preserve">18, </w:t>
      </w:r>
      <w:r>
        <w:rPr>
          <w:color w:val="000000" w:themeColor="text1"/>
          <w:sz w:val="24"/>
          <w:szCs w:val="24"/>
        </w:rPr>
        <w:t xml:space="preserve">20, 20.1, 20.2, 20.3 </w:t>
      </w:r>
      <w:r>
        <w:rPr>
          <w:color w:val="000000" w:themeColor="text1"/>
          <w:sz w:val="24"/>
          <w:szCs w:val="24"/>
        </w:rPr>
        <w:t xml:space="preserve">Федерального </w:t>
      </w:r>
      <w:r>
        <w:rPr>
          <w:color w:val="000000" w:themeColor="text1"/>
          <w:sz w:val="24"/>
          <w:szCs w:val="24"/>
        </w:rPr>
        <w:t xml:space="preserve">закона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от 27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июля 2004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г.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79-ФЗ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 государственной гражданской службе Российской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Федерации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000000" w:themeColor="text1"/>
          <w:sz w:val="24"/>
          <w:szCs w:val="24"/>
        </w:rPr>
        <w:t xml:space="preserve">отдел государственного экологического надзора по Чукотскому автономному округу (далее – Отдел)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обязан: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</w:t>
      </w:r>
      <w:r>
        <w:rPr>
          <w:color w:val="000000" w:themeColor="text1"/>
          <w:sz w:val="24"/>
          <w:szCs w:val="24"/>
        </w:rPr>
        <w:t xml:space="preserve">тных обязанностей права и законные интересы граждан и организаций;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государственную и иную охраняемую федераль</w:t>
      </w:r>
      <w:r>
        <w:rPr>
          <w:color w:val="000000" w:themeColor="text1"/>
          <w:sz w:val="24"/>
          <w:szCs w:val="24"/>
        </w:rPr>
        <w:t xml:space="preserve">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</w:t>
      </w:r>
      <w:r>
        <w:rPr>
          <w:color w:val="000000" w:themeColor="text1"/>
          <w:sz w:val="24"/>
          <w:szCs w:val="24"/>
        </w:rPr>
        <w:t xml:space="preserve">ом числе предоставленное ему для </w:t>
      </w:r>
      <w:r>
        <w:rPr>
          <w:color w:val="000000" w:themeColor="text1"/>
          <w:sz w:val="24"/>
          <w:szCs w:val="24"/>
        </w:rPr>
        <w:t xml:space="preserve">исполнения должностных обязанностей;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обязат</w:t>
      </w:r>
      <w:r>
        <w:rPr>
          <w:color w:val="000000" w:themeColor="text1"/>
          <w:sz w:val="24"/>
          <w:szCs w:val="24"/>
        </w:rPr>
        <w:t xml:space="preserve">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</w:t>
      </w:r>
      <w:r>
        <w:rPr>
          <w:color w:val="000000" w:themeColor="text1"/>
          <w:sz w:val="24"/>
          <w:szCs w:val="24"/>
        </w:rPr>
        <w:t xml:space="preserve">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</w:t>
      </w:r>
      <w:r>
        <w:rPr>
          <w:color w:val="000000" w:themeColor="text1"/>
          <w:sz w:val="24"/>
          <w:szCs w:val="24"/>
        </w:rPr>
        <w:t xml:space="preserve">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 (подданства) иностра</w:t>
      </w:r>
      <w:r>
        <w:rPr>
          <w:color w:val="000000" w:themeColor="text1"/>
          <w:sz w:val="24"/>
          <w:szCs w:val="24"/>
        </w:rPr>
        <w:t xml:space="preserve">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</w:t>
      </w:r>
      <w:r>
        <w:rPr>
          <w:color w:val="000000" w:themeColor="text1"/>
          <w:sz w:val="24"/>
          <w:szCs w:val="24"/>
        </w:rPr>
        <w:t xml:space="preserve">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привести к конфли</w:t>
      </w:r>
      <w:r>
        <w:rPr>
          <w:color w:val="000000" w:themeColor="text1"/>
          <w:sz w:val="24"/>
          <w:szCs w:val="24"/>
        </w:rPr>
        <w:t xml:space="preserve">кту интересов, принимать меры по предотвращению такого конфликта;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57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 о гражданской с</w:t>
      </w:r>
      <w:r>
        <w:rPr>
          <w:color w:val="000000" w:themeColor="text1"/>
          <w:sz w:val="24"/>
          <w:szCs w:val="24"/>
        </w:rPr>
        <w:t xml:space="preserve">лужбе, за исключением сведений, изменение которых произошло по решению представителя нанимателя;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по мнению </w:t>
      </w:r>
      <w:r>
        <w:rPr>
          <w:color w:val="000000" w:themeColor="text1"/>
          <w:sz w:val="24"/>
          <w:szCs w:val="24"/>
        </w:rPr>
        <w:t xml:space="preserve">Ведущего специалиста-эксперта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неправоме</w:t>
      </w:r>
      <w:r>
        <w:rPr>
          <w:color w:val="000000" w:themeColor="text1"/>
          <w:sz w:val="24"/>
          <w:szCs w:val="24"/>
        </w:rPr>
        <w:t xml:space="preserve">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случа</w:t>
      </w:r>
      <w:r>
        <w:rPr>
          <w:color w:val="000000" w:themeColor="text1"/>
          <w:sz w:val="24"/>
          <w:szCs w:val="24"/>
        </w:rPr>
        <w:t xml:space="preserve">ях обращения к нему каких-либо лиц в целях склонения его к совершению коррупционных правонарушений;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5"/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 </w:t>
      </w:r>
      <w:r>
        <w:rPr>
          <w:color w:val="000000" w:themeColor="text1"/>
          <w:sz w:val="24"/>
          <w:szCs w:val="24"/>
        </w:rPr>
        <w:t xml:space="preserve">государственным инспектором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5"/>
        <w:numPr>
          <w:ilvl w:val="0"/>
          <w:numId w:val="2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осуществлять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следующие виды контроля (надзора):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экологический контроль (надзор);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лесной контроль (надзор) на землях особо охраняемых природных территорий ф</w:t>
      </w:r>
      <w:r>
        <w:rPr>
          <w:color w:val="000000" w:themeColor="text1"/>
          <w:sz w:val="24"/>
          <w:szCs w:val="24"/>
        </w:rPr>
        <w:t xml:space="preserve">едерального значения;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</w:t>
      </w:r>
      <w:r>
        <w:rPr>
          <w:color w:val="000000" w:themeColor="text1"/>
          <w:sz w:val="24"/>
          <w:szCs w:val="24"/>
        </w:rPr>
        <w:t xml:space="preserve">влением федеральных государственных бюджетных учреждений;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</w:t>
      </w:r>
      <w:r>
        <w:rPr>
          <w:color w:val="000000" w:themeColor="text1"/>
          <w:sz w:val="24"/>
          <w:szCs w:val="24"/>
        </w:rPr>
        <w:t xml:space="preserve">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охотничий контроль (надзор) на особо охраняемых природных территориях федерального значения и в границах их охранных зон, управл</w:t>
      </w:r>
      <w:r>
        <w:rPr>
          <w:color w:val="000000" w:themeColor="text1"/>
          <w:sz w:val="24"/>
          <w:szCs w:val="24"/>
        </w:rPr>
        <w:t xml:space="preserve">ение которыми не осуществляется федеральными государственными бюджетными учреждениями;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</w:t>
      </w:r>
      <w:r>
        <w:rPr>
          <w:color w:val="000000" w:themeColor="text1"/>
          <w:sz w:val="24"/>
          <w:szCs w:val="24"/>
        </w:rPr>
        <w:t xml:space="preserve">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</w:t>
      </w:r>
      <w:r>
        <w:rPr>
          <w:color w:val="000000" w:themeColor="text1"/>
          <w:sz w:val="24"/>
          <w:szCs w:val="24"/>
        </w:rPr>
        <w:t xml:space="preserve">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18) принимать участие в осуществлении контроля за эффективностью и качеством осуществления органами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переданных пол</w:t>
      </w:r>
      <w:r>
        <w:rPr>
          <w:color w:val="000000" w:themeColor="text1"/>
          <w:sz w:val="24"/>
          <w:szCs w:val="24"/>
        </w:rPr>
        <w:t xml:space="preserve">номочий Российской Федерации в области водных отношений,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ресурсов, с правом направления обязательных для исполн</w:t>
      </w:r>
      <w:r>
        <w:rPr>
          <w:color w:val="000000" w:themeColor="text1"/>
          <w:sz w:val="24"/>
          <w:szCs w:val="24"/>
        </w:rPr>
        <w:t xml:space="preserve">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</w:t>
      </w:r>
      <w:r>
        <w:rPr>
          <w:color w:val="000000" w:themeColor="text1"/>
          <w:sz w:val="24"/>
          <w:szCs w:val="24"/>
          <w:lang w:bidi="ru-RU"/>
        </w:rPr>
        <w:t xml:space="preserve">олномочий;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5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19) о</w:t>
      </w:r>
      <w:r>
        <w:rPr>
          <w:rStyle w:val="1202"/>
          <w:color w:val="000000" w:themeColor="text1"/>
          <w:sz w:val="24"/>
          <w:szCs w:val="24"/>
        </w:rPr>
        <w:t xml:space="preserve">существлять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20)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</w:t>
      </w:r>
      <w:r>
        <w:rPr>
          <w:color w:val="000000" w:themeColor="text1"/>
          <w:sz w:val="24"/>
          <w:szCs w:val="24"/>
        </w:rPr>
        <w:t xml:space="preserve"> в подготовке для представления в центральный аппарат Росприроднадзора предложений о возможности согласования: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20.</w:t>
      </w:r>
      <w:r>
        <w:rPr>
          <w:color w:val="000000" w:themeColor="text1"/>
          <w:sz w:val="24"/>
          <w:szCs w:val="24"/>
        </w:rPr>
        <w:t xml:space="preserve">1) решений о выдаче либо об отказе в выдаче разрешений на строительство, реконструкцию, проведение изыскательских работ для </w:t>
      </w:r>
      <w:r>
        <w:rPr>
          <w:color w:val="000000" w:themeColor="text1"/>
          <w:sz w:val="24"/>
          <w:szCs w:val="24"/>
        </w:rPr>
        <w:t xml:space="preserve">проектирования и л</w:t>
      </w:r>
      <w:r>
        <w:rPr>
          <w:color w:val="000000" w:themeColor="text1"/>
          <w:sz w:val="24"/>
          <w:szCs w:val="24"/>
        </w:rPr>
        <w:t xml:space="preserve">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.2) проектов округов санитарной охраны лечебно-оздоро</w:t>
      </w:r>
      <w:r>
        <w:rPr>
          <w:color w:val="000000" w:themeColor="text1"/>
          <w:sz w:val="24"/>
          <w:szCs w:val="24"/>
        </w:rPr>
        <w:t xml:space="preserve">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21) </w:t>
      </w:r>
      <w:r>
        <w:rPr>
          <w:color w:val="000000" w:themeColor="text1"/>
          <w:sz w:val="24"/>
          <w:szCs w:val="24"/>
        </w:rPr>
        <w:t xml:space="preserve">принимать участие в рассмотрении для согласования Управлением проектов планов проведения плановых контрольных (надзорных) мероприятий на очер</w:t>
      </w:r>
      <w:r>
        <w:rPr>
          <w:color w:val="000000" w:themeColor="text1"/>
          <w:sz w:val="24"/>
          <w:szCs w:val="24"/>
        </w:rPr>
        <w:t xml:space="preserve">едной календарный год в рамках муниципального земельного контроля;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8"/>
          <w:color w:val="000000" w:themeColor="text1"/>
          <w:sz w:val="24"/>
          <w:szCs w:val="24"/>
        </w:rPr>
        <w:t xml:space="preserve">22)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rStyle w:val="1202"/>
          <w:color w:val="000000" w:themeColor="text1"/>
          <w:sz w:val="24"/>
          <w:szCs w:val="24"/>
        </w:rPr>
        <w:t xml:space="preserve">ринимать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</w:t>
      </w:r>
      <w:r>
        <w:rPr>
          <w:color w:val="000000" w:themeColor="text1"/>
          <w:sz w:val="24"/>
          <w:szCs w:val="24"/>
        </w:rPr>
        <w:t xml:space="preserve">яйственного назначения, оборот которых регулируется Федеральным законом от 24.07.2002   № 101-ФЗ «Об обороте земель сельскохозяйственного назначения»;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0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23) принимать участие в рассмотрении для согласования Управлением: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08"/>
          <w:color w:val="000000" w:themeColor="text1"/>
          <w:sz w:val="24"/>
          <w:szCs w:val="24"/>
        </w:rPr>
        <w:t xml:space="preserve">23</w:t>
      </w:r>
      <w:r>
        <w:rPr>
          <w:color w:val="000000" w:themeColor="text1"/>
          <w:sz w:val="24"/>
          <w:szCs w:val="24"/>
        </w:rPr>
        <w:t xml:space="preserve">.1)</w:t>
      </w:r>
      <w:r>
        <w:rPr>
          <w:color w:val="000000" w:themeColor="text1"/>
          <w:sz w:val="24"/>
          <w:szCs w:val="24"/>
        </w:rPr>
        <w:t xml:space="preserve"> перечня мероприятий по предупреждению или снижению возможного ущерба окружающей среде, а также по компенсации возможного ущерба, представляемого для получения разрешения на строительство, реконструкцию, проведение изыскательских работ для проектирования и</w:t>
      </w:r>
      <w:r>
        <w:rPr>
          <w:color w:val="000000" w:themeColor="text1"/>
          <w:sz w:val="24"/>
          <w:szCs w:val="24"/>
        </w:rPr>
        <w:t xml:space="preserve"> ликвидации линий связи,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23.2) границ охранных зон для гидроэнергетических объектов в акваториях водных объектов, включающих, в 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23.3) заявлений органов исполни</w:t>
      </w:r>
      <w:r>
        <w:rPr>
          <w:color w:val="000000" w:themeColor="text1"/>
          <w:sz w:val="24"/>
          <w:szCs w:val="24"/>
        </w:rPr>
        <w:t xml:space="preserve">тельной власти субъектов Российской Федерации об определении границ зон затопления, подтопления;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принимать участие в подготовке для направления Управлением в центральный аппарат Росприроднадзора мотивированные заключения о возможности согласования: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numPr>
          <w:ilvl w:val="1"/>
          <w:numId w:val="22"/>
        </w:numPr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про</w:t>
      </w:r>
      <w:r>
        <w:rPr>
          <w:color w:val="000000" w:themeColor="text1"/>
          <w:sz w:val="24"/>
          <w:szCs w:val="24"/>
        </w:rPr>
        <w:t xml:space="preserve">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24.2) проектов правил использования для каждого из водохранилищ, включенных в перечень водохранилищ, утве</w:t>
      </w:r>
      <w:r>
        <w:rPr>
          <w:color w:val="000000" w:themeColor="text1"/>
          <w:sz w:val="24"/>
          <w:szCs w:val="24"/>
        </w:rPr>
        <w:t xml:space="preserve">ржденный распоряжением Правительства Российской Федерации от 14.02.2009 № 197-р;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25) принимать участие в подготовке для направления Управлением в центральный аппарат Росприроднадзора сведения для предоставления в государственный водный реестр;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4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26) принимат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принимать участие в подготовке для представления Управлением в центральный аппарат Роспри</w:t>
      </w:r>
      <w:r>
        <w:rPr>
          <w:color w:val="000000" w:themeColor="text1"/>
          <w:sz w:val="24"/>
          <w:szCs w:val="24"/>
        </w:rPr>
        <w:t xml:space="preserve">роднадзора мотивированных заключений о возможности: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27.1) выдачи разрешений на добычу объектов животного и растительного мира, включая водные биологические ресурсы, занесённых в Красную книгу Российской Федерации, а также объектов животного мира, находящих</w:t>
      </w:r>
      <w:r>
        <w:rPr>
          <w:color w:val="000000" w:themeColor="text1"/>
          <w:sz w:val="24"/>
          <w:szCs w:val="24"/>
        </w:rPr>
        <w:t xml:space="preserve">ся на особо охраняемых природных территориях федерального значения;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27.2)</w:t>
      </w:r>
      <w:r>
        <w:rPr>
          <w:color w:val="000000" w:themeColor="text1"/>
          <w:sz w:val="24"/>
          <w:szCs w:val="24"/>
        </w:rPr>
        <w:t xml:space="preserve"> осуществления пользования видами животных в целях получения разрешений (распорядительных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27.3) согласования установления органами государственной в</w:t>
      </w:r>
      <w:r>
        <w:rPr>
          <w:color w:val="000000" w:themeColor="text1"/>
          <w:sz w:val="24"/>
          <w:szCs w:val="24"/>
        </w:rPr>
        <w:t xml:space="preserve">ласти Чукотского автономного округа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</w:t>
      </w:r>
      <w:r>
        <w:rPr>
          <w:color w:val="000000" w:themeColor="text1"/>
          <w:sz w:val="24"/>
          <w:szCs w:val="24"/>
        </w:rPr>
        <w:t xml:space="preserve">чаях, предусмотренных федеральными законами;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участвовать в рассмотрении для согласования Управлением заявления о выдаче лицензий на экспорт и (или) импорт товаров, а также оформлении</w:t>
      </w:r>
      <w:r>
        <w:rPr>
          <w:color w:val="000000" w:themeColor="text1"/>
          <w:sz w:val="24"/>
          <w:szCs w:val="24"/>
        </w:rPr>
        <w:t xml:space="preserve"> других</w:t>
      </w:r>
      <w:r>
        <w:rPr>
          <w:color w:val="000000" w:themeColor="text1"/>
          <w:sz w:val="24"/>
          <w:szCs w:val="24"/>
        </w:rPr>
        <w:t xml:space="preserve"> разрешительных</w:t>
      </w:r>
      <w:r>
        <w:rPr>
          <w:color w:val="000000" w:themeColor="text1"/>
          <w:sz w:val="24"/>
          <w:szCs w:val="24"/>
        </w:rPr>
        <w:t xml:space="preserve"> документов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 в случае применения в отношении товаро</w:t>
      </w:r>
      <w:r>
        <w:rPr>
          <w:color w:val="000000" w:themeColor="text1"/>
          <w:sz w:val="24"/>
          <w:szCs w:val="24"/>
        </w:rPr>
        <w:t xml:space="preserve">в запретов или ограничений в торговле с третьими странами на ввоз или вывоз государствами – членами Таможенного союза для морских и прочих водорослей;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охрану водных биологических ресурсов, занесенных в Красную книгу Российской Федерации, з</w:t>
      </w:r>
      <w:r>
        <w:rPr>
          <w:color w:val="000000" w:themeColor="text1"/>
          <w:sz w:val="24"/>
          <w:szCs w:val="24"/>
        </w:rPr>
        <w:t xml:space="preserve">а исключением водных биологических ресурсов, находящихся на особо охраняемых природных территориях федерального значения;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принимать участие в координации деятельности органов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в области охраны и испол</w:t>
      </w:r>
      <w:r>
        <w:rPr>
          <w:color w:val="000000" w:themeColor="text1"/>
          <w:sz w:val="24"/>
          <w:szCs w:val="24"/>
        </w:rPr>
        <w:t xml:space="preserve">ьзования животного мира в пределах своей компетенции;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выдавать заключения органа,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осуществлять в пределах своей компетенции</w:t>
      </w:r>
      <w:r>
        <w:rPr>
          <w:color w:val="000000" w:themeColor="text1"/>
          <w:sz w:val="24"/>
          <w:szCs w:val="24"/>
        </w:rPr>
        <w:t xml:space="preserve"> производство по делам об административных правонарушениях;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производить расчет размера вреда, причиненного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</w:t>
      </w:r>
      <w:r>
        <w:rPr>
          <w:color w:val="000000" w:themeColor="text1"/>
          <w:sz w:val="24"/>
          <w:szCs w:val="24"/>
        </w:rPr>
        <w:t xml:space="preserve">петенции Отдела;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34) </w:t>
      </w:r>
      <w:r>
        <w:rPr>
          <w:color w:val="000000" w:themeColor="text1"/>
          <w:sz w:val="24"/>
          <w:szCs w:val="24"/>
        </w:rPr>
        <w:t xml:space="preserve">направлять через Управление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</w:t>
      </w:r>
      <w:r>
        <w:rPr>
          <w:color w:val="000000" w:themeColor="text1"/>
          <w:sz w:val="24"/>
          <w:szCs w:val="24"/>
        </w:rPr>
        <w:t xml:space="preserve">результате мероприятий по контролю нарушениях </w:t>
      </w:r>
      <w:r>
        <w:rPr>
          <w:color w:val="000000" w:themeColor="text1"/>
          <w:sz w:val="24"/>
          <w:szCs w:val="24"/>
        </w:rPr>
        <w:t xml:space="preserve">для рассмотрения по подведомственности;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принимать участие во взаимодействии</w:t>
      </w:r>
      <w:r>
        <w:rPr>
          <w:color w:val="000000" w:themeColor="text1"/>
          <w:sz w:val="24"/>
          <w:szCs w:val="24"/>
        </w:rPr>
        <w:t xml:space="preserve">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36) осуществлять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работу, проводить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осуществлять обработку персональных данных, доступ к персональным данным в связи с исполнением установлен</w:t>
      </w:r>
      <w:r>
        <w:rPr>
          <w:color w:val="000000" w:themeColor="text1"/>
          <w:sz w:val="24"/>
          <w:szCs w:val="24"/>
        </w:rPr>
        <w:t xml:space="preserve">ных положением об Отделе полномочий;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осуществлять рассмотрение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</w:t>
      </w:r>
      <w:r>
        <w:rPr>
          <w:color w:val="000000" w:themeColor="text1"/>
          <w:sz w:val="24"/>
          <w:szCs w:val="24"/>
        </w:rPr>
        <w:t xml:space="preserve">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</w:t>
      </w:r>
      <w:r>
        <w:rPr>
          <w:color w:val="000000" w:themeColor="text1"/>
          <w:sz w:val="24"/>
          <w:szCs w:val="24"/>
        </w:rPr>
        <w:t xml:space="preserve">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</w:t>
      </w:r>
      <w:r>
        <w:rPr>
          <w:color w:val="000000" w:themeColor="text1"/>
          <w:sz w:val="24"/>
          <w:szCs w:val="24"/>
        </w:rPr>
        <w:t xml:space="preserve">ерждения соответствия лицензиата лицензионным требованиям.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принимать участие в выполнении работ по формированию официальной статистической информации (осуществлять прием от юридических лиц и индивидуальных предпринимателей годовой </w:t>
      </w:r>
      <w:hyperlink r:id="rId20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участвовать в формировании Перечней объектов федерального гос</w:t>
      </w:r>
      <w:r>
        <w:rPr>
          <w:color w:val="000000" w:themeColor="text1"/>
          <w:sz w:val="24"/>
          <w:szCs w:val="24"/>
        </w:rPr>
        <w:t xml:space="preserve">ударственного экологического, земельного контроля (надзора), отнесенных к определенной категории риска, поднадзорных Управлению и расположенных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а также в систематической актуализации Перечней и размещении актуал</w:t>
      </w:r>
      <w:r>
        <w:rPr>
          <w:color w:val="000000" w:themeColor="text1"/>
          <w:sz w:val="24"/>
          <w:szCs w:val="24"/>
        </w:rPr>
        <w:t xml:space="preserve">изированной информации об указанных объектах в подсистеме «Перечень объектов контроля» Кабинета сотрудника ведомства Росприроднадзора;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участвовать в отнесении объектов федерального государственного экологического, земельного контроля (надзора), поднадз</w:t>
      </w:r>
      <w:r>
        <w:rPr>
          <w:color w:val="000000" w:themeColor="text1"/>
          <w:sz w:val="24"/>
          <w:szCs w:val="24"/>
        </w:rPr>
        <w:t xml:space="preserve">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Чукотского автономного округа,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 </w:t>
      </w:r>
      <w:r>
        <w:rPr>
          <w:color w:val="000000" w:themeColor="text1"/>
          <w:sz w:val="24"/>
          <w:szCs w:val="24"/>
        </w:rPr>
        <w:t xml:space="preserve">в систематической актуализации категории риска указанных объектов;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участвовать в обеспечении работы функциональной подсистемы федераль</w:t>
      </w:r>
      <w:r>
        <w:rPr>
          <w:color w:val="000000" w:themeColor="text1"/>
          <w:sz w:val="24"/>
          <w:szCs w:val="24"/>
        </w:rPr>
        <w:t xml:space="preserve">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рассматривать проектную документацию, предусмотренную </w:t>
      </w:r>
      <w:hyperlink r:id="rId21" w:tooltip="https://login.consultant.ru/link/?req=doc&amp;base=LAW&amp;n=471078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технических и технологических решений по обеспечению требований в области охраны окружающей среды;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45) осуществлять полномочия общего хар</w:t>
      </w:r>
      <w:r>
        <w:rPr>
          <w:color w:val="000000" w:themeColor="text1"/>
          <w:sz w:val="24"/>
          <w:szCs w:val="24"/>
        </w:rPr>
        <w:t xml:space="preserve">актера: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 результатах контрольной и надзорной деятельности в области охраны окружающей среды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с представлением ее Управлению в составе, объеме и в сроки, устанавливаемые Роспр</w:t>
      </w:r>
      <w:r>
        <w:rPr>
          <w:color w:val="000000" w:themeColor="text1"/>
          <w:sz w:val="24"/>
          <w:szCs w:val="24"/>
        </w:rPr>
        <w:t xml:space="preserve">ироднадзором, Управлением;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работа в подсистемах Кабинета сотрудника ведомства Росприроднадзора;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</w:t>
      </w:r>
      <w:r>
        <w:rPr>
          <w:color w:val="000000" w:themeColor="text1"/>
          <w:sz w:val="24"/>
          <w:szCs w:val="24"/>
        </w:rPr>
        <w:t xml:space="preserve">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подготовка материалов и письменного мнения (при необходимости) по вопросам, отнесенным к компетенции Отдела, для направления в арбитражные суды, су</w:t>
      </w:r>
      <w:r>
        <w:rPr>
          <w:color w:val="000000" w:themeColor="text1"/>
          <w:sz w:val="24"/>
          <w:szCs w:val="24"/>
        </w:rPr>
        <w:t xml:space="preserve">ды общей юрисдикции исков, заявлений, отзывов, возражений на заявления;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подготовка проектов приказов, распо</w:t>
      </w:r>
      <w:r>
        <w:rPr>
          <w:color w:val="000000" w:themeColor="text1"/>
          <w:sz w:val="24"/>
          <w:szCs w:val="24"/>
        </w:rPr>
        <w:t xml:space="preserve">ряжений, решений и иных документов Управления по вопросам, входящим в его компетенцию.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исполняет иные обязанности, предусмотренные законодательством Российской Федерации, приказами, 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Отд</w:t>
      </w:r>
      <w:r>
        <w:rPr>
          <w:color w:val="000000" w:themeColor="text1"/>
          <w:sz w:val="24"/>
          <w:szCs w:val="24"/>
        </w:rPr>
        <w:t xml:space="preserve">ела, заместителя руководителя Управления, руководителя 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59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неисполнение или ненадлежащее исполнен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17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17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69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118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59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59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Управления, изъявивший желание участвовать в конкурсе,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0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59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45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5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5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58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22" w:tooltip="mailto:petrovskaya.mv@rpn.gov.ru" w:history="1">
        <w:r>
          <w:rPr>
            <w:rStyle w:val="941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1249"/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59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23" w:tooltip="https://mintrud.gov.ru/testing/default/index" w:history="1">
        <w:r>
          <w:rPr>
            <w:rStyle w:val="1201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201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9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59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15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29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59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9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9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59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9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9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25"/>
                          </w:pPr>
                          <w:r/>
                          <w:r/>
                        </w:p>
                        <w:p>
                          <w:pPr>
                            <w:pStyle w:val="959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25"/>
                    </w:pPr>
                    <w:r/>
                    <w:r/>
                  </w:p>
                  <w:p>
                    <w:pPr>
                      <w:pStyle w:val="959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60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61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62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63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64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65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66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67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68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38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  <w:rPr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22"/>
      <w:numFmt w:val="decimal"/>
      <w:isLgl w:val="false"/>
      <w:suff w:val="tab"/>
      <w:lvlText w:val="%1)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1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>
    <w:name w:val="Heading 1"/>
    <w:basedOn w:val="959"/>
    <w:next w:val="959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3">
    <w:name w:val="Heading 1 Char"/>
    <w:link w:val="782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59"/>
    <w:next w:val="959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59"/>
    <w:next w:val="959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59"/>
    <w:next w:val="959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9"/>
    <w:next w:val="959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9"/>
    <w:next w:val="959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59"/>
    <w:next w:val="959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59"/>
    <w:next w:val="959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59"/>
    <w:next w:val="959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No Spacing"/>
    <w:uiPriority w:val="1"/>
    <w:qFormat/>
    <w:pPr>
      <w:spacing w:before="0" w:after="0" w:line="240" w:lineRule="auto"/>
    </w:pPr>
  </w:style>
  <w:style w:type="paragraph" w:styleId="801">
    <w:name w:val="Title"/>
    <w:basedOn w:val="959"/>
    <w:next w:val="959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>
    <w:name w:val="Title Char"/>
    <w:link w:val="801"/>
    <w:uiPriority w:val="10"/>
    <w:rPr>
      <w:sz w:val="48"/>
      <w:szCs w:val="48"/>
    </w:rPr>
  </w:style>
  <w:style w:type="paragraph" w:styleId="803">
    <w:name w:val="Subtitle"/>
    <w:basedOn w:val="959"/>
    <w:next w:val="959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>
    <w:name w:val="Subtitle Char"/>
    <w:link w:val="803"/>
    <w:uiPriority w:val="11"/>
    <w:rPr>
      <w:sz w:val="24"/>
      <w:szCs w:val="24"/>
    </w:rPr>
  </w:style>
  <w:style w:type="paragraph" w:styleId="805">
    <w:name w:val="Quote"/>
    <w:basedOn w:val="959"/>
    <w:next w:val="959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9"/>
    <w:next w:val="959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paragraph" w:styleId="809">
    <w:name w:val="Header"/>
    <w:basedOn w:val="959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Header Char"/>
    <w:link w:val="809"/>
    <w:uiPriority w:val="99"/>
  </w:style>
  <w:style w:type="paragraph" w:styleId="811">
    <w:name w:val="Footer"/>
    <w:basedOn w:val="959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2">
    <w:name w:val="Footer Char"/>
    <w:link w:val="811"/>
    <w:uiPriority w:val="99"/>
  </w:style>
  <w:style w:type="paragraph" w:styleId="813">
    <w:name w:val="Caption"/>
    <w:basedOn w:val="959"/>
    <w:next w:val="959"/>
    <w:link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4">
    <w:name w:val="Caption Char"/>
    <w:link w:val="813"/>
    <w:uiPriority w:val="35"/>
    <w:rPr>
      <w:b/>
      <w:bCs/>
      <w:color w:val="4f81bd" w:themeColor="accent1"/>
      <w:sz w:val="18"/>
      <w:szCs w:val="18"/>
    </w:rPr>
  </w:style>
  <w:style w:type="table" w:styleId="8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1">
    <w:name w:val="Hyperlink"/>
    <w:uiPriority w:val="99"/>
    <w:unhideWhenUsed/>
    <w:rPr>
      <w:color w:val="0000ff" w:themeColor="hyperlink"/>
      <w:u w:val="single"/>
    </w:rPr>
  </w:style>
  <w:style w:type="paragraph" w:styleId="942">
    <w:name w:val="footnote text"/>
    <w:basedOn w:val="959"/>
    <w:link w:val="943"/>
    <w:uiPriority w:val="99"/>
    <w:semiHidden/>
    <w:unhideWhenUsed/>
    <w:pPr>
      <w:spacing w:after="40" w:line="240" w:lineRule="auto"/>
    </w:pPr>
    <w:rPr>
      <w:sz w:val="18"/>
    </w:rPr>
  </w:style>
  <w:style w:type="character" w:styleId="943">
    <w:name w:val="Footnote Text Char"/>
    <w:link w:val="942"/>
    <w:uiPriority w:val="99"/>
    <w:rPr>
      <w:sz w:val="18"/>
    </w:rPr>
  </w:style>
  <w:style w:type="character" w:styleId="944">
    <w:name w:val="footnote reference"/>
    <w:uiPriority w:val="99"/>
    <w:unhideWhenUsed/>
    <w:rPr>
      <w:vertAlign w:val="superscript"/>
    </w:rPr>
  </w:style>
  <w:style w:type="paragraph" w:styleId="945">
    <w:name w:val="endnote text"/>
    <w:basedOn w:val="959"/>
    <w:link w:val="946"/>
    <w:uiPriority w:val="99"/>
    <w:semiHidden/>
    <w:unhideWhenUsed/>
    <w:pPr>
      <w:spacing w:after="0" w:line="240" w:lineRule="auto"/>
    </w:pPr>
    <w:rPr>
      <w:sz w:val="20"/>
    </w:rPr>
  </w:style>
  <w:style w:type="character" w:styleId="946">
    <w:name w:val="Endnote Text Char"/>
    <w:link w:val="945"/>
    <w:uiPriority w:val="99"/>
    <w:rPr>
      <w:sz w:val="20"/>
    </w:rPr>
  </w:style>
  <w:style w:type="character" w:styleId="947">
    <w:name w:val="endnote reference"/>
    <w:uiPriority w:val="99"/>
    <w:semiHidden/>
    <w:unhideWhenUsed/>
    <w:rPr>
      <w:vertAlign w:val="superscript"/>
    </w:rPr>
  </w:style>
  <w:style w:type="paragraph" w:styleId="948">
    <w:name w:val="toc 1"/>
    <w:basedOn w:val="959"/>
    <w:next w:val="959"/>
    <w:uiPriority w:val="39"/>
    <w:unhideWhenUsed/>
    <w:pPr>
      <w:ind w:left="0" w:right="0" w:firstLine="0"/>
      <w:spacing w:after="57"/>
    </w:pPr>
  </w:style>
  <w:style w:type="paragraph" w:styleId="949">
    <w:name w:val="toc 2"/>
    <w:basedOn w:val="959"/>
    <w:next w:val="959"/>
    <w:uiPriority w:val="39"/>
    <w:unhideWhenUsed/>
    <w:pPr>
      <w:ind w:left="283" w:right="0" w:firstLine="0"/>
      <w:spacing w:after="57"/>
    </w:pPr>
  </w:style>
  <w:style w:type="paragraph" w:styleId="950">
    <w:name w:val="toc 3"/>
    <w:basedOn w:val="959"/>
    <w:next w:val="959"/>
    <w:uiPriority w:val="39"/>
    <w:unhideWhenUsed/>
    <w:pPr>
      <w:ind w:left="567" w:right="0" w:firstLine="0"/>
      <w:spacing w:after="57"/>
    </w:pPr>
  </w:style>
  <w:style w:type="paragraph" w:styleId="951">
    <w:name w:val="toc 4"/>
    <w:basedOn w:val="959"/>
    <w:next w:val="959"/>
    <w:uiPriority w:val="39"/>
    <w:unhideWhenUsed/>
    <w:pPr>
      <w:ind w:left="850" w:right="0" w:firstLine="0"/>
      <w:spacing w:after="57"/>
    </w:pPr>
  </w:style>
  <w:style w:type="paragraph" w:styleId="952">
    <w:name w:val="toc 5"/>
    <w:basedOn w:val="959"/>
    <w:next w:val="959"/>
    <w:uiPriority w:val="39"/>
    <w:unhideWhenUsed/>
    <w:pPr>
      <w:ind w:left="1134" w:right="0" w:firstLine="0"/>
      <w:spacing w:after="57"/>
    </w:pPr>
  </w:style>
  <w:style w:type="paragraph" w:styleId="953">
    <w:name w:val="toc 6"/>
    <w:basedOn w:val="959"/>
    <w:next w:val="959"/>
    <w:uiPriority w:val="39"/>
    <w:unhideWhenUsed/>
    <w:pPr>
      <w:ind w:left="1417" w:right="0" w:firstLine="0"/>
      <w:spacing w:after="57"/>
    </w:pPr>
  </w:style>
  <w:style w:type="paragraph" w:styleId="954">
    <w:name w:val="toc 7"/>
    <w:basedOn w:val="959"/>
    <w:next w:val="959"/>
    <w:uiPriority w:val="39"/>
    <w:unhideWhenUsed/>
    <w:pPr>
      <w:ind w:left="1701" w:right="0" w:firstLine="0"/>
      <w:spacing w:after="57"/>
    </w:pPr>
  </w:style>
  <w:style w:type="paragraph" w:styleId="955">
    <w:name w:val="toc 8"/>
    <w:basedOn w:val="959"/>
    <w:next w:val="959"/>
    <w:uiPriority w:val="39"/>
    <w:unhideWhenUsed/>
    <w:pPr>
      <w:ind w:left="1984" w:right="0" w:firstLine="0"/>
      <w:spacing w:after="57"/>
    </w:pPr>
  </w:style>
  <w:style w:type="paragraph" w:styleId="956">
    <w:name w:val="toc 9"/>
    <w:basedOn w:val="959"/>
    <w:next w:val="959"/>
    <w:uiPriority w:val="39"/>
    <w:unhideWhenUsed/>
    <w:pPr>
      <w:ind w:left="2268" w:right="0" w:firstLine="0"/>
      <w:spacing w:after="57"/>
    </w:pPr>
  </w:style>
  <w:style w:type="paragraph" w:styleId="957">
    <w:name w:val="TOC Heading"/>
    <w:uiPriority w:val="39"/>
    <w:unhideWhenUsed/>
  </w:style>
  <w:style w:type="paragraph" w:styleId="958">
    <w:name w:val="table of figures"/>
    <w:basedOn w:val="959"/>
    <w:next w:val="959"/>
    <w:uiPriority w:val="99"/>
    <w:unhideWhenUsed/>
    <w:pPr>
      <w:spacing w:after="0" w:afterAutospacing="0"/>
    </w:pPr>
  </w:style>
  <w:style w:type="paragraph" w:styleId="959" w:default="1">
    <w:name w:val="Normal"/>
    <w:next w:val="959"/>
    <w:link w:val="959"/>
    <w:qFormat/>
    <w:rPr>
      <w:lang w:val="ru-RU" w:eastAsia="ar-SA" w:bidi="ar-SA"/>
    </w:rPr>
  </w:style>
  <w:style w:type="paragraph" w:styleId="960">
    <w:name w:val="Заголовок 1"/>
    <w:basedOn w:val="959"/>
    <w:next w:val="959"/>
    <w:link w:val="959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61">
    <w:name w:val="Заголовок 2"/>
    <w:basedOn w:val="959"/>
    <w:next w:val="959"/>
    <w:link w:val="959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62">
    <w:name w:val="Заголовок 3"/>
    <w:basedOn w:val="959"/>
    <w:next w:val="959"/>
    <w:link w:val="959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63">
    <w:name w:val="Заголовок 4"/>
    <w:basedOn w:val="959"/>
    <w:next w:val="959"/>
    <w:link w:val="959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64">
    <w:name w:val="Заголовок 5"/>
    <w:basedOn w:val="959"/>
    <w:next w:val="959"/>
    <w:link w:val="959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65">
    <w:name w:val="Заголовок 6"/>
    <w:basedOn w:val="959"/>
    <w:next w:val="959"/>
    <w:link w:val="959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66">
    <w:name w:val="Заголовок 7"/>
    <w:basedOn w:val="959"/>
    <w:next w:val="959"/>
    <w:link w:val="959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67">
    <w:name w:val="Заголовок 8"/>
    <w:basedOn w:val="959"/>
    <w:next w:val="959"/>
    <w:link w:val="959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68">
    <w:name w:val="Заголовок 9"/>
    <w:basedOn w:val="959"/>
    <w:next w:val="959"/>
    <w:link w:val="959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69">
    <w:name w:val="Основной шрифт абзаца"/>
    <w:next w:val="969"/>
    <w:link w:val="959"/>
    <w:uiPriority w:val="1"/>
    <w:semiHidden/>
    <w:unhideWhenUsed/>
  </w:style>
  <w:style w:type="table" w:styleId="970">
    <w:name w:val="Обычная таблица"/>
    <w:next w:val="970"/>
    <w:link w:val="959"/>
    <w:uiPriority w:val="99"/>
    <w:semiHidden/>
    <w:unhideWhenUsed/>
    <w:tblPr/>
  </w:style>
  <w:style w:type="numbering" w:styleId="971">
    <w:name w:val="Нет списка"/>
    <w:next w:val="971"/>
    <w:link w:val="959"/>
    <w:uiPriority w:val="99"/>
    <w:semiHidden/>
    <w:unhideWhenUsed/>
  </w:style>
  <w:style w:type="character" w:styleId="972">
    <w:name w:val="WW8Num1z0"/>
    <w:next w:val="972"/>
    <w:link w:val="959"/>
    <w:rPr>
      <w:rFonts w:ascii="Times New Roman" w:hAnsi="Times New Roman" w:cs="Times New Roman"/>
      <w:sz w:val="22"/>
      <w:szCs w:val="22"/>
    </w:rPr>
  </w:style>
  <w:style w:type="character" w:styleId="973">
    <w:name w:val="WW8Num2z0"/>
    <w:next w:val="973"/>
    <w:link w:val="959"/>
    <w:rPr>
      <w:b/>
      <w:i w:val="0"/>
      <w:sz w:val="22"/>
      <w:szCs w:val="22"/>
    </w:rPr>
  </w:style>
  <w:style w:type="character" w:styleId="974">
    <w:name w:val="WW8Num2z1"/>
    <w:next w:val="974"/>
    <w:link w:val="959"/>
  </w:style>
  <w:style w:type="character" w:styleId="975">
    <w:name w:val="WW8Num2z2"/>
    <w:next w:val="975"/>
    <w:link w:val="959"/>
  </w:style>
  <w:style w:type="character" w:styleId="976">
    <w:name w:val="WW8Num2z3"/>
    <w:next w:val="976"/>
    <w:link w:val="959"/>
  </w:style>
  <w:style w:type="character" w:styleId="977">
    <w:name w:val="WW8Num2z4"/>
    <w:next w:val="977"/>
    <w:link w:val="959"/>
  </w:style>
  <w:style w:type="character" w:styleId="978">
    <w:name w:val="WW8Num2z5"/>
    <w:next w:val="978"/>
    <w:link w:val="959"/>
  </w:style>
  <w:style w:type="character" w:styleId="979">
    <w:name w:val="WW8Num2z6"/>
    <w:next w:val="979"/>
    <w:link w:val="959"/>
  </w:style>
  <w:style w:type="character" w:styleId="980">
    <w:name w:val="WW8Num2z7"/>
    <w:next w:val="980"/>
    <w:link w:val="959"/>
  </w:style>
  <w:style w:type="character" w:styleId="981">
    <w:name w:val="WW8Num2z8"/>
    <w:next w:val="981"/>
    <w:link w:val="959"/>
  </w:style>
  <w:style w:type="character" w:styleId="982">
    <w:name w:val="WW8Num3z0"/>
    <w:next w:val="982"/>
    <w:link w:val="959"/>
  </w:style>
  <w:style w:type="character" w:styleId="983">
    <w:name w:val="WW8Num3z1"/>
    <w:next w:val="983"/>
    <w:link w:val="959"/>
  </w:style>
  <w:style w:type="character" w:styleId="984">
    <w:name w:val="WW8Num3z2"/>
    <w:next w:val="984"/>
    <w:link w:val="959"/>
  </w:style>
  <w:style w:type="character" w:styleId="985">
    <w:name w:val="WW8Num3z3"/>
    <w:next w:val="985"/>
    <w:link w:val="959"/>
  </w:style>
  <w:style w:type="character" w:styleId="986">
    <w:name w:val="WW8Num3z4"/>
    <w:next w:val="986"/>
    <w:link w:val="959"/>
  </w:style>
  <w:style w:type="character" w:styleId="987">
    <w:name w:val="WW8Num3z5"/>
    <w:next w:val="987"/>
    <w:link w:val="959"/>
  </w:style>
  <w:style w:type="character" w:styleId="988">
    <w:name w:val="WW8Num3z6"/>
    <w:next w:val="988"/>
    <w:link w:val="959"/>
  </w:style>
  <w:style w:type="character" w:styleId="989">
    <w:name w:val="WW8Num3z7"/>
    <w:next w:val="989"/>
    <w:link w:val="959"/>
  </w:style>
  <w:style w:type="character" w:styleId="990">
    <w:name w:val="WW8Num3z8"/>
    <w:next w:val="990"/>
    <w:link w:val="959"/>
  </w:style>
  <w:style w:type="character" w:styleId="991">
    <w:name w:val="WW8Num4z0"/>
    <w:next w:val="991"/>
    <w:link w:val="959"/>
  </w:style>
  <w:style w:type="character" w:styleId="992">
    <w:name w:val="WW8Num4z1"/>
    <w:next w:val="992"/>
    <w:link w:val="959"/>
  </w:style>
  <w:style w:type="character" w:styleId="993">
    <w:name w:val="WW8Num4z2"/>
    <w:next w:val="993"/>
    <w:link w:val="959"/>
  </w:style>
  <w:style w:type="character" w:styleId="994">
    <w:name w:val="WW8Num4z3"/>
    <w:next w:val="994"/>
    <w:link w:val="959"/>
  </w:style>
  <w:style w:type="character" w:styleId="995">
    <w:name w:val="WW8Num4z4"/>
    <w:next w:val="995"/>
    <w:link w:val="959"/>
  </w:style>
  <w:style w:type="character" w:styleId="996">
    <w:name w:val="WW8Num4z5"/>
    <w:next w:val="996"/>
    <w:link w:val="959"/>
  </w:style>
  <w:style w:type="character" w:styleId="997">
    <w:name w:val="WW8Num4z6"/>
    <w:next w:val="997"/>
    <w:link w:val="959"/>
  </w:style>
  <w:style w:type="character" w:styleId="998">
    <w:name w:val="WW8Num4z7"/>
    <w:next w:val="998"/>
    <w:link w:val="959"/>
  </w:style>
  <w:style w:type="character" w:styleId="999">
    <w:name w:val="WW8Num4z8"/>
    <w:next w:val="999"/>
    <w:link w:val="959"/>
  </w:style>
  <w:style w:type="character" w:styleId="1000">
    <w:name w:val="WW8Num5z0"/>
    <w:next w:val="1000"/>
    <w:link w:val="959"/>
  </w:style>
  <w:style w:type="character" w:styleId="1001">
    <w:name w:val="WW8Num6z0"/>
    <w:next w:val="1001"/>
    <w:link w:val="959"/>
    <w:rPr>
      <w:rFonts w:ascii="Times New Roman" w:hAnsi="Times New Roman" w:eastAsia="Times New Roman" w:cs="Times New Roman"/>
    </w:rPr>
  </w:style>
  <w:style w:type="character" w:styleId="1002">
    <w:name w:val="WW8Num7z0"/>
    <w:next w:val="1002"/>
    <w:link w:val="959"/>
    <w:rPr>
      <w:rFonts w:ascii="Times New Roman" w:hAnsi="Times New Roman" w:eastAsia="Times New Roman" w:cs="Times New Roman"/>
      <w:b/>
    </w:rPr>
  </w:style>
  <w:style w:type="character" w:styleId="1003">
    <w:name w:val="WW8Num7z1"/>
    <w:next w:val="1003"/>
    <w:link w:val="959"/>
  </w:style>
  <w:style w:type="character" w:styleId="1004">
    <w:name w:val="WW8Num7z2"/>
    <w:next w:val="1004"/>
    <w:link w:val="959"/>
  </w:style>
  <w:style w:type="character" w:styleId="1005">
    <w:name w:val="WW8Num7z3"/>
    <w:next w:val="1005"/>
    <w:link w:val="959"/>
  </w:style>
  <w:style w:type="character" w:styleId="1006">
    <w:name w:val="WW8Num7z4"/>
    <w:next w:val="1006"/>
    <w:link w:val="959"/>
  </w:style>
  <w:style w:type="character" w:styleId="1007">
    <w:name w:val="WW8Num7z5"/>
    <w:next w:val="1007"/>
    <w:link w:val="959"/>
  </w:style>
  <w:style w:type="character" w:styleId="1008">
    <w:name w:val="WW8Num7z6"/>
    <w:next w:val="1008"/>
    <w:link w:val="959"/>
  </w:style>
  <w:style w:type="character" w:styleId="1009">
    <w:name w:val="WW8Num7z7"/>
    <w:next w:val="1009"/>
    <w:link w:val="959"/>
  </w:style>
  <w:style w:type="character" w:styleId="1010">
    <w:name w:val="WW8Num7z8"/>
    <w:next w:val="1010"/>
    <w:link w:val="959"/>
  </w:style>
  <w:style w:type="character" w:styleId="1011">
    <w:name w:val="WW8Num8z0"/>
    <w:next w:val="1011"/>
    <w:link w:val="959"/>
    <w:rPr>
      <w:sz w:val="22"/>
      <w:szCs w:val="22"/>
    </w:rPr>
  </w:style>
  <w:style w:type="character" w:styleId="1012">
    <w:name w:val="WW8Num9z0"/>
    <w:next w:val="1012"/>
    <w:link w:val="959"/>
    <w:rPr>
      <w:rFonts w:ascii="Wingdings" w:hAnsi="Wingdings" w:cs="Wingdings"/>
    </w:rPr>
  </w:style>
  <w:style w:type="character" w:styleId="1013">
    <w:name w:val="WW8Num9z1"/>
    <w:next w:val="1013"/>
    <w:link w:val="959"/>
    <w:rPr>
      <w:rFonts w:ascii="Courier New" w:hAnsi="Courier New" w:cs="Courier New"/>
    </w:rPr>
  </w:style>
  <w:style w:type="character" w:styleId="1014">
    <w:name w:val="WW8Num9z3"/>
    <w:next w:val="1014"/>
    <w:link w:val="959"/>
    <w:rPr>
      <w:rFonts w:ascii="Symbol" w:hAnsi="Symbol" w:cs="Symbol"/>
    </w:rPr>
  </w:style>
  <w:style w:type="character" w:styleId="1015">
    <w:name w:val="WW8Num10z0"/>
    <w:next w:val="1015"/>
    <w:link w:val="959"/>
    <w:rPr>
      <w:rFonts w:ascii="Times New Roman" w:hAnsi="Times New Roman" w:cs="Times New Roman"/>
    </w:rPr>
  </w:style>
  <w:style w:type="character" w:styleId="1016">
    <w:name w:val="WW8Num11z0"/>
    <w:next w:val="1016"/>
    <w:link w:val="959"/>
  </w:style>
  <w:style w:type="character" w:styleId="1017">
    <w:name w:val="WW8Num11z1"/>
    <w:next w:val="1017"/>
    <w:link w:val="959"/>
  </w:style>
  <w:style w:type="character" w:styleId="1018">
    <w:name w:val="WW8Num11z2"/>
    <w:next w:val="1018"/>
    <w:link w:val="959"/>
  </w:style>
  <w:style w:type="character" w:styleId="1019">
    <w:name w:val="WW8Num11z3"/>
    <w:next w:val="1019"/>
    <w:link w:val="959"/>
  </w:style>
  <w:style w:type="character" w:styleId="1020">
    <w:name w:val="WW8Num11z4"/>
    <w:next w:val="1020"/>
    <w:link w:val="959"/>
  </w:style>
  <w:style w:type="character" w:styleId="1021">
    <w:name w:val="WW8Num11z5"/>
    <w:next w:val="1021"/>
    <w:link w:val="959"/>
  </w:style>
  <w:style w:type="character" w:styleId="1022">
    <w:name w:val="WW8Num11z6"/>
    <w:next w:val="1022"/>
    <w:link w:val="959"/>
  </w:style>
  <w:style w:type="character" w:styleId="1023">
    <w:name w:val="WW8Num11z7"/>
    <w:next w:val="1023"/>
    <w:link w:val="959"/>
  </w:style>
  <w:style w:type="character" w:styleId="1024">
    <w:name w:val="WW8Num11z8"/>
    <w:next w:val="1024"/>
    <w:link w:val="959"/>
  </w:style>
  <w:style w:type="character" w:styleId="1025">
    <w:name w:val="WW8Num12z0"/>
    <w:next w:val="1025"/>
    <w:link w:val="959"/>
  </w:style>
  <w:style w:type="character" w:styleId="1026">
    <w:name w:val="WW8Num12z1"/>
    <w:next w:val="1026"/>
    <w:link w:val="959"/>
  </w:style>
  <w:style w:type="character" w:styleId="1027">
    <w:name w:val="WW8Num12z2"/>
    <w:next w:val="1027"/>
    <w:link w:val="959"/>
  </w:style>
  <w:style w:type="character" w:styleId="1028">
    <w:name w:val="WW8Num12z3"/>
    <w:next w:val="1028"/>
    <w:link w:val="959"/>
  </w:style>
  <w:style w:type="character" w:styleId="1029">
    <w:name w:val="WW8Num12z4"/>
    <w:next w:val="1029"/>
    <w:link w:val="959"/>
  </w:style>
  <w:style w:type="character" w:styleId="1030">
    <w:name w:val="WW8Num12z5"/>
    <w:next w:val="1030"/>
    <w:link w:val="959"/>
  </w:style>
  <w:style w:type="character" w:styleId="1031">
    <w:name w:val="WW8Num12z6"/>
    <w:next w:val="1031"/>
    <w:link w:val="959"/>
  </w:style>
  <w:style w:type="character" w:styleId="1032">
    <w:name w:val="WW8Num12z7"/>
    <w:next w:val="1032"/>
    <w:link w:val="959"/>
  </w:style>
  <w:style w:type="character" w:styleId="1033">
    <w:name w:val="WW8Num12z8"/>
    <w:next w:val="1033"/>
    <w:link w:val="959"/>
  </w:style>
  <w:style w:type="character" w:styleId="1034">
    <w:name w:val="WW8Num13z0"/>
    <w:next w:val="1034"/>
    <w:link w:val="959"/>
  </w:style>
  <w:style w:type="character" w:styleId="1035">
    <w:name w:val="WW8Num13z1"/>
    <w:next w:val="1035"/>
    <w:link w:val="959"/>
  </w:style>
  <w:style w:type="character" w:styleId="1036">
    <w:name w:val="WW8Num13z2"/>
    <w:next w:val="1036"/>
    <w:link w:val="959"/>
  </w:style>
  <w:style w:type="character" w:styleId="1037">
    <w:name w:val="WW8Num13z3"/>
    <w:next w:val="1037"/>
    <w:link w:val="959"/>
  </w:style>
  <w:style w:type="character" w:styleId="1038">
    <w:name w:val="WW8Num13z4"/>
    <w:next w:val="1038"/>
    <w:link w:val="959"/>
  </w:style>
  <w:style w:type="character" w:styleId="1039">
    <w:name w:val="WW8Num13z5"/>
    <w:next w:val="1039"/>
    <w:link w:val="959"/>
  </w:style>
  <w:style w:type="character" w:styleId="1040">
    <w:name w:val="WW8Num13z6"/>
    <w:next w:val="1040"/>
    <w:link w:val="959"/>
  </w:style>
  <w:style w:type="character" w:styleId="1041">
    <w:name w:val="WW8Num13z7"/>
    <w:next w:val="1041"/>
    <w:link w:val="959"/>
  </w:style>
  <w:style w:type="character" w:styleId="1042">
    <w:name w:val="WW8Num13z8"/>
    <w:next w:val="1042"/>
    <w:link w:val="959"/>
  </w:style>
  <w:style w:type="character" w:styleId="1043">
    <w:name w:val="WW8Num14z0"/>
    <w:next w:val="1043"/>
    <w:link w:val="959"/>
  </w:style>
  <w:style w:type="character" w:styleId="1044">
    <w:name w:val="WW8Num15z0"/>
    <w:next w:val="1044"/>
    <w:link w:val="959"/>
  </w:style>
  <w:style w:type="character" w:styleId="1045">
    <w:name w:val="WW8Num16z0"/>
    <w:next w:val="1045"/>
    <w:link w:val="959"/>
  </w:style>
  <w:style w:type="character" w:styleId="1046">
    <w:name w:val="WW8Num16z1"/>
    <w:next w:val="1046"/>
    <w:link w:val="959"/>
  </w:style>
  <w:style w:type="character" w:styleId="1047">
    <w:name w:val="WW8Num16z2"/>
    <w:next w:val="1047"/>
    <w:link w:val="959"/>
  </w:style>
  <w:style w:type="character" w:styleId="1048">
    <w:name w:val="WW8Num16z3"/>
    <w:next w:val="1048"/>
    <w:link w:val="959"/>
  </w:style>
  <w:style w:type="character" w:styleId="1049">
    <w:name w:val="WW8Num16z4"/>
    <w:next w:val="1049"/>
    <w:link w:val="959"/>
  </w:style>
  <w:style w:type="character" w:styleId="1050">
    <w:name w:val="WW8Num16z5"/>
    <w:next w:val="1050"/>
    <w:link w:val="959"/>
  </w:style>
  <w:style w:type="character" w:styleId="1051">
    <w:name w:val="WW8Num16z6"/>
    <w:next w:val="1051"/>
    <w:link w:val="959"/>
  </w:style>
  <w:style w:type="character" w:styleId="1052">
    <w:name w:val="WW8Num16z7"/>
    <w:next w:val="1052"/>
    <w:link w:val="959"/>
  </w:style>
  <w:style w:type="character" w:styleId="1053">
    <w:name w:val="WW8Num16z8"/>
    <w:next w:val="1053"/>
    <w:link w:val="959"/>
  </w:style>
  <w:style w:type="character" w:styleId="1054">
    <w:name w:val="WW8Num17z0"/>
    <w:next w:val="1054"/>
    <w:link w:val="959"/>
    <w:rPr>
      <w:b/>
    </w:rPr>
  </w:style>
  <w:style w:type="character" w:styleId="1055">
    <w:name w:val="WW8Num17z1"/>
    <w:next w:val="1055"/>
    <w:link w:val="959"/>
  </w:style>
  <w:style w:type="character" w:styleId="1056">
    <w:name w:val="WW8Num17z2"/>
    <w:next w:val="1056"/>
    <w:link w:val="959"/>
  </w:style>
  <w:style w:type="character" w:styleId="1057">
    <w:name w:val="WW8Num17z3"/>
    <w:next w:val="1057"/>
    <w:link w:val="959"/>
  </w:style>
  <w:style w:type="character" w:styleId="1058">
    <w:name w:val="WW8Num17z4"/>
    <w:next w:val="1058"/>
    <w:link w:val="959"/>
  </w:style>
  <w:style w:type="character" w:styleId="1059">
    <w:name w:val="WW8Num17z5"/>
    <w:next w:val="1059"/>
    <w:link w:val="959"/>
  </w:style>
  <w:style w:type="character" w:styleId="1060">
    <w:name w:val="WW8Num17z6"/>
    <w:next w:val="1060"/>
    <w:link w:val="959"/>
  </w:style>
  <w:style w:type="character" w:styleId="1061">
    <w:name w:val="WW8Num17z7"/>
    <w:next w:val="1061"/>
    <w:link w:val="959"/>
  </w:style>
  <w:style w:type="character" w:styleId="1062">
    <w:name w:val="WW8Num17z8"/>
    <w:next w:val="1062"/>
    <w:link w:val="959"/>
  </w:style>
  <w:style w:type="character" w:styleId="1063">
    <w:name w:val="WW8Num18z0"/>
    <w:next w:val="1063"/>
    <w:link w:val="959"/>
    <w:rPr>
      <w:rFonts w:ascii="Wingdings" w:hAnsi="Wingdings" w:cs="Wingdings"/>
    </w:rPr>
  </w:style>
  <w:style w:type="character" w:styleId="1064">
    <w:name w:val="WW8Num18z1"/>
    <w:next w:val="1064"/>
    <w:link w:val="959"/>
    <w:rPr>
      <w:rFonts w:ascii="Courier New" w:hAnsi="Courier New" w:cs="Courier New"/>
    </w:rPr>
  </w:style>
  <w:style w:type="character" w:styleId="1065">
    <w:name w:val="WW8Num18z3"/>
    <w:next w:val="1065"/>
    <w:link w:val="959"/>
    <w:rPr>
      <w:rFonts w:ascii="Symbol" w:hAnsi="Symbol" w:cs="Symbol"/>
    </w:rPr>
  </w:style>
  <w:style w:type="character" w:styleId="1066">
    <w:name w:val="WW8Num19z0"/>
    <w:next w:val="1066"/>
    <w:link w:val="959"/>
  </w:style>
  <w:style w:type="character" w:styleId="1067">
    <w:name w:val="WW8Num20z0"/>
    <w:next w:val="1067"/>
    <w:link w:val="959"/>
  </w:style>
  <w:style w:type="character" w:styleId="1068">
    <w:name w:val="WW8Num20z1"/>
    <w:next w:val="1068"/>
    <w:link w:val="959"/>
  </w:style>
  <w:style w:type="character" w:styleId="1069">
    <w:name w:val="WW8Num20z2"/>
    <w:next w:val="1069"/>
    <w:link w:val="959"/>
  </w:style>
  <w:style w:type="character" w:styleId="1070">
    <w:name w:val="WW8Num20z3"/>
    <w:next w:val="1070"/>
    <w:link w:val="959"/>
  </w:style>
  <w:style w:type="character" w:styleId="1071">
    <w:name w:val="WW8Num20z4"/>
    <w:next w:val="1071"/>
    <w:link w:val="959"/>
  </w:style>
  <w:style w:type="character" w:styleId="1072">
    <w:name w:val="WW8Num20z5"/>
    <w:next w:val="1072"/>
    <w:link w:val="959"/>
  </w:style>
  <w:style w:type="character" w:styleId="1073">
    <w:name w:val="WW8Num20z6"/>
    <w:next w:val="1073"/>
    <w:link w:val="959"/>
  </w:style>
  <w:style w:type="character" w:styleId="1074">
    <w:name w:val="WW8Num20z7"/>
    <w:next w:val="1074"/>
    <w:link w:val="959"/>
  </w:style>
  <w:style w:type="character" w:styleId="1075">
    <w:name w:val="WW8Num20z8"/>
    <w:next w:val="1075"/>
    <w:link w:val="959"/>
  </w:style>
  <w:style w:type="character" w:styleId="1076">
    <w:name w:val="WW8Num21z0"/>
    <w:next w:val="1076"/>
    <w:link w:val="959"/>
  </w:style>
  <w:style w:type="character" w:styleId="1077">
    <w:name w:val="WW8Num22z0"/>
    <w:next w:val="1077"/>
    <w:link w:val="959"/>
    <w:rPr>
      <w:rFonts w:ascii="Wingdings" w:hAnsi="Wingdings" w:cs="Wingdings"/>
    </w:rPr>
  </w:style>
  <w:style w:type="character" w:styleId="1078">
    <w:name w:val="WW8Num22z1"/>
    <w:next w:val="1078"/>
    <w:link w:val="959"/>
    <w:rPr>
      <w:rFonts w:ascii="Courier New" w:hAnsi="Courier New" w:cs="Courier New"/>
    </w:rPr>
  </w:style>
  <w:style w:type="character" w:styleId="1079">
    <w:name w:val="WW8Num22z3"/>
    <w:next w:val="1079"/>
    <w:link w:val="959"/>
    <w:rPr>
      <w:rFonts w:ascii="Symbol" w:hAnsi="Symbol" w:cs="Symbol"/>
    </w:rPr>
  </w:style>
  <w:style w:type="character" w:styleId="1080">
    <w:name w:val="WW8Num23z0"/>
    <w:next w:val="1080"/>
    <w:link w:val="959"/>
  </w:style>
  <w:style w:type="character" w:styleId="1081">
    <w:name w:val="WW8Num23z1"/>
    <w:next w:val="1081"/>
    <w:link w:val="959"/>
  </w:style>
  <w:style w:type="character" w:styleId="1082">
    <w:name w:val="WW8Num23z2"/>
    <w:next w:val="1082"/>
    <w:link w:val="959"/>
  </w:style>
  <w:style w:type="character" w:styleId="1083">
    <w:name w:val="WW8Num23z3"/>
    <w:next w:val="1083"/>
    <w:link w:val="959"/>
  </w:style>
  <w:style w:type="character" w:styleId="1084">
    <w:name w:val="WW8Num23z4"/>
    <w:next w:val="1084"/>
    <w:link w:val="959"/>
  </w:style>
  <w:style w:type="character" w:styleId="1085">
    <w:name w:val="WW8Num23z5"/>
    <w:next w:val="1085"/>
    <w:link w:val="959"/>
  </w:style>
  <w:style w:type="character" w:styleId="1086">
    <w:name w:val="WW8Num23z6"/>
    <w:next w:val="1086"/>
    <w:link w:val="959"/>
  </w:style>
  <w:style w:type="character" w:styleId="1087">
    <w:name w:val="WW8Num23z7"/>
    <w:next w:val="1087"/>
    <w:link w:val="959"/>
  </w:style>
  <w:style w:type="character" w:styleId="1088">
    <w:name w:val="WW8Num23z8"/>
    <w:next w:val="1088"/>
    <w:link w:val="959"/>
  </w:style>
  <w:style w:type="character" w:styleId="1089">
    <w:name w:val="WW8Num24z0"/>
    <w:next w:val="1089"/>
    <w:link w:val="959"/>
    <w:rPr>
      <w:i w:val="0"/>
    </w:rPr>
  </w:style>
  <w:style w:type="character" w:styleId="1090">
    <w:name w:val="WW8Num24z1"/>
    <w:next w:val="1090"/>
    <w:link w:val="959"/>
  </w:style>
  <w:style w:type="character" w:styleId="1091">
    <w:name w:val="WW8Num24z2"/>
    <w:next w:val="1091"/>
    <w:link w:val="959"/>
  </w:style>
  <w:style w:type="character" w:styleId="1092">
    <w:name w:val="WW8Num24z3"/>
    <w:next w:val="1092"/>
    <w:link w:val="959"/>
  </w:style>
  <w:style w:type="character" w:styleId="1093">
    <w:name w:val="WW8Num24z4"/>
    <w:next w:val="1093"/>
    <w:link w:val="959"/>
  </w:style>
  <w:style w:type="character" w:styleId="1094">
    <w:name w:val="WW8Num24z5"/>
    <w:next w:val="1094"/>
    <w:link w:val="959"/>
  </w:style>
  <w:style w:type="character" w:styleId="1095">
    <w:name w:val="WW8Num24z6"/>
    <w:next w:val="1095"/>
    <w:link w:val="959"/>
  </w:style>
  <w:style w:type="character" w:styleId="1096">
    <w:name w:val="WW8Num24z7"/>
    <w:next w:val="1096"/>
    <w:link w:val="959"/>
  </w:style>
  <w:style w:type="character" w:styleId="1097">
    <w:name w:val="WW8Num24z8"/>
    <w:next w:val="1097"/>
    <w:link w:val="959"/>
  </w:style>
  <w:style w:type="character" w:styleId="1098">
    <w:name w:val="WW8Num25z0"/>
    <w:next w:val="1098"/>
    <w:link w:val="959"/>
  </w:style>
  <w:style w:type="character" w:styleId="1099">
    <w:name w:val="WW8Num25z1"/>
    <w:next w:val="1099"/>
    <w:link w:val="959"/>
  </w:style>
  <w:style w:type="character" w:styleId="1100">
    <w:name w:val="WW8Num25z2"/>
    <w:next w:val="1100"/>
    <w:link w:val="959"/>
  </w:style>
  <w:style w:type="character" w:styleId="1101">
    <w:name w:val="WW8Num25z3"/>
    <w:next w:val="1101"/>
    <w:link w:val="959"/>
  </w:style>
  <w:style w:type="character" w:styleId="1102">
    <w:name w:val="WW8Num25z4"/>
    <w:next w:val="1102"/>
    <w:link w:val="959"/>
  </w:style>
  <w:style w:type="character" w:styleId="1103">
    <w:name w:val="WW8Num25z5"/>
    <w:next w:val="1103"/>
    <w:link w:val="959"/>
  </w:style>
  <w:style w:type="character" w:styleId="1104">
    <w:name w:val="WW8Num25z6"/>
    <w:next w:val="1104"/>
    <w:link w:val="959"/>
  </w:style>
  <w:style w:type="character" w:styleId="1105">
    <w:name w:val="WW8Num25z7"/>
    <w:next w:val="1105"/>
    <w:link w:val="959"/>
  </w:style>
  <w:style w:type="character" w:styleId="1106">
    <w:name w:val="WW8Num25z8"/>
    <w:next w:val="1106"/>
    <w:link w:val="959"/>
  </w:style>
  <w:style w:type="character" w:styleId="1107">
    <w:name w:val="WW8Num26z0"/>
    <w:next w:val="1107"/>
    <w:link w:val="959"/>
  </w:style>
  <w:style w:type="character" w:styleId="1108">
    <w:name w:val="WW8Num26z1"/>
    <w:next w:val="1108"/>
    <w:link w:val="959"/>
  </w:style>
  <w:style w:type="character" w:styleId="1109">
    <w:name w:val="WW8Num26z2"/>
    <w:next w:val="1109"/>
    <w:link w:val="959"/>
  </w:style>
  <w:style w:type="character" w:styleId="1110">
    <w:name w:val="WW8Num26z3"/>
    <w:next w:val="1110"/>
    <w:link w:val="959"/>
  </w:style>
  <w:style w:type="character" w:styleId="1111">
    <w:name w:val="WW8Num26z4"/>
    <w:next w:val="1111"/>
    <w:link w:val="959"/>
  </w:style>
  <w:style w:type="character" w:styleId="1112">
    <w:name w:val="WW8Num26z5"/>
    <w:next w:val="1112"/>
    <w:link w:val="959"/>
  </w:style>
  <w:style w:type="character" w:styleId="1113">
    <w:name w:val="WW8Num26z6"/>
    <w:next w:val="1113"/>
    <w:link w:val="959"/>
  </w:style>
  <w:style w:type="character" w:styleId="1114">
    <w:name w:val="WW8Num26z7"/>
    <w:next w:val="1114"/>
    <w:link w:val="959"/>
  </w:style>
  <w:style w:type="character" w:styleId="1115">
    <w:name w:val="WW8Num26z8"/>
    <w:next w:val="1115"/>
    <w:link w:val="959"/>
  </w:style>
  <w:style w:type="character" w:styleId="1116">
    <w:name w:val="WW8Num27z0"/>
    <w:next w:val="1116"/>
    <w:link w:val="959"/>
    <w:rPr>
      <w:rFonts w:eastAsia="Times New Roman"/>
    </w:rPr>
  </w:style>
  <w:style w:type="character" w:styleId="1117">
    <w:name w:val="WW8Num28z0"/>
    <w:next w:val="1117"/>
    <w:link w:val="959"/>
  </w:style>
  <w:style w:type="character" w:styleId="1118">
    <w:name w:val="WW8Num29z0"/>
    <w:next w:val="1118"/>
    <w:link w:val="959"/>
  </w:style>
  <w:style w:type="character" w:styleId="1119">
    <w:name w:val="WW8Num29z1"/>
    <w:next w:val="1119"/>
    <w:link w:val="959"/>
  </w:style>
  <w:style w:type="character" w:styleId="1120">
    <w:name w:val="WW8Num29z2"/>
    <w:next w:val="1120"/>
    <w:link w:val="959"/>
  </w:style>
  <w:style w:type="character" w:styleId="1121">
    <w:name w:val="WW8Num29z3"/>
    <w:next w:val="1121"/>
    <w:link w:val="959"/>
  </w:style>
  <w:style w:type="character" w:styleId="1122">
    <w:name w:val="WW8Num29z4"/>
    <w:next w:val="1122"/>
    <w:link w:val="959"/>
  </w:style>
  <w:style w:type="character" w:styleId="1123">
    <w:name w:val="WW8Num29z5"/>
    <w:next w:val="1123"/>
    <w:link w:val="959"/>
  </w:style>
  <w:style w:type="character" w:styleId="1124">
    <w:name w:val="WW8Num29z6"/>
    <w:next w:val="1124"/>
    <w:link w:val="959"/>
  </w:style>
  <w:style w:type="character" w:styleId="1125">
    <w:name w:val="WW8Num29z7"/>
    <w:next w:val="1125"/>
    <w:link w:val="959"/>
  </w:style>
  <w:style w:type="character" w:styleId="1126">
    <w:name w:val="WW8Num29z8"/>
    <w:next w:val="1126"/>
    <w:link w:val="959"/>
  </w:style>
  <w:style w:type="character" w:styleId="1127">
    <w:name w:val="WW8Num30z0"/>
    <w:next w:val="1127"/>
    <w:link w:val="959"/>
    <w:rPr>
      <w:rFonts w:ascii="Times New Roman" w:hAnsi="Times New Roman" w:eastAsia="Times New Roman" w:cs="Times New Roman"/>
    </w:rPr>
  </w:style>
  <w:style w:type="character" w:styleId="1128">
    <w:name w:val="WW8Num30z1"/>
    <w:next w:val="1128"/>
    <w:link w:val="959"/>
    <w:rPr>
      <w:rFonts w:ascii="Courier New" w:hAnsi="Courier New" w:cs="Courier New"/>
    </w:rPr>
  </w:style>
  <w:style w:type="character" w:styleId="1129">
    <w:name w:val="WW8Num30z2"/>
    <w:next w:val="1129"/>
    <w:link w:val="959"/>
    <w:rPr>
      <w:rFonts w:ascii="Wingdings" w:hAnsi="Wingdings" w:cs="Wingdings"/>
    </w:rPr>
  </w:style>
  <w:style w:type="character" w:styleId="1130">
    <w:name w:val="WW8Num30z3"/>
    <w:next w:val="1130"/>
    <w:link w:val="959"/>
    <w:rPr>
      <w:rFonts w:ascii="Symbol" w:hAnsi="Symbol" w:cs="Symbol"/>
    </w:rPr>
  </w:style>
  <w:style w:type="character" w:styleId="1131">
    <w:name w:val="WW8Num31z0"/>
    <w:next w:val="1131"/>
    <w:link w:val="959"/>
  </w:style>
  <w:style w:type="character" w:styleId="1132">
    <w:name w:val="WW8Num32z0"/>
    <w:next w:val="1132"/>
    <w:link w:val="959"/>
  </w:style>
  <w:style w:type="character" w:styleId="1133">
    <w:name w:val="WW8Num33z0"/>
    <w:next w:val="1133"/>
    <w:link w:val="959"/>
    <w:rPr>
      <w:rFonts w:eastAsia="Times New Roman"/>
    </w:rPr>
  </w:style>
  <w:style w:type="character" w:styleId="1134">
    <w:name w:val="WW8Num34z0"/>
    <w:next w:val="1134"/>
    <w:link w:val="959"/>
  </w:style>
  <w:style w:type="character" w:styleId="1135">
    <w:name w:val="WW8Num35z0"/>
    <w:next w:val="1135"/>
    <w:link w:val="959"/>
    <w:rPr>
      <w:rFonts w:ascii="Times New Roman" w:hAnsi="Times New Roman" w:eastAsia="Times New Roman" w:cs="Times New Roman"/>
    </w:rPr>
  </w:style>
  <w:style w:type="character" w:styleId="1136">
    <w:name w:val="WW8Num35z1"/>
    <w:next w:val="1136"/>
    <w:link w:val="959"/>
  </w:style>
  <w:style w:type="character" w:styleId="1137">
    <w:name w:val="WW8Num35z2"/>
    <w:next w:val="1137"/>
    <w:link w:val="959"/>
  </w:style>
  <w:style w:type="character" w:styleId="1138">
    <w:name w:val="WW8Num35z3"/>
    <w:next w:val="1138"/>
    <w:link w:val="959"/>
  </w:style>
  <w:style w:type="character" w:styleId="1139">
    <w:name w:val="WW8Num35z4"/>
    <w:next w:val="1139"/>
    <w:link w:val="959"/>
  </w:style>
  <w:style w:type="character" w:styleId="1140">
    <w:name w:val="WW8Num35z5"/>
    <w:next w:val="1140"/>
    <w:link w:val="959"/>
  </w:style>
  <w:style w:type="character" w:styleId="1141">
    <w:name w:val="WW8Num35z6"/>
    <w:next w:val="1141"/>
    <w:link w:val="959"/>
  </w:style>
  <w:style w:type="character" w:styleId="1142">
    <w:name w:val="WW8Num35z7"/>
    <w:next w:val="1142"/>
    <w:link w:val="959"/>
  </w:style>
  <w:style w:type="character" w:styleId="1143">
    <w:name w:val="WW8Num35z8"/>
    <w:next w:val="1143"/>
    <w:link w:val="959"/>
  </w:style>
  <w:style w:type="character" w:styleId="1144">
    <w:name w:val="WW8Num36z0"/>
    <w:next w:val="1144"/>
    <w:link w:val="959"/>
  </w:style>
  <w:style w:type="character" w:styleId="1145">
    <w:name w:val="WW8Num36z1"/>
    <w:next w:val="1145"/>
    <w:link w:val="959"/>
  </w:style>
  <w:style w:type="character" w:styleId="1146">
    <w:name w:val="WW8Num36z2"/>
    <w:next w:val="1146"/>
    <w:link w:val="959"/>
  </w:style>
  <w:style w:type="character" w:styleId="1147">
    <w:name w:val="WW8Num36z3"/>
    <w:next w:val="1147"/>
    <w:link w:val="959"/>
  </w:style>
  <w:style w:type="character" w:styleId="1148">
    <w:name w:val="WW8Num36z4"/>
    <w:next w:val="1148"/>
    <w:link w:val="959"/>
  </w:style>
  <w:style w:type="character" w:styleId="1149">
    <w:name w:val="WW8Num36z5"/>
    <w:next w:val="1149"/>
    <w:link w:val="959"/>
  </w:style>
  <w:style w:type="character" w:styleId="1150">
    <w:name w:val="WW8Num36z6"/>
    <w:next w:val="1150"/>
    <w:link w:val="959"/>
  </w:style>
  <w:style w:type="character" w:styleId="1151">
    <w:name w:val="WW8Num36z7"/>
    <w:next w:val="1151"/>
    <w:link w:val="959"/>
  </w:style>
  <w:style w:type="character" w:styleId="1152">
    <w:name w:val="WW8Num36z8"/>
    <w:next w:val="1152"/>
    <w:link w:val="959"/>
  </w:style>
  <w:style w:type="character" w:styleId="1153">
    <w:name w:val="WW8Num37z0"/>
    <w:next w:val="1153"/>
    <w:link w:val="959"/>
    <w:rPr>
      <w:sz w:val="22"/>
      <w:szCs w:val="22"/>
    </w:rPr>
  </w:style>
  <w:style w:type="character" w:styleId="1154">
    <w:name w:val="WW8Num38z0"/>
    <w:next w:val="1154"/>
    <w:link w:val="959"/>
    <w:rPr>
      <w:b/>
      <w:i w:val="0"/>
      <w:sz w:val="22"/>
      <w:szCs w:val="22"/>
    </w:rPr>
  </w:style>
  <w:style w:type="character" w:styleId="1155">
    <w:name w:val="WW8Num38z1"/>
    <w:next w:val="1155"/>
    <w:link w:val="959"/>
  </w:style>
  <w:style w:type="character" w:styleId="1156">
    <w:name w:val="WW8Num38z2"/>
    <w:next w:val="1156"/>
    <w:link w:val="959"/>
  </w:style>
  <w:style w:type="character" w:styleId="1157">
    <w:name w:val="WW8Num38z3"/>
    <w:next w:val="1157"/>
    <w:link w:val="959"/>
  </w:style>
  <w:style w:type="character" w:styleId="1158">
    <w:name w:val="WW8Num38z4"/>
    <w:next w:val="1158"/>
    <w:link w:val="959"/>
  </w:style>
  <w:style w:type="character" w:styleId="1159">
    <w:name w:val="WW8Num38z5"/>
    <w:next w:val="1159"/>
    <w:link w:val="959"/>
  </w:style>
  <w:style w:type="character" w:styleId="1160">
    <w:name w:val="WW8Num38z6"/>
    <w:next w:val="1160"/>
    <w:link w:val="959"/>
  </w:style>
  <w:style w:type="character" w:styleId="1161">
    <w:name w:val="WW8Num38z7"/>
    <w:next w:val="1161"/>
    <w:link w:val="959"/>
  </w:style>
  <w:style w:type="character" w:styleId="1162">
    <w:name w:val="WW8Num38z8"/>
    <w:next w:val="1162"/>
    <w:link w:val="959"/>
  </w:style>
  <w:style w:type="character" w:styleId="1163">
    <w:name w:val="WW8Num39z0"/>
    <w:next w:val="1163"/>
    <w:link w:val="959"/>
  </w:style>
  <w:style w:type="character" w:styleId="1164">
    <w:name w:val="WW8Num39z1"/>
    <w:next w:val="1164"/>
    <w:link w:val="959"/>
  </w:style>
  <w:style w:type="character" w:styleId="1165">
    <w:name w:val="WW8Num39z2"/>
    <w:next w:val="1165"/>
    <w:link w:val="959"/>
  </w:style>
  <w:style w:type="character" w:styleId="1166">
    <w:name w:val="WW8Num39z3"/>
    <w:next w:val="1166"/>
    <w:link w:val="959"/>
  </w:style>
  <w:style w:type="character" w:styleId="1167">
    <w:name w:val="WW8Num39z4"/>
    <w:next w:val="1167"/>
    <w:link w:val="959"/>
  </w:style>
  <w:style w:type="character" w:styleId="1168">
    <w:name w:val="WW8Num39z5"/>
    <w:next w:val="1168"/>
    <w:link w:val="959"/>
  </w:style>
  <w:style w:type="character" w:styleId="1169">
    <w:name w:val="WW8Num39z6"/>
    <w:next w:val="1169"/>
    <w:link w:val="959"/>
  </w:style>
  <w:style w:type="character" w:styleId="1170">
    <w:name w:val="WW8Num39z7"/>
    <w:next w:val="1170"/>
    <w:link w:val="959"/>
  </w:style>
  <w:style w:type="character" w:styleId="1171">
    <w:name w:val="WW8Num39z8"/>
    <w:next w:val="1171"/>
    <w:link w:val="959"/>
  </w:style>
  <w:style w:type="character" w:styleId="1172">
    <w:name w:val="WW8Num40z0"/>
    <w:next w:val="1172"/>
    <w:link w:val="959"/>
    <w:rPr>
      <w:rFonts w:ascii="Symbol" w:hAnsi="Symbol" w:cs="Symbol"/>
    </w:rPr>
  </w:style>
  <w:style w:type="character" w:styleId="1173">
    <w:name w:val="WW8Num40z1"/>
    <w:next w:val="1173"/>
    <w:link w:val="959"/>
    <w:rPr>
      <w:rFonts w:ascii="Courier New" w:hAnsi="Courier New" w:cs="Courier New"/>
    </w:rPr>
  </w:style>
  <w:style w:type="character" w:styleId="1174">
    <w:name w:val="WW8Num40z2"/>
    <w:next w:val="1174"/>
    <w:link w:val="959"/>
    <w:rPr>
      <w:rFonts w:ascii="Wingdings" w:hAnsi="Wingdings" w:cs="Wingdings"/>
    </w:rPr>
  </w:style>
  <w:style w:type="character" w:styleId="1175">
    <w:name w:val="WW8Num41z0"/>
    <w:next w:val="1175"/>
    <w:link w:val="959"/>
    <w:rPr>
      <w:rFonts w:ascii="Wingdings" w:hAnsi="Wingdings" w:cs="Wingdings"/>
    </w:rPr>
  </w:style>
  <w:style w:type="character" w:styleId="1176">
    <w:name w:val="WW8Num41z1"/>
    <w:next w:val="1176"/>
    <w:link w:val="959"/>
    <w:rPr>
      <w:rFonts w:ascii="Courier New" w:hAnsi="Courier New" w:cs="Courier New"/>
    </w:rPr>
  </w:style>
  <w:style w:type="character" w:styleId="1177">
    <w:name w:val="WW8Num41z3"/>
    <w:next w:val="1177"/>
    <w:link w:val="959"/>
    <w:rPr>
      <w:rFonts w:ascii="Symbol" w:hAnsi="Symbol" w:cs="Symbol"/>
    </w:rPr>
  </w:style>
  <w:style w:type="character" w:styleId="1178">
    <w:name w:val="WW8Num42z0"/>
    <w:next w:val="1178"/>
    <w:link w:val="959"/>
  </w:style>
  <w:style w:type="character" w:styleId="1179">
    <w:name w:val="WW8Num42z1"/>
    <w:next w:val="1179"/>
    <w:link w:val="959"/>
  </w:style>
  <w:style w:type="character" w:styleId="1180">
    <w:name w:val="WW8Num42z2"/>
    <w:next w:val="1180"/>
    <w:link w:val="959"/>
  </w:style>
  <w:style w:type="character" w:styleId="1181">
    <w:name w:val="WW8Num42z3"/>
    <w:next w:val="1181"/>
    <w:link w:val="959"/>
  </w:style>
  <w:style w:type="character" w:styleId="1182">
    <w:name w:val="WW8Num42z4"/>
    <w:next w:val="1182"/>
    <w:link w:val="959"/>
  </w:style>
  <w:style w:type="character" w:styleId="1183">
    <w:name w:val="WW8Num42z5"/>
    <w:next w:val="1183"/>
    <w:link w:val="959"/>
  </w:style>
  <w:style w:type="character" w:styleId="1184">
    <w:name w:val="WW8Num42z6"/>
    <w:next w:val="1184"/>
    <w:link w:val="959"/>
  </w:style>
  <w:style w:type="character" w:styleId="1185">
    <w:name w:val="WW8Num42z7"/>
    <w:next w:val="1185"/>
    <w:link w:val="959"/>
  </w:style>
  <w:style w:type="character" w:styleId="1186">
    <w:name w:val="WW8Num42z8"/>
    <w:next w:val="1186"/>
    <w:link w:val="959"/>
  </w:style>
  <w:style w:type="character" w:styleId="1187">
    <w:name w:val="WW8Num43z0"/>
    <w:next w:val="1187"/>
    <w:link w:val="959"/>
  </w:style>
  <w:style w:type="character" w:styleId="1188">
    <w:name w:val="WW8Num43z1"/>
    <w:next w:val="1188"/>
    <w:link w:val="959"/>
  </w:style>
  <w:style w:type="character" w:styleId="1189">
    <w:name w:val="WW8Num43z2"/>
    <w:next w:val="1189"/>
    <w:link w:val="959"/>
  </w:style>
  <w:style w:type="character" w:styleId="1190">
    <w:name w:val="WW8Num43z3"/>
    <w:next w:val="1190"/>
    <w:link w:val="959"/>
  </w:style>
  <w:style w:type="character" w:styleId="1191">
    <w:name w:val="WW8Num43z4"/>
    <w:next w:val="1191"/>
    <w:link w:val="959"/>
  </w:style>
  <w:style w:type="character" w:styleId="1192">
    <w:name w:val="WW8Num43z5"/>
    <w:next w:val="1192"/>
    <w:link w:val="959"/>
  </w:style>
  <w:style w:type="character" w:styleId="1193">
    <w:name w:val="WW8Num43z6"/>
    <w:next w:val="1193"/>
    <w:link w:val="959"/>
  </w:style>
  <w:style w:type="character" w:styleId="1194">
    <w:name w:val="WW8Num43z7"/>
    <w:next w:val="1194"/>
    <w:link w:val="959"/>
  </w:style>
  <w:style w:type="character" w:styleId="1195">
    <w:name w:val="WW8Num43z8"/>
    <w:next w:val="1195"/>
    <w:link w:val="959"/>
  </w:style>
  <w:style w:type="character" w:styleId="1196">
    <w:name w:val="WW8Num44z0"/>
    <w:next w:val="1196"/>
    <w:link w:val="959"/>
  </w:style>
  <w:style w:type="character" w:styleId="1197">
    <w:name w:val="Основной шрифт абзаца1"/>
    <w:next w:val="1197"/>
    <w:link w:val="959"/>
  </w:style>
  <w:style w:type="character" w:styleId="1198">
    <w:name w:val="Номер страницы"/>
    <w:basedOn w:val="1197"/>
    <w:next w:val="1198"/>
    <w:link w:val="959"/>
  </w:style>
  <w:style w:type="character" w:styleId="1199">
    <w:name w:val="Font Style19"/>
    <w:next w:val="1199"/>
    <w:link w:val="959"/>
    <w:rPr>
      <w:rFonts w:ascii="Sylfaen" w:hAnsi="Sylfaen" w:cs="Sylfaen"/>
      <w:sz w:val="24"/>
      <w:szCs w:val="24"/>
    </w:rPr>
  </w:style>
  <w:style w:type="character" w:styleId="1200">
    <w:name w:val="Текст Знак"/>
    <w:next w:val="1200"/>
    <w:link w:val="959"/>
    <w:rPr>
      <w:rFonts w:ascii="Courier New" w:hAnsi="Courier New" w:cs="Courier New"/>
    </w:rPr>
  </w:style>
  <w:style w:type="character" w:styleId="1201">
    <w:name w:val="Гиперссылка"/>
    <w:next w:val="1201"/>
    <w:link w:val="959"/>
    <w:uiPriority w:val="99"/>
    <w:rPr>
      <w:color w:val="0000ff"/>
      <w:u w:val="single"/>
    </w:rPr>
  </w:style>
  <w:style w:type="character" w:styleId="1202">
    <w:name w:val="Font Style28"/>
    <w:next w:val="1202"/>
    <w:link w:val="959"/>
    <w:rPr>
      <w:rFonts w:ascii="Times New Roman" w:hAnsi="Times New Roman" w:cs="Times New Roman"/>
      <w:sz w:val="26"/>
      <w:szCs w:val="26"/>
    </w:rPr>
  </w:style>
  <w:style w:type="character" w:styleId="1203">
    <w:name w:val="Font Style13"/>
    <w:next w:val="1203"/>
    <w:link w:val="959"/>
    <w:rPr>
      <w:rFonts w:ascii="Times New Roman" w:hAnsi="Times New Roman" w:cs="Times New Roman"/>
      <w:sz w:val="24"/>
      <w:szCs w:val="24"/>
    </w:rPr>
  </w:style>
  <w:style w:type="character" w:styleId="1204">
    <w:name w:val="Основной текст Знак"/>
    <w:next w:val="1204"/>
    <w:link w:val="959"/>
    <w:rPr>
      <w:sz w:val="24"/>
    </w:rPr>
  </w:style>
  <w:style w:type="character" w:styleId="1205">
    <w:name w:val="Абзац списка Знак"/>
    <w:next w:val="1205"/>
    <w:link w:val="959"/>
    <w:uiPriority w:val="34"/>
  </w:style>
  <w:style w:type="character" w:styleId="1206">
    <w:name w:val="Font Style17"/>
    <w:next w:val="1206"/>
    <w:link w:val="959"/>
    <w:rPr>
      <w:rFonts w:ascii="Sylfaen" w:hAnsi="Sylfaen" w:cs="Sylfaen"/>
      <w:b/>
      <w:bCs/>
      <w:sz w:val="24"/>
      <w:szCs w:val="24"/>
    </w:rPr>
  </w:style>
  <w:style w:type="character" w:styleId="1207">
    <w:name w:val="Без интервала Знак"/>
    <w:next w:val="1207"/>
    <w:link w:val="959"/>
    <w:rPr>
      <w:rFonts w:ascii="Calibri" w:hAnsi="Calibri" w:cs="Calibri"/>
      <w:sz w:val="22"/>
      <w:szCs w:val="22"/>
      <w:lang w:val="en-US" w:eastAsia="en-US" w:bidi="en-US"/>
    </w:rPr>
  </w:style>
  <w:style w:type="character" w:styleId="1208">
    <w:name w:val="Font Style29"/>
    <w:next w:val="1208"/>
    <w:link w:val="959"/>
    <w:uiPriority w:val="99"/>
    <w:rPr>
      <w:rFonts w:ascii="Times New Roman" w:hAnsi="Times New Roman" w:cs="Times New Roman"/>
      <w:sz w:val="26"/>
      <w:szCs w:val="26"/>
    </w:rPr>
  </w:style>
  <w:style w:type="character" w:styleId="1209">
    <w:name w:val="Font Style22"/>
    <w:next w:val="1209"/>
    <w:link w:val="959"/>
    <w:rPr>
      <w:rFonts w:ascii="Times New Roman" w:hAnsi="Times New Roman" w:cs="Times New Roman"/>
      <w:sz w:val="26"/>
      <w:szCs w:val="26"/>
    </w:rPr>
  </w:style>
  <w:style w:type="character" w:styleId="1210">
    <w:name w:val="Font Style32"/>
    <w:next w:val="1210"/>
    <w:link w:val="959"/>
    <w:rPr>
      <w:rFonts w:ascii="Times New Roman" w:hAnsi="Times New Roman" w:cs="Times New Roman"/>
      <w:sz w:val="26"/>
      <w:szCs w:val="26"/>
    </w:rPr>
  </w:style>
  <w:style w:type="character" w:styleId="1211">
    <w:name w:val="Основной текст с отступом Знак"/>
    <w:next w:val="1211"/>
    <w:link w:val="959"/>
    <w:rPr>
      <w:sz w:val="26"/>
    </w:rPr>
  </w:style>
  <w:style w:type="character" w:styleId="1212">
    <w:name w:val="Текст выноски Знак"/>
    <w:next w:val="1212"/>
    <w:link w:val="959"/>
    <w:rPr>
      <w:rFonts w:ascii="Segoe UI" w:hAnsi="Segoe UI" w:cs="Segoe UI"/>
      <w:sz w:val="18"/>
      <w:szCs w:val="18"/>
    </w:rPr>
  </w:style>
  <w:style w:type="character" w:styleId="1213">
    <w:name w:val="ConsPlusNormal Знак"/>
    <w:next w:val="1213"/>
    <w:link w:val="959"/>
    <w:rPr>
      <w:rFonts w:ascii="Arial" w:hAnsi="Arial" w:cs="Arial"/>
      <w:lang w:val="ru-RU" w:eastAsia="ar-SA" w:bidi="ar-SA"/>
    </w:rPr>
  </w:style>
  <w:style w:type="character" w:styleId="1214">
    <w:name w:val="Font Style27"/>
    <w:next w:val="1214"/>
    <w:link w:val="959"/>
    <w:rPr>
      <w:rFonts w:ascii="Times New Roman" w:hAnsi="Times New Roman" w:cs="Times New Roman"/>
      <w:sz w:val="26"/>
      <w:szCs w:val="26"/>
    </w:rPr>
  </w:style>
  <w:style w:type="character" w:styleId="1215">
    <w:name w:val="Просмотренная гиперссылка"/>
    <w:next w:val="1215"/>
    <w:link w:val="959"/>
    <w:rPr>
      <w:color w:val="800080"/>
      <w:u w:val="single"/>
    </w:rPr>
  </w:style>
  <w:style w:type="paragraph" w:styleId="1216">
    <w:name w:val="Заголовок"/>
    <w:basedOn w:val="959"/>
    <w:next w:val="1217"/>
    <w:link w:val="959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17">
    <w:name w:val="Основной текст"/>
    <w:basedOn w:val="959"/>
    <w:next w:val="1217"/>
    <w:link w:val="959"/>
    <w:pPr>
      <w:jc w:val="both"/>
    </w:pPr>
    <w:rPr>
      <w:sz w:val="24"/>
      <w:lang w:val="en-US"/>
    </w:rPr>
  </w:style>
  <w:style w:type="paragraph" w:styleId="1218">
    <w:name w:val="Список"/>
    <w:basedOn w:val="1217"/>
    <w:next w:val="1218"/>
    <w:link w:val="959"/>
    <w:rPr>
      <w:rFonts w:cs="Arial"/>
    </w:rPr>
  </w:style>
  <w:style w:type="paragraph" w:styleId="1219">
    <w:name w:val="Название1"/>
    <w:basedOn w:val="959"/>
    <w:next w:val="1219"/>
    <w:link w:val="959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20">
    <w:name w:val="Указатель1"/>
    <w:basedOn w:val="959"/>
    <w:next w:val="1220"/>
    <w:link w:val="959"/>
    <w:pPr>
      <w:suppressLineNumbers/>
    </w:pPr>
    <w:rPr>
      <w:rFonts w:cs="Arial"/>
    </w:rPr>
  </w:style>
  <w:style w:type="paragraph" w:styleId="1221">
    <w:name w:val="Основной текст с отступом"/>
    <w:basedOn w:val="959"/>
    <w:next w:val="1221"/>
    <w:link w:val="959"/>
    <w:pPr>
      <w:ind w:left="2410" w:right="0" w:hanging="2410"/>
      <w:jc w:val="both"/>
    </w:pPr>
    <w:rPr>
      <w:sz w:val="26"/>
      <w:lang w:val="en-US"/>
    </w:rPr>
  </w:style>
  <w:style w:type="paragraph" w:styleId="1222">
    <w:name w:val="Основной текст с отступом 21"/>
    <w:basedOn w:val="959"/>
    <w:next w:val="1222"/>
    <w:link w:val="959"/>
    <w:pPr>
      <w:ind w:left="1985" w:right="0" w:hanging="1985"/>
      <w:jc w:val="both"/>
    </w:pPr>
    <w:rPr>
      <w:sz w:val="26"/>
    </w:rPr>
  </w:style>
  <w:style w:type="paragraph" w:styleId="1223">
    <w:name w:val="Основной текст с отступом 31"/>
    <w:basedOn w:val="959"/>
    <w:next w:val="1223"/>
    <w:link w:val="959"/>
    <w:pPr>
      <w:ind w:left="1985" w:right="0" w:firstLine="0"/>
      <w:jc w:val="both"/>
    </w:pPr>
    <w:rPr>
      <w:sz w:val="26"/>
    </w:rPr>
  </w:style>
  <w:style w:type="paragraph" w:styleId="1224">
    <w:name w:val="Основной текст 21"/>
    <w:basedOn w:val="959"/>
    <w:next w:val="1224"/>
    <w:link w:val="959"/>
    <w:rPr>
      <w:sz w:val="22"/>
    </w:rPr>
  </w:style>
  <w:style w:type="paragraph" w:styleId="1225">
    <w:name w:val="Верхний колонтитул"/>
    <w:basedOn w:val="959"/>
    <w:next w:val="1225"/>
    <w:link w:val="959"/>
    <w:pPr>
      <w:tabs>
        <w:tab w:val="center" w:pos="4153" w:leader="none"/>
        <w:tab w:val="right" w:pos="8306" w:leader="none"/>
      </w:tabs>
    </w:pPr>
  </w:style>
  <w:style w:type="paragraph" w:styleId="1226">
    <w:name w:val="Нижний колонтитул"/>
    <w:basedOn w:val="959"/>
    <w:next w:val="1226"/>
    <w:link w:val="959"/>
    <w:pPr>
      <w:tabs>
        <w:tab w:val="center" w:pos="4153" w:leader="none"/>
        <w:tab w:val="right" w:pos="8306" w:leader="none"/>
      </w:tabs>
    </w:pPr>
  </w:style>
  <w:style w:type="paragraph" w:styleId="1227">
    <w:name w:val="ConsTitle"/>
    <w:next w:val="1227"/>
    <w:link w:val="959"/>
    <w:rPr>
      <w:rFonts w:ascii="Arial" w:hAnsi="Arial" w:cs="Arial"/>
      <w:b/>
      <w:bCs/>
      <w:lang w:val="ru-RU" w:eastAsia="ar-SA" w:bidi="ar-SA"/>
    </w:rPr>
  </w:style>
  <w:style w:type="paragraph" w:styleId="1228">
    <w:name w:val="Знак Знак Знак"/>
    <w:basedOn w:val="959"/>
    <w:next w:val="1228"/>
    <w:link w:val="959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29">
    <w:name w:val="Заголовок статьи"/>
    <w:basedOn w:val="959"/>
    <w:next w:val="959"/>
    <w:link w:val="959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30">
    <w:name w:val="ConsPlusNormal"/>
    <w:next w:val="1230"/>
    <w:link w:val="959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31">
    <w:name w:val="Style3"/>
    <w:basedOn w:val="959"/>
    <w:next w:val="1231"/>
    <w:link w:val="959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32">
    <w:name w:val="Текст1"/>
    <w:basedOn w:val="959"/>
    <w:next w:val="1232"/>
    <w:link w:val="959"/>
    <w:rPr>
      <w:rFonts w:ascii="Courier New" w:hAnsi="Courier New" w:cs="Courier New"/>
      <w:lang w:val="en-US"/>
    </w:rPr>
  </w:style>
  <w:style w:type="paragraph" w:styleId="1233">
    <w:name w:val="Style21"/>
    <w:basedOn w:val="959"/>
    <w:next w:val="1233"/>
    <w:link w:val="959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34">
    <w:name w:val="Абзац списка"/>
    <w:basedOn w:val="959"/>
    <w:next w:val="1234"/>
    <w:link w:val="959"/>
    <w:uiPriority w:val="34"/>
    <w:qFormat/>
    <w:pPr>
      <w:ind w:left="720" w:right="0" w:firstLine="0"/>
    </w:pPr>
  </w:style>
  <w:style w:type="paragraph" w:styleId="1235">
    <w:name w:val="Style1"/>
    <w:basedOn w:val="959"/>
    <w:next w:val="1235"/>
    <w:link w:val="959"/>
    <w:pPr>
      <w:widowControl w:val="off"/>
    </w:pPr>
    <w:rPr>
      <w:sz w:val="24"/>
      <w:szCs w:val="24"/>
    </w:rPr>
  </w:style>
  <w:style w:type="paragraph" w:styleId="1236">
    <w:name w:val="Style2"/>
    <w:basedOn w:val="959"/>
    <w:next w:val="1236"/>
    <w:link w:val="959"/>
    <w:pPr>
      <w:widowControl w:val="off"/>
    </w:pPr>
    <w:rPr>
      <w:sz w:val="24"/>
      <w:szCs w:val="24"/>
    </w:rPr>
  </w:style>
  <w:style w:type="paragraph" w:styleId="1237">
    <w:name w:val="Style4"/>
    <w:basedOn w:val="959"/>
    <w:next w:val="1237"/>
    <w:link w:val="959"/>
    <w:pPr>
      <w:widowControl w:val="off"/>
    </w:pPr>
    <w:rPr>
      <w:sz w:val="24"/>
      <w:szCs w:val="24"/>
    </w:rPr>
  </w:style>
  <w:style w:type="paragraph" w:styleId="1238">
    <w:name w:val="Обычный полуторный маркированый"/>
    <w:basedOn w:val="959"/>
    <w:next w:val="1238"/>
    <w:link w:val="959"/>
    <w:pPr>
      <w:numPr>
        <w:ilvl w:val="0"/>
        <w:numId w:val="8"/>
      </w:numPr>
      <w:jc w:val="both"/>
    </w:pPr>
    <w:rPr>
      <w:sz w:val="24"/>
      <w:szCs w:val="24"/>
    </w:rPr>
  </w:style>
  <w:style w:type="paragraph" w:styleId="1239">
    <w:name w:val="Стиль"/>
    <w:next w:val="1239"/>
    <w:link w:val="959"/>
    <w:pPr>
      <w:widowControl w:val="off"/>
    </w:pPr>
    <w:rPr>
      <w:sz w:val="24"/>
      <w:szCs w:val="24"/>
      <w:lang w:val="ru-RU" w:eastAsia="ar-SA" w:bidi="ar-SA"/>
    </w:rPr>
  </w:style>
  <w:style w:type="paragraph" w:styleId="1240">
    <w:name w:val="Style11"/>
    <w:basedOn w:val="959"/>
    <w:next w:val="1240"/>
    <w:link w:val="959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41">
    <w:name w:val="ConsPlusNonformat"/>
    <w:next w:val="1241"/>
    <w:link w:val="959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42">
    <w:name w:val="Прижатый влево"/>
    <w:basedOn w:val="959"/>
    <w:next w:val="959"/>
    <w:link w:val="959"/>
    <w:rPr>
      <w:rFonts w:ascii="Arial" w:hAnsi="Arial" w:cs="Arial"/>
      <w:sz w:val="24"/>
      <w:szCs w:val="24"/>
    </w:rPr>
  </w:style>
  <w:style w:type="paragraph" w:styleId="1243">
    <w:name w:val="Без интервала"/>
    <w:next w:val="1243"/>
    <w:link w:val="959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44">
    <w:name w:val="Текст выноски"/>
    <w:basedOn w:val="959"/>
    <w:next w:val="1244"/>
    <w:link w:val="959"/>
    <w:rPr>
      <w:rFonts w:ascii="Segoe UI" w:hAnsi="Segoe UI" w:cs="Segoe UI"/>
      <w:sz w:val="18"/>
      <w:szCs w:val="18"/>
      <w:lang w:val="en-US"/>
    </w:rPr>
  </w:style>
  <w:style w:type="paragraph" w:styleId="1245">
    <w:name w:val="List Paragraph"/>
    <w:basedOn w:val="959"/>
    <w:next w:val="1245"/>
    <w:link w:val="1250"/>
    <w:pPr>
      <w:ind w:left="720" w:right="0" w:firstLine="0"/>
    </w:pPr>
  </w:style>
  <w:style w:type="paragraph" w:styleId="1246">
    <w:name w:val="Содержимое таблицы"/>
    <w:basedOn w:val="959"/>
    <w:next w:val="1246"/>
    <w:link w:val="959"/>
    <w:pPr>
      <w:suppressLineNumbers/>
    </w:pPr>
  </w:style>
  <w:style w:type="paragraph" w:styleId="1247">
    <w:name w:val="Заголовок таблицы"/>
    <w:basedOn w:val="1246"/>
    <w:next w:val="1247"/>
    <w:link w:val="959"/>
    <w:pPr>
      <w:jc w:val="center"/>
      <w:suppressLineNumbers/>
    </w:pPr>
    <w:rPr>
      <w:b/>
      <w:bCs/>
    </w:rPr>
  </w:style>
  <w:style w:type="paragraph" w:styleId="1248">
    <w:name w:val="Содержимое врезки"/>
    <w:basedOn w:val="1217"/>
    <w:next w:val="1248"/>
    <w:link w:val="959"/>
  </w:style>
  <w:style w:type="character" w:styleId="1249">
    <w:name w:val="Font Style11"/>
    <w:next w:val="1249"/>
    <w:link w:val="959"/>
    <w:rPr>
      <w:rFonts w:ascii="Times New Roman" w:hAnsi="Times New Roman" w:cs="Times New Roman"/>
      <w:sz w:val="26"/>
      <w:szCs w:val="26"/>
    </w:rPr>
  </w:style>
  <w:style w:type="character" w:styleId="1250">
    <w:name w:val="List Paragraph Char"/>
    <w:next w:val="1250"/>
    <w:link w:val="1245"/>
    <w:rPr>
      <w:lang w:val="ru-RU" w:eastAsia="ar-SA" w:bidi="ar-SA"/>
    </w:rPr>
  </w:style>
  <w:style w:type="character" w:styleId="1251">
    <w:name w:val="Основной текст (2)_"/>
    <w:next w:val="1251"/>
    <w:link w:val="1252"/>
    <w:rPr>
      <w:sz w:val="28"/>
      <w:shd w:val="clear" w:color="auto" w:fill="ffffff"/>
      <w:lang w:bidi="ar-SA"/>
    </w:rPr>
  </w:style>
  <w:style w:type="paragraph" w:styleId="1252">
    <w:name w:val="Основной текст (2)"/>
    <w:basedOn w:val="959"/>
    <w:next w:val="1252"/>
    <w:link w:val="1251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53">
    <w:name w:val="ConsPlusTitle"/>
    <w:next w:val="1253"/>
    <w:link w:val="959"/>
    <w:pPr>
      <w:widowControl w:val="off"/>
    </w:pPr>
    <w:rPr>
      <w:b/>
      <w:sz w:val="28"/>
      <w:lang w:val="ru-RU" w:eastAsia="ru-RU" w:bidi="ar-SA"/>
    </w:rPr>
  </w:style>
  <w:style w:type="character" w:styleId="1254" w:default="1">
    <w:name w:val="Default Paragraph Font"/>
    <w:uiPriority w:val="1"/>
    <w:semiHidden/>
    <w:unhideWhenUsed/>
  </w:style>
  <w:style w:type="numbering" w:styleId="1255" w:default="1">
    <w:name w:val="No List"/>
    <w:uiPriority w:val="99"/>
    <w:semiHidden/>
    <w:unhideWhenUsed/>
  </w:style>
  <w:style w:type="table" w:styleId="1256" w:default="1">
    <w:name w:val="Normal Table"/>
    <w:uiPriority w:val="99"/>
    <w:semiHidden/>
    <w:unhideWhenUsed/>
    <w:tblPr/>
  </w:style>
  <w:style w:type="paragraph" w:styleId="1257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8" w:customStyle="1">
    <w:name w:val="Body Text"/>
    <w:link w:val="900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9" w:customStyle="1">
    <w:name w:val="Body Text Indent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http://pravo.gov.ru" TargetMode="External"/><Relationship Id="rId20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1" Type="http://schemas.openxmlformats.org/officeDocument/2006/relationships/hyperlink" Target="https://login.consultant.ru/link/?req=doc&amp;base=LAW&amp;n=471078" TargetMode="External"/><Relationship Id="rId22" Type="http://schemas.openxmlformats.org/officeDocument/2006/relationships/hyperlink" Target="mailto:petrovskaya.mv@rpn.gov.ru" TargetMode="External"/><Relationship Id="rId23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chugunova.ov</cp:lastModifiedBy>
  <cp:revision>104</cp:revision>
  <dcterms:created xsi:type="dcterms:W3CDTF">2022-08-15T05:13:00Z</dcterms:created>
  <dcterms:modified xsi:type="dcterms:W3CDTF">2025-11-18T22:24:45Z</dcterms:modified>
  <cp:version>1048576</cp:version>
</cp:coreProperties>
</file>