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23.12.2015 N 553</w:t>
              <w:br/>
              <w:t xml:space="preserve">(ред. от 07.05.2025)</w:t>
              <w:br/>
              <w:t xml:space="preserve">"Об утверждении порядка формирования кодов объектов, оказывающих негативное воздействие на окружающую среду, и присвоения их соответствующим объектам"</w:t>
              <w:br/>
              <w:t xml:space="preserve">(Зарегистрировано в Минюсте России 27.01.2016 N 40808)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27 января 2016 г. N 40808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23 декабря 2015 г. N 553</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ФОРМИРОВАНИЯ КОДОВ ОБЪЕКТОВ, ОКАЗЫВАЮЩИХ НЕГАТИВНОЕ</w:t>
      </w:r>
    </w:p>
    <w:p>
      <w:pPr>
        <w:pStyle w:val="2"/>
        <w:jc w:val="center"/>
      </w:pPr>
      <w:r>
        <w:rPr>
          <w:sz w:val="24"/>
        </w:rPr>
        <w:t xml:space="preserve">ВОЗДЕЙСТВИЕ НА ОКРУЖАЮЩУЮ СРЕДУ, И ПРИСВОЕНИЯ</w:t>
      </w:r>
    </w:p>
    <w:p>
      <w:pPr>
        <w:pStyle w:val="2"/>
        <w:jc w:val="center"/>
      </w:pPr>
      <w:r>
        <w:rPr>
          <w:sz w:val="24"/>
        </w:rPr>
        <w:t xml:space="preserve">ИХ СООТВЕТСТВУЮЩИМ ОБЪЕКТАМ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от 22.04.2022 </w:t>
            </w:r>
            <w:r>
              <w:rPr>
                <w:sz w:val="24"/>
                <w:color w:val="392c69"/>
              </w:rPr>
              <w:t xml:space="preserve">N 289</w:t>
            </w:r>
            <w:r>
              <w:rPr>
                <w:sz w:val="24"/>
                <w:color w:val="392c69"/>
              </w:rPr>
              <w:t xml:space="preserve">,</w:t>
            </w:r>
          </w:p>
          <w:p>
            <w:pPr>
              <w:pStyle w:val="0"/>
              <w:jc w:val="center"/>
            </w:pPr>
            <w:r>
              <w:rPr>
                <w:sz w:val="24"/>
                <w:color w:val="392c69"/>
              </w:rPr>
              <w:t xml:space="preserve">от 07.05.2025 </w:t>
            </w:r>
            <w:r>
              <w:rPr>
                <w:sz w:val="24"/>
                <w:color w:val="392c69"/>
              </w:rPr>
              <w:t xml:space="preserve">N 255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r>
        <w:rPr>
          <w:sz w:val="24"/>
        </w:rPr>
        <w:t xml:space="preserve">статьей 69.2</w:t>
      </w:r>
      <w:r>
        <w:rPr>
          <w:sz w:val="24"/>
        </w:rPr>
        <w:t xml:space="preserve"> Федерального закона от 10 января 2002 г. N 7-ФЗ "Об охране окружающей среды" (Собрание законодательства Российской Федерации, 2002, N 2, ст. 133; 2004, N 35, ст. 3607; 2005, N 1, ст. 25; N 19, ст. 1752; 2006, N 1, ст. 10; N 52, ст. 5498; 2007, N 7, ст. 834; N 27, ст. 3213; 2008, N 26, ст. 3012; N 29, ст. 3418; N 30, ст. 3616; 2009, N 1, ст. 17; N 11, ст. 1261; N 52, ст. 6450; 2011, N 1, ст. 54; N 29, ст. 4281; N 30, ст. 4590, ст. 4591, ст. 4596; N 48, ст. 6732; N 50, ст. 7359; 2012, N 26, ст. 3446; 2013, N 11, ст. 1164; N 27, ст. 3477; N 30, ст. 4059; N 52, ст. 6971, ст. 6974; 2014, N 11, ст. 1092; N 30, ст. 4220; N 48, ст. 6642; 2015, N 1, ст. 11; N 27, ст. 3994; N 29, ст. 4359; N 48, ст. 6723), </w:t>
      </w:r>
      <w:r>
        <w:rPr>
          <w:sz w:val="24"/>
        </w:rPr>
        <w:t xml:space="preserve">подпунктом 5.2.46</w:t>
      </w:r>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pPr>
        <w:pStyle w:val="0"/>
        <w:spacing w:before="240" w:line-rule="auto"/>
        <w:ind w:firstLine="540"/>
        <w:jc w:val="both"/>
      </w:pPr>
      <w:r>
        <w:rPr>
          <w:sz w:val="24"/>
        </w:rPr>
        <w:t xml:space="preserve">утвердить прилагаемый </w:t>
      </w:r>
      <w:hyperlink w:history="0" w:anchor="P32" w:tooltip="ПОРЯДОК">
        <w:r>
          <w:rPr>
            <w:sz w:val="24"/>
            <w:color w:val="0000ff"/>
          </w:rPr>
          <w:t xml:space="preserve">порядок</w:t>
        </w:r>
      </w:hyperlink>
      <w:r>
        <w:rPr>
          <w:sz w:val="24"/>
        </w:rPr>
        <w:t xml:space="preserve"> формирования кодов объектов, оказывающих негативное воздействие на окружающую среду, и присвоения их соответствующим объектам.</w:t>
      </w:r>
    </w:p>
    <w:p>
      <w:pPr>
        <w:pStyle w:val="0"/>
        <w:jc w:val="both"/>
      </w:pPr>
      <w:r>
        <w:rPr>
          <w:sz w:val="24"/>
        </w:rPr>
      </w:r>
    </w:p>
    <w:p>
      <w:pPr>
        <w:pStyle w:val="0"/>
        <w:jc w:val="right"/>
      </w:pPr>
      <w:r>
        <w:rPr>
          <w:sz w:val="24"/>
        </w:rPr>
        <w:t xml:space="preserve">Исполняющий обязанности Министра</w:t>
      </w:r>
    </w:p>
    <w:p>
      <w:pPr>
        <w:pStyle w:val="0"/>
        <w:jc w:val="right"/>
      </w:pPr>
      <w:r>
        <w:rPr>
          <w:sz w:val="24"/>
        </w:rPr>
        <w:t xml:space="preserve">С.Ю.РАДЧЕНКО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Минприроды России</w:t>
      </w:r>
    </w:p>
    <w:p>
      <w:pPr>
        <w:pStyle w:val="0"/>
        <w:jc w:val="right"/>
      </w:pPr>
      <w:r>
        <w:rPr>
          <w:sz w:val="24"/>
        </w:rPr>
        <w:t xml:space="preserve">от 23.12.2015 N 553</w:t>
      </w:r>
    </w:p>
    <w:p>
      <w:pPr>
        <w:pStyle w:val="0"/>
        <w:jc w:val="both"/>
      </w:pPr>
      <w:r>
        <w:rPr>
          <w:sz w:val="24"/>
        </w:rPr>
      </w:r>
    </w:p>
    <w:bookmarkStart w:id="32" w:name="P32"/>
    <w:bookmarkEnd w:id="32"/>
    <w:p>
      <w:pPr>
        <w:pStyle w:val="2"/>
        <w:jc w:val="center"/>
      </w:pPr>
      <w:r>
        <w:rPr>
          <w:sz w:val="24"/>
        </w:rPr>
        <w:t xml:space="preserve">ПОРЯДОК</w:t>
      </w:r>
    </w:p>
    <w:p>
      <w:pPr>
        <w:pStyle w:val="2"/>
        <w:jc w:val="center"/>
      </w:pPr>
      <w:r>
        <w:rPr>
          <w:sz w:val="24"/>
        </w:rPr>
        <w:t xml:space="preserve">ФОРМИРОВАНИЯ КОДОВ ОБЪЕКТОВ, ОКАЗЫВАЮЩИХ НЕГАТИВНОЕ</w:t>
      </w:r>
    </w:p>
    <w:p>
      <w:pPr>
        <w:pStyle w:val="2"/>
        <w:jc w:val="center"/>
      </w:pPr>
      <w:r>
        <w:rPr>
          <w:sz w:val="24"/>
        </w:rPr>
        <w:t xml:space="preserve">ВОЗДЕЙСТВИЕ НА ОКРУЖАЮЩУЮ СРЕДУ, И ПРИСВОЕНИЯ</w:t>
      </w:r>
    </w:p>
    <w:p>
      <w:pPr>
        <w:pStyle w:val="2"/>
        <w:jc w:val="center"/>
      </w:pPr>
      <w:r>
        <w:rPr>
          <w:sz w:val="24"/>
        </w:rPr>
        <w:t xml:space="preserve">ИХ СООТВЕТСТВУЮЩИМ ОБЪЕКТАМ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от 22.04.2022 </w:t>
            </w:r>
            <w:r>
              <w:rPr>
                <w:sz w:val="24"/>
                <w:color w:val="392c69"/>
              </w:rPr>
              <w:t xml:space="preserve">N 289</w:t>
            </w:r>
            <w:r>
              <w:rPr>
                <w:sz w:val="24"/>
                <w:color w:val="392c69"/>
              </w:rPr>
              <w:t xml:space="preserve">,</w:t>
            </w:r>
          </w:p>
          <w:p>
            <w:pPr>
              <w:pStyle w:val="0"/>
              <w:jc w:val="center"/>
            </w:pPr>
            <w:r>
              <w:rPr>
                <w:sz w:val="24"/>
                <w:color w:val="392c69"/>
              </w:rPr>
              <w:t xml:space="preserve">от 07.05.2025 </w:t>
            </w:r>
            <w:r>
              <w:rPr>
                <w:sz w:val="24"/>
                <w:color w:val="392c69"/>
              </w:rPr>
              <w:t xml:space="preserve">N 255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формирования кодов объектов, оказывающих негативное воздействие на окружающую среду, и присвоения их соответствующим объектам (далее - Порядок) устанавливает правила формирования кодов объектов, оказывающих негативное воздействие на окружающую среду (далее - код объекта), а также присвоения их таким объектам.</w:t>
      </w:r>
    </w:p>
    <w:p>
      <w:pPr>
        <w:pStyle w:val="0"/>
        <w:spacing w:before="240" w:line-rule="auto"/>
        <w:ind w:firstLine="540"/>
        <w:jc w:val="both"/>
      </w:pPr>
      <w:r>
        <w:rPr>
          <w:sz w:val="24"/>
        </w:rPr>
        <w:t xml:space="preserve">2. Кодом объекта является уникальный номер, не повторяющийся во времени, присвоенный объекту, оказывающему негативное воздействие на окружающую среду (далее - объект), при осуществлении государственного учета объектов и подлежащий сохранению до ликвидации данного объекта.</w:t>
      </w:r>
    </w:p>
    <w:p>
      <w:pPr>
        <w:pStyle w:val="0"/>
        <w:spacing w:before="240" w:line-rule="auto"/>
        <w:ind w:firstLine="540"/>
        <w:jc w:val="both"/>
      </w:pPr>
      <w:r>
        <w:rPr>
          <w:sz w:val="24"/>
        </w:rPr>
        <w:t xml:space="preserve">Объектом является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pPr>
        <w:pStyle w:val="0"/>
        <w:spacing w:before="240" w:line-rule="auto"/>
        <w:ind w:firstLine="540"/>
        <w:jc w:val="both"/>
      </w:pPr>
      <w:r>
        <w:rPr>
          <w:sz w:val="24"/>
        </w:rPr>
        <w:t xml:space="preserve">3. Код объекта присваивается объекту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или органом исполнительной власти субъекта Российской Федерации при осуществлении государственного учета объектов, осуществляемого в форме ведения государственного реестра объектов в порядке, установленном Правительством Российской Федерации, в соответствии с </w:t>
      </w:r>
      <w:r>
        <w:rPr>
          <w:sz w:val="24"/>
        </w:rPr>
        <w:t xml:space="preserve">пунктом 10 статьи 69</w:t>
      </w:r>
      <w:r>
        <w:rPr>
          <w:sz w:val="24"/>
        </w:rPr>
        <w:t xml:space="preserve"> Федерального закона от 10 января 2002 г. N 7-ФЗ "Об охране окружающей среды".</w:t>
      </w:r>
    </w:p>
    <w:p>
      <w:pPr>
        <w:pStyle w:val="0"/>
        <w:jc w:val="both"/>
      </w:pPr>
      <w:r>
        <w:rPr>
          <w:sz w:val="24"/>
        </w:rPr>
        <w:t xml:space="preserve">(в ред. Приказов Минприроды России от 22.04.2022 </w:t>
      </w:r>
      <w:r>
        <w:rPr>
          <w:sz w:val="24"/>
        </w:rPr>
        <w:t xml:space="preserve">N 289</w:t>
      </w:r>
      <w:r>
        <w:rPr>
          <w:sz w:val="24"/>
        </w:rPr>
        <w:t xml:space="preserve">, от 07.05.2025 </w:t>
      </w:r>
      <w:r>
        <w:rPr>
          <w:sz w:val="24"/>
        </w:rPr>
        <w:t xml:space="preserve">N 255</w:t>
      </w:r>
      <w:r>
        <w:rPr>
          <w:sz w:val="24"/>
        </w:rPr>
        <w:t xml:space="preserve">)</w:t>
      </w:r>
    </w:p>
    <w:p>
      <w:pPr>
        <w:pStyle w:val="0"/>
        <w:spacing w:before="240" w:line-rule="auto"/>
        <w:ind w:firstLine="540"/>
        <w:jc w:val="both"/>
      </w:pPr>
      <w:r>
        <w:rPr>
          <w:sz w:val="24"/>
        </w:rPr>
        <w:t xml:space="preserve">4. Код объекта имеет следующую структуру:</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425"/>
        <w:gridCol w:w="413"/>
        <w:gridCol w:w="413"/>
        <w:gridCol w:w="413"/>
        <w:gridCol w:w="413"/>
        <w:gridCol w:w="413"/>
        <w:gridCol w:w="413"/>
        <w:gridCol w:w="413"/>
        <w:gridCol w:w="413"/>
        <w:gridCol w:w="413"/>
        <w:gridCol w:w="413"/>
        <w:gridCol w:w="413"/>
        <w:gridCol w:w="413"/>
        <w:gridCol w:w="413"/>
        <w:gridCol w:w="413"/>
        <w:gridCol w:w="413"/>
        <w:gridCol w:w="414"/>
        <w:gridCol w:w="1598"/>
      </w:tblGrid>
      <w:tr>
        <w:tc>
          <w:tcPr>
            <w:tcW w:w="1425" w:type="dxa"/>
            <w:tcBorders>
              <w:top w:val="nil"/>
              <w:left w:val="nil"/>
              <w:bottom w:val="nil"/>
            </w:tcBorders>
          </w:tcPr>
          <w:p>
            <w:pPr>
              <w:pStyle w:val="0"/>
            </w:pPr>
            <w:r>
              <w:rPr>
                <w:sz w:val="24"/>
              </w:rPr>
            </w:r>
          </w:p>
        </w:tc>
        <w:tc>
          <w:tcPr>
            <w:tcW w:w="413" w:type="dxa"/>
            <w:tcBorders>
              <w:top w:val="nil"/>
              <w:bottom w:val="nil"/>
            </w:tcBorders>
          </w:tcPr>
          <w:p>
            <w:pPr>
              <w:pStyle w:val="0"/>
              <w:jc w:val="center"/>
            </w:pPr>
            <w:r>
              <w:rPr>
                <w:sz w:val="24"/>
              </w:rPr>
              <w:t xml:space="preserve">А</w:t>
            </w:r>
          </w:p>
        </w:tc>
        <w:tc>
          <w:tcPr>
            <w:tcW w:w="413" w:type="dxa"/>
            <w:tcBorders>
              <w:top w:val="nil"/>
              <w:bottom w:val="nil"/>
            </w:tcBorders>
          </w:tcPr>
          <w:p>
            <w:pPr>
              <w:pStyle w:val="0"/>
              <w:jc w:val="center"/>
            </w:pPr>
            <w:r>
              <w:rPr>
                <w:sz w:val="24"/>
              </w:rPr>
              <w:t xml:space="preserve">А</w:t>
            </w:r>
          </w:p>
        </w:tc>
        <w:tc>
          <w:tcPr>
            <w:tcW w:w="413" w:type="dxa"/>
            <w:tcBorders>
              <w:top w:val="nil"/>
              <w:bottom w:val="nil"/>
            </w:tcBorders>
          </w:tcPr>
          <w:p>
            <w:pPr>
              <w:pStyle w:val="0"/>
              <w:jc w:val="center"/>
            </w:pPr>
            <w:r>
              <w:rPr>
                <w:sz w:val="24"/>
              </w:rPr>
              <w:t xml:space="preserve">-</w:t>
            </w:r>
          </w:p>
        </w:tc>
        <w:tc>
          <w:tcPr>
            <w:tcW w:w="413" w:type="dxa"/>
            <w:tcBorders>
              <w:top w:val="nil"/>
              <w:bottom w:val="nil"/>
            </w:tcBorders>
          </w:tcPr>
          <w:p>
            <w:pPr>
              <w:pStyle w:val="0"/>
              <w:jc w:val="center"/>
            </w:pPr>
            <w:r>
              <w:rPr>
                <w:sz w:val="24"/>
              </w:rPr>
              <w:t xml:space="preserve">Б</w:t>
            </w:r>
          </w:p>
        </w:tc>
        <w:tc>
          <w:tcPr>
            <w:tcW w:w="413" w:type="dxa"/>
            <w:tcBorders>
              <w:top w:val="nil"/>
              <w:bottom w:val="nil"/>
            </w:tcBorders>
          </w:tcPr>
          <w:p>
            <w:pPr>
              <w:pStyle w:val="0"/>
              <w:jc w:val="center"/>
            </w:pPr>
            <w:r>
              <w:rPr>
                <w:sz w:val="24"/>
              </w:rPr>
              <w:t xml:space="preserve">Б</w:t>
            </w:r>
          </w:p>
        </w:tc>
        <w:tc>
          <w:tcPr>
            <w:tcW w:w="413" w:type="dxa"/>
            <w:tcBorders>
              <w:top w:val="nil"/>
              <w:bottom w:val="nil"/>
            </w:tcBorders>
          </w:tcPr>
          <w:p>
            <w:pPr>
              <w:pStyle w:val="0"/>
              <w:jc w:val="center"/>
            </w:pPr>
            <w:r>
              <w:rPr>
                <w:sz w:val="24"/>
              </w:rPr>
              <w:t xml:space="preserve">Б</w:t>
            </w:r>
          </w:p>
        </w:tc>
        <w:tc>
          <w:tcPr>
            <w:tcW w:w="413" w:type="dxa"/>
            <w:tcBorders>
              <w:top w:val="nil"/>
              <w:bottom w:val="nil"/>
            </w:tcBorders>
          </w:tcPr>
          <w:p>
            <w:pPr>
              <w:pStyle w:val="0"/>
              <w:jc w:val="center"/>
            </w:pPr>
            <w:r>
              <w:rPr>
                <w:sz w:val="24"/>
              </w:rPr>
              <w:t xml:space="preserve">Б</w:t>
            </w:r>
          </w:p>
        </w:tc>
        <w:tc>
          <w:tcPr>
            <w:tcW w:w="413" w:type="dxa"/>
            <w:tcBorders>
              <w:top w:val="nil"/>
              <w:bottom w:val="nil"/>
            </w:tcBorders>
          </w:tcPr>
          <w:p>
            <w:pPr>
              <w:pStyle w:val="0"/>
              <w:jc w:val="center"/>
            </w:pPr>
            <w:r>
              <w:rPr>
                <w:sz w:val="24"/>
              </w:rPr>
              <w:t xml:space="preserve">-</w:t>
            </w:r>
          </w:p>
        </w:tc>
        <w:tc>
          <w:tcPr>
            <w:tcW w:w="413" w:type="dxa"/>
            <w:tcBorders>
              <w:top w:val="nil"/>
              <w:bottom w:val="nil"/>
            </w:tcBorders>
          </w:tcPr>
          <w:p>
            <w:pPr>
              <w:pStyle w:val="0"/>
              <w:jc w:val="center"/>
            </w:pPr>
            <w:r>
              <w:rPr>
                <w:sz w:val="24"/>
              </w:rPr>
              <w:t xml:space="preserve">В</w:t>
            </w:r>
          </w:p>
        </w:tc>
        <w:tc>
          <w:tcPr>
            <w:tcW w:w="413" w:type="dxa"/>
            <w:tcBorders>
              <w:top w:val="nil"/>
              <w:bottom w:val="nil"/>
            </w:tcBorders>
          </w:tcPr>
          <w:p>
            <w:pPr>
              <w:pStyle w:val="0"/>
              <w:jc w:val="center"/>
            </w:pPr>
            <w:r>
              <w:rPr>
                <w:sz w:val="24"/>
              </w:rPr>
              <w:t xml:space="preserve">В</w:t>
            </w:r>
          </w:p>
        </w:tc>
        <w:tc>
          <w:tcPr>
            <w:tcW w:w="413" w:type="dxa"/>
            <w:tcBorders>
              <w:top w:val="nil"/>
              <w:bottom w:val="nil"/>
            </w:tcBorders>
          </w:tcPr>
          <w:p>
            <w:pPr>
              <w:pStyle w:val="0"/>
              <w:jc w:val="center"/>
            </w:pPr>
            <w:r>
              <w:rPr>
                <w:sz w:val="24"/>
              </w:rPr>
              <w:t xml:space="preserve">В</w:t>
            </w:r>
          </w:p>
        </w:tc>
        <w:tc>
          <w:tcPr>
            <w:tcW w:w="413" w:type="dxa"/>
            <w:tcBorders>
              <w:top w:val="nil"/>
              <w:bottom w:val="nil"/>
            </w:tcBorders>
          </w:tcPr>
          <w:p>
            <w:pPr>
              <w:pStyle w:val="0"/>
              <w:jc w:val="center"/>
            </w:pPr>
            <w:r>
              <w:rPr>
                <w:sz w:val="24"/>
              </w:rPr>
              <w:t xml:space="preserve">В</w:t>
            </w:r>
          </w:p>
        </w:tc>
        <w:tc>
          <w:tcPr>
            <w:tcW w:w="413" w:type="dxa"/>
            <w:tcBorders>
              <w:top w:val="nil"/>
              <w:bottom w:val="nil"/>
            </w:tcBorders>
          </w:tcPr>
          <w:p>
            <w:pPr>
              <w:pStyle w:val="0"/>
              <w:jc w:val="center"/>
            </w:pPr>
            <w:r>
              <w:rPr>
                <w:sz w:val="24"/>
              </w:rPr>
              <w:t xml:space="preserve">В</w:t>
            </w:r>
          </w:p>
        </w:tc>
        <w:tc>
          <w:tcPr>
            <w:tcW w:w="413" w:type="dxa"/>
            <w:tcBorders>
              <w:top w:val="nil"/>
              <w:bottom w:val="nil"/>
            </w:tcBorders>
          </w:tcPr>
          <w:p>
            <w:pPr>
              <w:pStyle w:val="0"/>
              <w:jc w:val="center"/>
            </w:pPr>
            <w:r>
              <w:rPr>
                <w:sz w:val="24"/>
              </w:rPr>
              <w:t xml:space="preserve">В</w:t>
            </w:r>
          </w:p>
        </w:tc>
        <w:tc>
          <w:tcPr>
            <w:tcW w:w="413" w:type="dxa"/>
            <w:tcBorders>
              <w:top w:val="nil"/>
              <w:bottom w:val="nil"/>
            </w:tcBorders>
          </w:tcPr>
          <w:p>
            <w:pPr>
              <w:pStyle w:val="0"/>
              <w:jc w:val="center"/>
            </w:pPr>
            <w:r>
              <w:rPr>
                <w:sz w:val="24"/>
              </w:rPr>
              <w:t xml:space="preserve">-</w:t>
            </w:r>
          </w:p>
        </w:tc>
        <w:tc>
          <w:tcPr>
            <w:tcW w:w="414" w:type="dxa"/>
            <w:tcBorders>
              <w:top w:val="nil"/>
              <w:bottom w:val="nil"/>
            </w:tcBorders>
          </w:tcPr>
          <w:p>
            <w:pPr>
              <w:pStyle w:val="0"/>
              <w:jc w:val="center"/>
            </w:pPr>
            <w:r>
              <w:rPr>
                <w:sz w:val="24"/>
              </w:rPr>
              <w:t xml:space="preserve">Г</w:t>
            </w:r>
          </w:p>
        </w:tc>
        <w:tc>
          <w:tcPr>
            <w:tcW w:w="1598" w:type="dxa"/>
            <w:tcBorders>
              <w:top w:val="nil"/>
              <w:bottom w:val="nil"/>
              <w:right w:val="nil"/>
            </w:tcBorders>
          </w:tcPr>
          <w:p>
            <w:pPr>
              <w:pStyle w:val="0"/>
            </w:pPr>
            <w:r>
              <w:rPr>
                <w:sz w:val="24"/>
              </w:rPr>
              <w:t xml:space="preserve">, где</w:t>
            </w:r>
          </w:p>
        </w:tc>
      </w:tr>
    </w:tbl>
    <w:p>
      <w:pPr>
        <w:pStyle w:val="0"/>
        <w:jc w:val="both"/>
      </w:pPr>
      <w:r>
        <w:rPr>
          <w:sz w:val="24"/>
        </w:rPr>
      </w:r>
    </w:p>
    <w:p>
      <w:pPr>
        <w:pStyle w:val="0"/>
        <w:ind w:firstLine="540"/>
        <w:jc w:val="both"/>
      </w:pPr>
      <w:r>
        <w:rPr>
          <w:sz w:val="24"/>
        </w:rPr>
        <w:t xml:space="preserve">АА - первые две цифры кода, обозначающего субъект Российской Федерации, согласно Общероссийскому </w:t>
      </w:r>
      <w:r>
        <w:rPr>
          <w:sz w:val="24"/>
        </w:rPr>
        <w:t xml:space="preserve">классификатору</w:t>
      </w:r>
      <w:r>
        <w:rPr>
          <w:sz w:val="24"/>
        </w:rPr>
        <w:t xml:space="preserve"> территорий муниципальных образований (ОКТМО), на территории которого находится объект, в случае нахождения объекта во внутренних морских водах, территориальном море Российской Федерации в качестве кода указывается буквенное значение "М" и буквенное значение моря по признаку: Азовское море - "А", Балтийское море - "Б", Баренцево море - "В", Белое море - "Г", Берингово море - "Д", Восточно-Сибирское море - "Е", Карское море - "Ж", Каспийское море - "З", Море Лаптевых - "И", Охотское море - "К", Черное море - "Л", Чукотское море - "М", Японское море - "Н", в случае нахождения объекта на континентальном шельфе Российской Федерации в качестве кода указывается буквенное значение "Ш" и буквенное значение моря;</w:t>
      </w:r>
    </w:p>
    <w:p>
      <w:pPr>
        <w:pStyle w:val="0"/>
        <w:jc w:val="both"/>
      </w:pPr>
      <w:r>
        <w:rPr>
          <w:sz w:val="24"/>
        </w:rPr>
        <w:t xml:space="preserve">(в ред. </w:t>
      </w:r>
      <w:r>
        <w:rPr>
          <w:sz w:val="24"/>
        </w:rPr>
        <w:t xml:space="preserve">Приказа</w:t>
      </w:r>
      <w:r>
        <w:rPr>
          <w:sz w:val="24"/>
        </w:rPr>
        <w:t xml:space="preserve"> Минприроды России от 07.05.2025 N 255)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с 1 сентября 2025 года. - </w:t>
      </w:r>
      <w:r>
        <w:rPr>
          <w:sz w:val="24"/>
        </w:rPr>
        <w:t xml:space="preserve">Приказ</w:t>
      </w:r>
      <w:r>
        <w:rPr>
          <w:sz w:val="24"/>
        </w:rPr>
        <w:t xml:space="preserve"> Минприроды России от 07.05.2025 N 255.</w:t>
      </w:r>
    </w:p>
    <w:p>
      <w:pPr>
        <w:pStyle w:val="0"/>
        <w:jc w:val="both"/>
      </w:pPr>
      <w:r>
        <w:rPr>
          <w:sz w:val="24"/>
        </w:rPr>
      </w:r>
    </w:p>
    <w:p>
      <w:pPr>
        <w:pStyle w:val="0"/>
        <w:ind w:firstLine="540"/>
        <w:jc w:val="both"/>
      </w:pPr>
      <w:r>
        <w:rPr>
          <w:sz w:val="24"/>
        </w:rPr>
        <w:t xml:space="preserve">ББББ - код территориального органа Федеральной службы по надзору в сфере природопользования, код Федеральной службы безопасности Российской Федерации, код Федеральной службы охраны Российской Федерации, код органа исполнительной власти субъекта Российской Федерации, уполномоченного на ведение государственного учета объектов, которыми присвоен код объекта;</w:t>
      </w:r>
    </w:p>
    <w:p>
      <w:pPr>
        <w:pStyle w:val="0"/>
        <w:jc w:val="both"/>
      </w:pPr>
      <w:r>
        <w:rPr>
          <w:sz w:val="24"/>
        </w:rPr>
        <w:t xml:space="preserve">(в ред. Приказов Минприроды России от 22.04.2022 </w:t>
      </w:r>
      <w:r>
        <w:rPr>
          <w:sz w:val="24"/>
        </w:rPr>
        <w:t xml:space="preserve">N 289</w:t>
      </w:r>
      <w:r>
        <w:rPr>
          <w:sz w:val="24"/>
        </w:rPr>
        <w:t xml:space="preserve">, от 07.05.2025 </w:t>
      </w:r>
      <w:r>
        <w:rPr>
          <w:sz w:val="24"/>
        </w:rPr>
        <w:t xml:space="preserve">N 255</w:t>
      </w:r>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 </w:t>
      </w:r>
      <w:r>
        <w:rPr>
          <w:sz w:val="24"/>
        </w:rPr>
        <w:t xml:space="preserve">Приказ</w:t>
      </w:r>
      <w:r>
        <w:rPr>
          <w:sz w:val="24"/>
        </w:rPr>
        <w:t xml:space="preserve"> Минприроды России от 22.04.2022 N 289.</w:t>
      </w:r>
    </w:p>
    <w:p>
      <w:pPr>
        <w:pStyle w:val="0"/>
        <w:jc w:val="both"/>
      </w:pPr>
      <w:r>
        <w:rPr>
          <w:sz w:val="24"/>
        </w:rPr>
      </w:r>
    </w:p>
    <w:p>
      <w:pPr>
        <w:pStyle w:val="0"/>
        <w:ind w:firstLine="540"/>
        <w:jc w:val="both"/>
      </w:pPr>
      <w:r>
        <w:rPr>
          <w:sz w:val="24"/>
        </w:rPr>
        <w:t xml:space="preserve">ВВВВВВ - порядковый номер объекта, присвоенный территориальным органом Федеральной службы по надзору в сфере природопользования, Федеральной службой безопасности Российской Федерации, Федеральной службой охраны Российской Федерации, органом исполнительной власти субъекта Российской Федерации, уполномоченным на ведение государственного учета объектов, и соответствующий порядковому номеру заявки о постановке объекта на государственный учет, присваивается автоматически при внесении сведений в государственный реестр объектов;</w:t>
      </w:r>
    </w:p>
    <w:p>
      <w:pPr>
        <w:pStyle w:val="0"/>
        <w:jc w:val="both"/>
      </w:pPr>
      <w:r>
        <w:rPr>
          <w:sz w:val="24"/>
        </w:rPr>
        <w:t xml:space="preserve">(в ред. </w:t>
      </w:r>
      <w:r>
        <w:rPr>
          <w:sz w:val="24"/>
        </w:rPr>
        <w:t xml:space="preserve">Приказа</w:t>
      </w:r>
      <w:r>
        <w:rPr>
          <w:sz w:val="24"/>
        </w:rPr>
        <w:t xml:space="preserve"> Минприроды России от 07.05.2025 N 255)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с 1 сентября 2025 года. - </w:t>
      </w:r>
      <w:r>
        <w:rPr>
          <w:sz w:val="24"/>
        </w:rPr>
        <w:t xml:space="preserve">Приказ</w:t>
      </w:r>
      <w:r>
        <w:rPr>
          <w:sz w:val="24"/>
        </w:rPr>
        <w:t xml:space="preserve"> Минприроды России от 07.05.2025 N 255.</w:t>
      </w:r>
    </w:p>
    <w:p>
      <w:pPr>
        <w:pStyle w:val="0"/>
        <w:jc w:val="both"/>
      </w:pPr>
      <w:r>
        <w:rPr>
          <w:sz w:val="24"/>
        </w:rPr>
      </w:r>
    </w:p>
    <w:p>
      <w:pPr>
        <w:pStyle w:val="0"/>
        <w:ind w:firstLine="540"/>
        <w:jc w:val="both"/>
      </w:pPr>
      <w:r>
        <w:rPr>
          <w:sz w:val="24"/>
        </w:rPr>
        <w:t xml:space="preserve">Г - обозначение вида объекта по площадной характеристике "Т" - точечный, "П" - площадной, "Л" - линейный.</w:t>
      </w:r>
    </w:p>
    <w:p>
      <w:pPr>
        <w:pStyle w:val="0"/>
        <w:spacing w:before="240" w:line-rule="auto"/>
        <w:ind w:firstLine="540"/>
        <w:jc w:val="both"/>
      </w:pPr>
      <w:r>
        <w:rPr>
          <w:sz w:val="24"/>
        </w:rPr>
        <w:t xml:space="preserve">5. Сведения о присвоении кода объекта отражаются в свидетельстве о постановке на государственный учет объекта, выдаваемом юридическому лицу или индивидуальному предпринимателю, осуществляющим хозяйственную и (или) иную деятельность на указанном объекте.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23.12.2015 N 553</w:t>
            <w:br/>
            <w:t>(ред. от 07.05.2025)</w:t>
            <w:br/>
            <w:t>"Об утверждении порядка формирования кодов объектов,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23.12.2015 N 553
(ред. от 07.05.2025)
"Об утверждении порядка формирования кодов объектов, оказывающих негативное воздействие на окружающую среду, и присвоения их соответствующим объектам"
(Зарегистрировано в Минюсте России 27.01.2016 N 40808)</dc:title>
  <dcterms:created xsi:type="dcterms:W3CDTF">2025-09-02T09:36:00Z</dcterms:created>
</cp:coreProperties>
</file>