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18" w:rsidRDefault="004C2A1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C2A18" w:rsidRDefault="004C2A18">
      <w:pPr>
        <w:pStyle w:val="ConsPlusNormal"/>
        <w:jc w:val="both"/>
        <w:outlineLvl w:val="0"/>
      </w:pPr>
    </w:p>
    <w:p w:rsidR="004C2A18" w:rsidRDefault="004C2A1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C2A18" w:rsidRDefault="004C2A18">
      <w:pPr>
        <w:pStyle w:val="ConsPlusTitle"/>
        <w:jc w:val="center"/>
      </w:pPr>
    </w:p>
    <w:p w:rsidR="004C2A18" w:rsidRDefault="004C2A18">
      <w:pPr>
        <w:pStyle w:val="ConsPlusTitle"/>
        <w:jc w:val="center"/>
      </w:pPr>
      <w:r>
        <w:t>ПОСТАНОВЛЕНИЕ</w:t>
      </w:r>
    </w:p>
    <w:p w:rsidR="004C2A18" w:rsidRDefault="004C2A18">
      <w:pPr>
        <w:pStyle w:val="ConsPlusTitle"/>
        <w:jc w:val="center"/>
      </w:pPr>
      <w:r>
        <w:t>от 30 июня 2021 г. N 1089</w:t>
      </w:r>
    </w:p>
    <w:p w:rsidR="004C2A18" w:rsidRDefault="004C2A18">
      <w:pPr>
        <w:pStyle w:val="ConsPlusTitle"/>
        <w:jc w:val="center"/>
      </w:pPr>
    </w:p>
    <w:p w:rsidR="004C2A18" w:rsidRDefault="004C2A18">
      <w:pPr>
        <w:pStyle w:val="ConsPlusTitle"/>
        <w:jc w:val="center"/>
      </w:pPr>
      <w:r>
        <w:t>О ФЕДЕРАЛЬНОМ ГОСУДАРСТВЕННОМ КОНТРОЛЕ (НАДЗОРЕ)</w:t>
      </w:r>
    </w:p>
    <w:p w:rsidR="004C2A18" w:rsidRDefault="004C2A18">
      <w:pPr>
        <w:pStyle w:val="ConsPlusTitle"/>
        <w:jc w:val="center"/>
      </w:pPr>
      <w:r>
        <w:t>В ОБЛАСТИ ОБРАЩЕНИЯ С ЖИВОТНЫМИ</w:t>
      </w:r>
    </w:p>
    <w:p w:rsidR="004C2A18" w:rsidRDefault="004C2A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2A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A18" w:rsidRDefault="004C2A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A18" w:rsidRDefault="004C2A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2A18" w:rsidRDefault="004C2A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2A18" w:rsidRDefault="004C2A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26.01.2022 N 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A18" w:rsidRDefault="004C2A18">
            <w:pPr>
              <w:pStyle w:val="ConsPlusNormal"/>
            </w:pPr>
          </w:p>
        </w:tc>
      </w:tr>
    </w:tbl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9 части 1 статьи 5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1">
        <w:r>
          <w:rPr>
            <w:color w:val="0000FF"/>
          </w:rPr>
          <w:t>Положение</w:t>
        </w:r>
      </w:hyperlink>
      <w:r>
        <w:t xml:space="preserve"> о федеральном государственном контроле (надзоре) в области обращения с животными.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ноября 2019 г. N 1560 "Об утверждении Правил организации и осуществления государственного надзора в области обращения с животными" (Собрание законодательства Российской Федерации, 2019, N 49, ст. 7138).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3.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4. Включенные в план проведения плановых проверок на 2021 год проверки в рамках государственного надзора в области обращения с животными, дата начала которых наступает позже 30 июня 2021 г., подлежат проведению в рамках федерального государственного контроля (надзора) в соответствии с </w:t>
      </w:r>
      <w:hyperlink w:anchor="P31">
        <w:r>
          <w:rPr>
            <w:color w:val="0000FF"/>
          </w:rPr>
          <w:t>Положением</w:t>
        </w:r>
      </w:hyperlink>
      <w:r>
        <w:t>, утвержденным настоящим постановлением.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его официального опубликования.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Normal"/>
        <w:jc w:val="right"/>
      </w:pPr>
      <w:r>
        <w:t>Председатель Правительства</w:t>
      </w:r>
    </w:p>
    <w:p w:rsidR="004C2A18" w:rsidRDefault="004C2A18">
      <w:pPr>
        <w:pStyle w:val="ConsPlusNormal"/>
        <w:jc w:val="right"/>
      </w:pPr>
      <w:r>
        <w:t>Российской Федерации</w:t>
      </w:r>
    </w:p>
    <w:p w:rsidR="004C2A18" w:rsidRDefault="004C2A18">
      <w:pPr>
        <w:pStyle w:val="ConsPlusNormal"/>
        <w:jc w:val="right"/>
      </w:pPr>
      <w:r>
        <w:t>М.МИШУСТИН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Normal"/>
        <w:jc w:val="right"/>
        <w:outlineLvl w:val="0"/>
      </w:pPr>
      <w:r>
        <w:t>Утверждено</w:t>
      </w:r>
    </w:p>
    <w:p w:rsidR="004C2A18" w:rsidRDefault="004C2A18">
      <w:pPr>
        <w:pStyle w:val="ConsPlusNormal"/>
        <w:jc w:val="right"/>
      </w:pPr>
      <w:r>
        <w:t>постановлением Правительства</w:t>
      </w:r>
    </w:p>
    <w:p w:rsidR="004C2A18" w:rsidRDefault="004C2A18">
      <w:pPr>
        <w:pStyle w:val="ConsPlusNormal"/>
        <w:jc w:val="right"/>
      </w:pPr>
      <w:r>
        <w:t>Российской Федерации</w:t>
      </w:r>
    </w:p>
    <w:p w:rsidR="004C2A18" w:rsidRDefault="004C2A18">
      <w:pPr>
        <w:pStyle w:val="ConsPlusNormal"/>
        <w:jc w:val="right"/>
      </w:pPr>
      <w:r>
        <w:t>от 30 июня 2021 г. N 1089</w:t>
      </w:r>
    </w:p>
    <w:p w:rsidR="004C2A18" w:rsidRDefault="004C2A18">
      <w:pPr>
        <w:pStyle w:val="ConsPlusNormal"/>
        <w:jc w:val="right"/>
      </w:pPr>
    </w:p>
    <w:p w:rsidR="004C2A18" w:rsidRDefault="004C2A18">
      <w:pPr>
        <w:pStyle w:val="ConsPlusTitle"/>
        <w:jc w:val="center"/>
      </w:pPr>
      <w:bookmarkStart w:id="0" w:name="P31"/>
      <w:bookmarkEnd w:id="0"/>
      <w:r>
        <w:t>ПОЛОЖЕНИЕ</w:t>
      </w:r>
    </w:p>
    <w:p w:rsidR="004C2A18" w:rsidRDefault="004C2A18">
      <w:pPr>
        <w:pStyle w:val="ConsPlusTitle"/>
        <w:jc w:val="center"/>
      </w:pPr>
      <w:r>
        <w:t>О ФЕДЕРАЛЬНОМ ГОСУДАРСТВЕННОМ КОНТРОЛЕ (НАДЗОРЕ) В ОБЛАСТИ</w:t>
      </w:r>
    </w:p>
    <w:p w:rsidR="004C2A18" w:rsidRDefault="004C2A18">
      <w:pPr>
        <w:pStyle w:val="ConsPlusTitle"/>
        <w:jc w:val="center"/>
      </w:pPr>
      <w:r>
        <w:lastRenderedPageBreak/>
        <w:t>ОБРАЩЕНИЯ С ЖИВОТНЫМИ</w:t>
      </w:r>
    </w:p>
    <w:p w:rsidR="004C2A18" w:rsidRDefault="004C2A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2A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A18" w:rsidRDefault="004C2A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A18" w:rsidRDefault="004C2A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2A18" w:rsidRDefault="004C2A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2A18" w:rsidRDefault="004C2A1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26.01.2022 N 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2A18" w:rsidRDefault="004C2A18">
            <w:pPr>
              <w:pStyle w:val="ConsPlusNormal"/>
            </w:pPr>
          </w:p>
        </w:tc>
      </w:tr>
    </w:tbl>
    <w:p w:rsidR="004C2A18" w:rsidRDefault="004C2A18">
      <w:pPr>
        <w:pStyle w:val="ConsPlusNormal"/>
        <w:jc w:val="center"/>
      </w:pPr>
    </w:p>
    <w:p w:rsidR="004C2A18" w:rsidRDefault="004C2A18">
      <w:pPr>
        <w:pStyle w:val="ConsPlusTitle"/>
        <w:jc w:val="center"/>
        <w:outlineLvl w:val="1"/>
      </w:pPr>
      <w:r>
        <w:t>I. Общие положения</w:t>
      </w:r>
    </w:p>
    <w:p w:rsidR="004C2A18" w:rsidRDefault="004C2A18">
      <w:pPr>
        <w:pStyle w:val="ConsPlusNormal"/>
        <w:jc w:val="center"/>
      </w:pPr>
    </w:p>
    <w:p w:rsidR="004C2A18" w:rsidRDefault="004C2A18">
      <w:pPr>
        <w:pStyle w:val="ConsPlusNormal"/>
        <w:ind w:firstLine="540"/>
        <w:jc w:val="both"/>
      </w:pPr>
      <w:r>
        <w:t>1 Настоящее Положение устанавливает порядок организации и осуществления федерального государственного контроля (надзора) в области обращения с животными, за исключением обращения со служебными животными (далее - государственный контроль (надзор).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2. Предметом государственного контроля (надзора) являются: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а) соблюдение юридическими лицами, индивидуальными предпринимателями и гражданами (далее - контролируемые лица) обязательных требований в области обращения с животными, установленных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"Об ответственном обращении с животными и о внесении изменений в отдельные законодательные акты Российской Федерации" и принимаемыми в соответствии с ним иными нормативными правовыми актами Российской Федерации в области обращения с животными, при содержании и использовании диких животных, содержащихся или используемых в условиях неволи, содержании и использовании животных в культурно-зрелищных целях (далее - обязательные требования);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б) соблюдение юридическими лицами, индивидуальными предпринимателями (далее - организации) лицензионных требований при осуществлении деятельности по содержанию и использованию животных в зоопарках, зоосадах, цирках, зоотеатрах, дельфинариях и океанариумах.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3. Государственный контроль (надзор) осуществляется следующими контрольными (надзорными) органами: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Федеральная служба по надзору в сфере природопользования и ее территориальные органы в части соблюдения требований к содержанию и использованию диких животных, содержащихся или используемых в условиях неволи, в том числе принадлежащих к видам, занесенным в Красную книгу Российской Федерации и (или) охраняемым международными договорами Российской Федерации (за исключением соблюдения требований к содержанию и использованию таких животных в культурно-зрелищных целях);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Федеральная служба по ветеринарному и фитосанитарному надзору и ее территориальные органы в части соблюдения требований к содержанию и использованию животных в культурно-зрелищных целях, лицензионных требований при осуществлении деятельности по содержанию и использованию животных в зоопарках, зоосадах, цирках, зоотеатрах, дельфинариях и океанариумах.</w:t>
      </w:r>
    </w:p>
    <w:p w:rsidR="004C2A18" w:rsidRDefault="004C2A18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26.01.2022 N 51)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4. Должностными лицами, уполномоченными на осуществление государственного контроля (надзора), являются: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а) руководители Федеральной службы по надзору в сфере природопользования и Федеральной службы по ветеринарному и фитосанитарному надзору;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б) заместители руководителя Федеральной службы по надзору в сфере природопользования и Федеральной службы по ветеринарному и фитосанитарному надзору, на которых в соответствии с должностными регламентами возложено осуществление государственного контроля (надзора);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в) руководители структурных подразделений Федеральной службы по ветеринарному и </w:t>
      </w:r>
      <w:r>
        <w:lastRenderedPageBreak/>
        <w:t>фитосанитарному надзору и Федеральной службы по надзору в сфере природопользования, на которых в соответствии с должностными регламентами возложено осуществление государственного контроля (надзора);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г) руководители или заместители руководителей территориальных органов Федеральной службы по ветеринарному и фитосанитарному надзору и Федеральной службы по надзору в сфере природопользования, на которых в соответствии с должностными регламентами возложено осуществление государственного контроля (надзора);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д) другие должностные лица Федеральной службы по ветеринарному и фитосанитарному надзору и Федеральной службы по надзору в сфере природопользования и их территориальных органов, на которых в соответствии с должностными регламентами возложено осуществление государственного контроля (надзора).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5. Должностными лицами, уполномоченными на принятие решений о проведении контрольных (надзорных) мероприятий, являются: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а) руководитель или заместители руководителя Федеральной службы по надзору в сфере природопользования и руководитель или заместители руководителя Федеральной службы по ветеринарному и фитосанитарному надзору;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б) руководитель или заместители руководителя территориальных органов Федеральной службы по надзору в сфере природопользования и руководитель или заместители руководителя территориальных органов Федеральной службы по ветеринарному и фитосанитарному надзору.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6. Должностные лица, осуществляющие государственный контроль (надзор), при проведении контрольного (надзорного) мероприятия в пределах своих полномочий и в объеме проводимых контрольных (надзорных) действий пользуются правами, установленными </w:t>
      </w:r>
      <w:hyperlink r:id="rId11">
        <w:r>
          <w:rPr>
            <w:color w:val="0000FF"/>
          </w:rPr>
          <w:t>частью 2 статьи 29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а также </w:t>
      </w:r>
      <w:hyperlink r:id="rId12">
        <w:r>
          <w:rPr>
            <w:color w:val="0000FF"/>
          </w:rPr>
          <w:t>частями 5</w:t>
        </w:r>
      </w:hyperlink>
      <w:r>
        <w:t xml:space="preserve"> и </w:t>
      </w:r>
      <w:hyperlink r:id="rId13">
        <w:r>
          <w:rPr>
            <w:color w:val="0000FF"/>
          </w:rPr>
          <w:t>6 статьи 19</w:t>
        </w:r>
      </w:hyperlink>
      <w: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7. К отношениям, связанным с осуществлением государственного контроля (надзора), применяются положения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2"/>
      </w:pPr>
      <w:r>
        <w:t>Объекты государственного контроля (надзора)</w:t>
      </w:r>
    </w:p>
    <w:p w:rsidR="004C2A18" w:rsidRDefault="004C2A18">
      <w:pPr>
        <w:pStyle w:val="ConsPlusNormal"/>
        <w:jc w:val="center"/>
      </w:pPr>
    </w:p>
    <w:p w:rsidR="004C2A18" w:rsidRDefault="004C2A18">
      <w:pPr>
        <w:pStyle w:val="ConsPlusNormal"/>
        <w:ind w:firstLine="540"/>
        <w:jc w:val="both"/>
      </w:pPr>
      <w:r>
        <w:t>8. Объектами государственного контроля (надзора) (далее - объект контроля) Федеральной службы по ветеринарному и фитосанитарному надзору в рамках государственного контроля (надзора) являются: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а) деятельность по содержанию и использованию животных в культурно-зрелищных целях;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б) здания, помещения, сооружения, оборудование, устройства, предметы, материалы, транспортные средства и другие объекты, которыми контролируемые лица владеют и (или) пользуются при содержании и использовании животных в культурно-зрелищных целях.</w:t>
      </w:r>
    </w:p>
    <w:p w:rsidR="004C2A18" w:rsidRDefault="004C2A18">
      <w:pPr>
        <w:pStyle w:val="ConsPlusNormal"/>
        <w:spacing w:before="220"/>
        <w:ind w:firstLine="540"/>
        <w:jc w:val="both"/>
      </w:pPr>
      <w:bookmarkStart w:id="1" w:name="P64"/>
      <w:bookmarkEnd w:id="1"/>
      <w:r>
        <w:t>9. Учет объектов контроля Федеральной службой по ветеринарному и фитосанитарному надзору осуществляется: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а) при лицензировании деятельности по содержанию и использованию животных в зоопарках, зоосадах, цирках, зоотеатрах, дельфинариях, океанариумах;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б) путем получения информации о содержании животных гражданами и организациями по </w:t>
      </w:r>
      <w:r>
        <w:lastRenderedPageBreak/>
        <w:t>итогам проведения контрольных (надзорных) мероприятий;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в) путем получения информации об объектах контроля из федеральной государственной информационной системы в области ветеринарии;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г) путем получения информации о содержании и использовании животных в культурно-зрелищных целях гражданами и организациями по итогам проведения профилактических мероприятий, контрольных (надзорных) мероприятий, межведомственного взаимодействия, а также с учетом информации, содержащейся в государственных информационных ресурсах.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10. Объектами контроля Федеральной службы по надзору в сфере природопользования в рамках государственного контроля (надзора) являются: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а) деятельность контролируемых лиц и организаций по содержанию и использованию диких животных, содержащихся или используемых в условиях неволи, в том числе принадлежащих к видам, занесенным в Красную книгу Российской Федерации и (или) охраняемым международными договорами Российской Федерации;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б) здания, помещения, сооружения, оборудование, устройства, предметы, материалы, транспортные средства и другие объекты, которыми контролируемые лица владеют и (или) пользуются при содержании и использовании диких животных, содержащихся или используемых в условиях неволи, в том числе принадлежащих к видам, занесенным в Красную книгу Российской Федерации и (или) охраняемым международными договорами Российской Федерации (за исключением содержания и использования животных в культурно-зрелищных целях).</w:t>
      </w:r>
    </w:p>
    <w:p w:rsidR="004C2A18" w:rsidRDefault="004C2A18">
      <w:pPr>
        <w:pStyle w:val="ConsPlusNormal"/>
        <w:spacing w:before="220"/>
        <w:ind w:firstLine="540"/>
        <w:jc w:val="both"/>
      </w:pPr>
      <w:bookmarkStart w:id="2" w:name="P72"/>
      <w:bookmarkEnd w:id="2"/>
      <w:r>
        <w:t>11. Учет объектов контроля Федеральной службой по надзору в сфере природопользования осуществляется: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а) при ведении государственного учета зоологических коллекций и отдельных экспонатов;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б) при выдаче разрешений на: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использование объектов животного мира, занесенных в Красную книгу Российской Федерации, а также находящихся на особо охраняемых природных территориях федерального значения;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оборот диких животных, принадлежащих к видам, занесенным в Красную книгу Российской Федерации;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содержание и разведение объектов животного мира, занесенных в Красную книгу Российской Федерации, в полувольных условиях и искусственно созданной среде обитания;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содержание и разведение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акклиматизацию новых для фауны Российской Федерации объектов животного мира;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переселение объектов животного мира в новые места обитания, гибридизацию объектов животного мира, ввоз в Российскую Федерацию зоологических коллекций, ввоз в Российскую Федерацию видов дикой фауны и флоры, находящихся под угрозой исчезновения, их частей или дериватов, подпадающих под действие </w:t>
      </w:r>
      <w:hyperlink r:id="rId15">
        <w:r>
          <w:rPr>
            <w:color w:val="0000FF"/>
          </w:rPr>
          <w:t>Конвенции</w:t>
        </w:r>
      </w:hyperlink>
      <w:r>
        <w:t xml:space="preserve"> о международной торговле видами дикой фауны и флоры, находящимися под угрозой исчезновения (далее - Конвенция), кроме осетровых видов рыб и продукции из них, включая икру;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в) путем получения от органов государственной власти субъектов Российской Федерации информации о выданных разрешениях на: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lastRenderedPageBreak/>
        <w:t>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содержание и разведение объектов животного мира, в том числе отнесенных к охотничьим ресурсам, в полувольных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полувольных условиях и искусственно созданной среде обитания, находящихся на особо охраняемых природных территориях федерального значения;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г) путем получения информации о содержании животных гражданами и организациями по итогам проведения контрольных (надзорных) мероприятий;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д) при получении информации о ввозе на территорию Российской Федерации животных, полученной от административных органов </w:t>
      </w:r>
      <w:hyperlink r:id="rId16">
        <w:r>
          <w:rPr>
            <w:color w:val="0000FF"/>
          </w:rPr>
          <w:t>Конвенции</w:t>
        </w:r>
      </w:hyperlink>
      <w:r>
        <w:t xml:space="preserve"> иностранных государств.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12. Контрольными (надзорными) органами осуществляется фиксация сведений об объектах контроля путем их внесения в учетные документы.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Учетный документ может быть создан как на бумажном, так и на электронном носителе и представляет собой перечень сведений об объекте контроля.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Внесение сведений об объектах контроля осуществляется в течение 2 рабочих дней со дня их поступления.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13. Формирование и ведение учетных документов осуществляется по каждому объекту контроля отдельно.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1"/>
      </w:pPr>
      <w:r>
        <w:t>II. Управление рисками причинения вреда</w:t>
      </w:r>
    </w:p>
    <w:p w:rsidR="004C2A18" w:rsidRDefault="004C2A18">
      <w:pPr>
        <w:pStyle w:val="ConsPlusTitle"/>
        <w:jc w:val="center"/>
      </w:pPr>
      <w:r>
        <w:t>(ущерба) охраняемым законом ценностям при осуществлении</w:t>
      </w:r>
    </w:p>
    <w:p w:rsidR="004C2A18" w:rsidRDefault="004C2A18">
      <w:pPr>
        <w:pStyle w:val="ConsPlusTitle"/>
        <w:jc w:val="center"/>
      </w:pPr>
      <w:r>
        <w:t>государственного контроля (надзора)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Normal"/>
        <w:ind w:firstLine="540"/>
        <w:jc w:val="both"/>
      </w:pPr>
      <w:r>
        <w:t>14. При осуществлении государственного контроля (надзора) применяется система оценки и управления рисками.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15. Контрольные (надзорные) органы при осуществлении государственного контроля (надзора) относят объекты контроля, предусмотренные </w:t>
      </w:r>
      <w:hyperlink w:anchor="P64">
        <w:r>
          <w:rPr>
            <w:color w:val="0000FF"/>
          </w:rPr>
          <w:t>пунктами 9</w:t>
        </w:r>
      </w:hyperlink>
      <w:r>
        <w:t xml:space="preserve"> и </w:t>
      </w:r>
      <w:hyperlink w:anchor="P72">
        <w:r>
          <w:rPr>
            <w:color w:val="0000FF"/>
          </w:rPr>
          <w:t>11</w:t>
        </w:r>
      </w:hyperlink>
      <w:r>
        <w:t xml:space="preserve"> настоящего Положения, к одной из следующих категорий риска причинения вреда (ущерба) (далее - категории риска):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чрезвычайно высокий риск;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высокий риск;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значительный риск;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средний риск;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умеренный риск;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низкий риск.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2"/>
      </w:pPr>
      <w:r>
        <w:t>Критерии отнесения объектов контроля к категориям риска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Normal"/>
        <w:ind w:firstLine="540"/>
        <w:jc w:val="both"/>
      </w:pPr>
      <w:bookmarkStart w:id="3" w:name="P106"/>
      <w:bookmarkEnd w:id="3"/>
      <w:r>
        <w:t>16. В рамках осуществления государственного контроля (надзора) объекты контроля относятся к следующим категориям риска:</w:t>
      </w:r>
    </w:p>
    <w:p w:rsidR="004C2A18" w:rsidRDefault="004C2A18">
      <w:pPr>
        <w:pStyle w:val="ConsPlusNormal"/>
        <w:spacing w:before="220"/>
        <w:ind w:firstLine="540"/>
        <w:jc w:val="both"/>
      </w:pPr>
      <w:bookmarkStart w:id="4" w:name="P107"/>
      <w:bookmarkEnd w:id="4"/>
      <w:r>
        <w:lastRenderedPageBreak/>
        <w:t>а) к категории высокого риска:</w:t>
      </w:r>
    </w:p>
    <w:p w:rsidR="004C2A18" w:rsidRDefault="004C2A18">
      <w:pPr>
        <w:pStyle w:val="ConsPlusNormal"/>
        <w:spacing w:before="220"/>
        <w:ind w:firstLine="540"/>
        <w:jc w:val="both"/>
      </w:pPr>
      <w:bookmarkStart w:id="5" w:name="P108"/>
      <w:bookmarkEnd w:id="5"/>
      <w:r>
        <w:t xml:space="preserve">деятельность граждан и организаций по содержанию видов животных, указанных в приложении I к </w:t>
      </w:r>
      <w:hyperlink r:id="rId17">
        <w:r>
          <w:rPr>
            <w:color w:val="0000FF"/>
          </w:rPr>
          <w:t>Конвенции</w:t>
        </w:r>
      </w:hyperlink>
      <w:r>
        <w:t xml:space="preserve"> о международной торговле видами дикой фауны и флоры, находящимися под угрозой исчезновения (Вашингтон, 3 марта 1973 г.), занесенных в Красную книгу Российской Федерации с категориями статуса редкости 0, 1, 2, 3;</w:t>
      </w:r>
    </w:p>
    <w:p w:rsidR="004C2A18" w:rsidRDefault="004C2A18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деятельность в области обращения с животными по содержанию и использованию диких животных, содержащихся или используемых в условиях неволи, осуществляемая в зоне экологического бедствия или в зоне чрезвычайной экологической ситуации;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деятельность цирков, дельфинариев, зоопарков, зоосадов, зоотеатров, океанариумов;</w:t>
      </w:r>
    </w:p>
    <w:p w:rsidR="004C2A18" w:rsidRDefault="004C2A18">
      <w:pPr>
        <w:pStyle w:val="ConsPlusNormal"/>
        <w:spacing w:before="220"/>
        <w:ind w:firstLine="540"/>
        <w:jc w:val="both"/>
      </w:pPr>
      <w:bookmarkStart w:id="7" w:name="P111"/>
      <w:bookmarkEnd w:id="7"/>
      <w:r>
        <w:t xml:space="preserve">б) к категории среднего риска - деятельность граждан и организаций по содержанию видов животных (не указанных в </w:t>
      </w:r>
      <w:hyperlink w:anchor="P107">
        <w:r>
          <w:rPr>
            <w:color w:val="0000FF"/>
          </w:rPr>
          <w:t>подпункте "а"</w:t>
        </w:r>
      </w:hyperlink>
      <w:r>
        <w:t xml:space="preserve"> настоящего пункта):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занесенных в Красную книгу Российской Федерации с категориями статуса редкости 4, 5;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указанных в приложениях II, III к </w:t>
      </w:r>
      <w:hyperlink r:id="rId18">
        <w:r>
          <w:rPr>
            <w:color w:val="0000FF"/>
          </w:rPr>
          <w:t>Конвенции</w:t>
        </w:r>
      </w:hyperlink>
      <w:r>
        <w:t>;</w:t>
      </w:r>
    </w:p>
    <w:p w:rsidR="004C2A18" w:rsidRDefault="004C2A18">
      <w:pPr>
        <w:pStyle w:val="ConsPlusNormal"/>
        <w:spacing w:before="220"/>
        <w:ind w:firstLine="540"/>
        <w:jc w:val="both"/>
      </w:pPr>
      <w:bookmarkStart w:id="8" w:name="P114"/>
      <w:bookmarkEnd w:id="8"/>
      <w:r>
        <w:t xml:space="preserve">в) к категории низкого риска - деятельность по содержанию и использованию диких животных, содержащихся или используемых в условиях неволи, содержанию и использованию животных в культурно-зрелищных целях, а также деятельность граждан и организаций по содержанию видов животных, которые не указаны в </w:t>
      </w:r>
      <w:hyperlink w:anchor="P107">
        <w:r>
          <w:rPr>
            <w:color w:val="0000FF"/>
          </w:rPr>
          <w:t>подпунктах "а"</w:t>
        </w:r>
      </w:hyperlink>
      <w:r>
        <w:t xml:space="preserve"> и </w:t>
      </w:r>
      <w:hyperlink w:anchor="P11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17. Объекты контроля, подлежащие отнесению в соответствии с </w:t>
      </w:r>
      <w:hyperlink w:anchor="P106">
        <w:r>
          <w:rPr>
            <w:color w:val="0000FF"/>
          </w:rPr>
          <w:t>пунктом 16</w:t>
        </w:r>
      </w:hyperlink>
      <w:r>
        <w:t xml:space="preserve"> настоящего Положения к категориям высокого, среднего, низкого риска, при наличии следующих решений, вступивших в законную силу в течение 3 лет, предшествующих дате принятия решения об отнесении объекта к категории риска, подлежат отнесению к следующим соответствующим категориям: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а) категория чрезвычайно высокого риска: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обвинительный приговор, предусматривающий признание должностного лица организации, гражданина, осуществляющих деятельность по обращению с животными, виновным в совершении преступления, предусмотренного </w:t>
      </w:r>
      <w:hyperlink r:id="rId19">
        <w:r>
          <w:rPr>
            <w:color w:val="0000FF"/>
          </w:rPr>
          <w:t>статьей 245</w:t>
        </w:r>
      </w:hyperlink>
      <w:r>
        <w:t xml:space="preserve"> Уголовного кодекса Российской Федерации;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постановление о назначении административного наказания, за исключением административного наказания в виде предупреждения, организации, ее должностным лицам, гражданину за совершение административного правонарушения, предусмотренного </w:t>
      </w:r>
      <w:hyperlink r:id="rId20">
        <w:r>
          <w:rPr>
            <w:color w:val="0000FF"/>
          </w:rPr>
          <w:t>статьей 8.35</w:t>
        </w:r>
      </w:hyperlink>
      <w:r>
        <w:t xml:space="preserve">, </w:t>
      </w:r>
      <w:hyperlink r:id="rId21">
        <w:r>
          <w:rPr>
            <w:color w:val="0000FF"/>
          </w:rPr>
          <w:t>частью 3 статьи 8.37</w:t>
        </w:r>
      </w:hyperlink>
      <w:r>
        <w:t xml:space="preserve"> Кодекса Российской Федерации об административных правонарушениях, вынесенного должностными лицами Федеральной службы по надзору в сфере природопользования, иными уполномоченными органами исполнительной власти или судом на основании протокола об административном правонарушении, составленного должностными лицами таких органов (в отношении деятельности, предусмотренной </w:t>
      </w:r>
      <w:hyperlink w:anchor="P108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09">
        <w:r>
          <w:rPr>
            <w:color w:val="0000FF"/>
          </w:rPr>
          <w:t>третьим подпункта "а" пункта 16</w:t>
        </w:r>
      </w:hyperlink>
      <w:r>
        <w:t xml:space="preserve"> настоящего Положения);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постановление о назначении административного наказания, за исключением административного наказания в виде предупреждения, организации, ее должностным лицам, индивидуальному предпринимателю, гражданину за совершение административного правонарушения, предусмотренного </w:t>
      </w:r>
      <w:hyperlink r:id="rId22">
        <w:r>
          <w:rPr>
            <w:color w:val="0000FF"/>
          </w:rPr>
          <w:t>частями 2</w:t>
        </w:r>
      </w:hyperlink>
      <w:r>
        <w:t xml:space="preserve"> - </w:t>
      </w:r>
      <w:hyperlink r:id="rId23">
        <w:r>
          <w:rPr>
            <w:color w:val="0000FF"/>
          </w:rPr>
          <w:t>4 статьи 14.1</w:t>
        </w:r>
      </w:hyperlink>
      <w:r>
        <w:t xml:space="preserve"> Кодекса Российской Федерации об административных правонарушениях, вынесенного уполномоченными органами исполнительной власти или судом на основании протокола об административном правонарушении, составленного должностными лицами таких органов или Федеральной службой по ветеринарному и фитосанитарному надзору;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lastRenderedPageBreak/>
        <w:t xml:space="preserve">б) категория значительного риска - постановление о назначении административного наказания, за исключением административного наказания в виде предупреждения, организации, ее должностным лицам, гражданину за совершение административного правонарушения, предусмотренного </w:t>
      </w:r>
      <w:hyperlink r:id="rId24">
        <w:r>
          <w:rPr>
            <w:color w:val="0000FF"/>
          </w:rPr>
          <w:t>статьей 8.35</w:t>
        </w:r>
      </w:hyperlink>
      <w:r>
        <w:t xml:space="preserve">, </w:t>
      </w:r>
      <w:hyperlink r:id="rId25">
        <w:r>
          <w:rPr>
            <w:color w:val="0000FF"/>
          </w:rPr>
          <w:t>частью 3 статьи 8.37</w:t>
        </w:r>
      </w:hyperlink>
      <w:r>
        <w:t xml:space="preserve"> Кодекса Российской Федерации об административных правонарушениях, вынесенного должностными лицами Федеральной службы по надзору в сфере природопользования, иными уполномоченными органами исполнительной власти или судом на основании протокола об административном правонарушении, составленного должностными лицами таких органов (в отношении деятельности, предусмотренной </w:t>
      </w:r>
      <w:hyperlink w:anchor="P111">
        <w:r>
          <w:rPr>
            <w:color w:val="0000FF"/>
          </w:rPr>
          <w:t>подпунктом "б" пункта 16</w:t>
        </w:r>
      </w:hyperlink>
      <w:r>
        <w:t xml:space="preserve"> настоящего Положения);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в) категория умеренного риска - постановление о назначении административного наказания, за исключением административного наказания в виде предупреждения, организации, ее должностным лицам, гражданину за совершение административного правонарушения, предусмотренного </w:t>
      </w:r>
      <w:hyperlink r:id="rId26">
        <w:r>
          <w:rPr>
            <w:color w:val="0000FF"/>
          </w:rPr>
          <w:t>статьей 8.35</w:t>
        </w:r>
      </w:hyperlink>
      <w:r>
        <w:t xml:space="preserve">, </w:t>
      </w:r>
      <w:hyperlink r:id="rId27">
        <w:r>
          <w:rPr>
            <w:color w:val="0000FF"/>
          </w:rPr>
          <w:t>частью 3 статьи 8.37</w:t>
        </w:r>
      </w:hyperlink>
      <w:r>
        <w:t xml:space="preserve"> Кодекса Российской Федерации об административных правонарушениях, вынесенного должностными лицами Федеральной службы по надзору в сфере природопользования, иными уполномоченными органами исполнительной власти или судом на основании протокола об административном правонарушении, составленного должностными лицами таких органов в отношении деятельности, предусмотренной </w:t>
      </w:r>
      <w:hyperlink w:anchor="P114">
        <w:r>
          <w:rPr>
            <w:color w:val="0000FF"/>
          </w:rPr>
          <w:t>подпунктом "в" пункта 16</w:t>
        </w:r>
      </w:hyperlink>
      <w:r>
        <w:t xml:space="preserve"> настоящего Положения).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2"/>
      </w:pPr>
      <w:r>
        <w:t>Учет рисков причинения вреда (ущерба)</w:t>
      </w:r>
    </w:p>
    <w:p w:rsidR="004C2A18" w:rsidRDefault="004C2A18">
      <w:pPr>
        <w:pStyle w:val="ConsPlusTitle"/>
        <w:jc w:val="center"/>
      </w:pPr>
      <w:r>
        <w:t>охраняемым законом ценностям при проведении контрольных</w:t>
      </w:r>
    </w:p>
    <w:p w:rsidR="004C2A18" w:rsidRDefault="004C2A18">
      <w:pPr>
        <w:pStyle w:val="ConsPlusTitle"/>
        <w:jc w:val="center"/>
      </w:pPr>
      <w:r>
        <w:t>(надзорных) мероприятий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Normal"/>
        <w:ind w:firstLine="540"/>
        <w:jc w:val="both"/>
      </w:pPr>
      <w:r>
        <w:t>18. Периодичность проведения плановых контрольных (надзорных) мероприятий в отношении объектов контроля в зависимости от присвоенной категории риска: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а) в отношении объектов контроля, отнесенных к категории чрезвычайно высокого риска, проводится одно из контрольных (надзорных) мероприятий, указанных в </w:t>
      </w:r>
      <w:hyperlink w:anchor="P205">
        <w:r>
          <w:rPr>
            <w:color w:val="0000FF"/>
          </w:rPr>
          <w:t>пункте 43</w:t>
        </w:r>
      </w:hyperlink>
      <w:r>
        <w:t xml:space="preserve"> настоящего Положения, с периодичностью один раз в год;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б) в отношении объектов контроля, отнесенных к категории высокого риска, проводится одно из контрольных (надзорных) мероприятий, указанных в </w:t>
      </w:r>
      <w:hyperlink w:anchor="P205">
        <w:r>
          <w:rPr>
            <w:color w:val="0000FF"/>
          </w:rPr>
          <w:t>пункте 43</w:t>
        </w:r>
      </w:hyperlink>
      <w:r>
        <w:t xml:space="preserve"> настоящего Положения, с периодичностью один раз в 2 года;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в) в отношении объектов контроля, отнесенных к категории значительного риска, проводится одно из контрольных (надзорных) мероприятий, указанных в </w:t>
      </w:r>
      <w:hyperlink w:anchor="P205">
        <w:r>
          <w:rPr>
            <w:color w:val="0000FF"/>
          </w:rPr>
          <w:t>пункте 43</w:t>
        </w:r>
      </w:hyperlink>
      <w:r>
        <w:t xml:space="preserve"> настоящего Положения, с периодичностью один раз в 3 года;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г) в отношении объектов контроля, отнесенных к категории среднего риска, проводится одно из контрольных (надзорных) мероприятий, указанных в </w:t>
      </w:r>
      <w:hyperlink w:anchor="P205">
        <w:r>
          <w:rPr>
            <w:color w:val="0000FF"/>
          </w:rPr>
          <w:t>пункте 43</w:t>
        </w:r>
      </w:hyperlink>
      <w:r>
        <w:t xml:space="preserve"> настоящего Положения, с периодичностью один раз в 4 года;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д) в отношении объектов контроля, отнесенных к категории умеренного риска, проводится одно из контрольных (надзорных) мероприятий, указанных в </w:t>
      </w:r>
      <w:hyperlink w:anchor="P205">
        <w:r>
          <w:rPr>
            <w:color w:val="0000FF"/>
          </w:rPr>
          <w:t>пункте 43</w:t>
        </w:r>
      </w:hyperlink>
      <w:r>
        <w:t xml:space="preserve"> настоящего Положения, с периодичностью один раз в 5 лет.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1"/>
      </w:pPr>
      <w:r>
        <w:t>III. Профилактика рисков причинения вреда (ущерба)</w:t>
      </w:r>
    </w:p>
    <w:p w:rsidR="004C2A18" w:rsidRDefault="004C2A18">
      <w:pPr>
        <w:pStyle w:val="ConsPlusTitle"/>
        <w:jc w:val="center"/>
      </w:pPr>
      <w:r>
        <w:t>охраняемым законом ценностям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Normal"/>
        <w:ind w:firstLine="540"/>
        <w:jc w:val="both"/>
      </w:pPr>
      <w:r>
        <w:t>19. При осуществлении государственного контроля (надзора) могут проводиться следующие виды профилактических мероприятий: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информирование;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lastRenderedPageBreak/>
        <w:t>обобщение правоприменительной практики;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объявление предостережения;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консультирование;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профилактический визит.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2"/>
      </w:pPr>
      <w:r>
        <w:t>Обобщение правоприменительной практики</w:t>
      </w:r>
    </w:p>
    <w:p w:rsidR="004C2A18" w:rsidRDefault="004C2A18">
      <w:pPr>
        <w:pStyle w:val="ConsPlusNormal"/>
        <w:jc w:val="center"/>
      </w:pPr>
    </w:p>
    <w:p w:rsidR="004C2A18" w:rsidRDefault="004C2A18">
      <w:pPr>
        <w:pStyle w:val="ConsPlusNormal"/>
        <w:ind w:firstLine="540"/>
        <w:jc w:val="both"/>
      </w:pPr>
      <w:r>
        <w:t>20. Доклад о правоприменительной практике готовится ежегодно до 1 марта года, следующего за отчетным, и подлежит публичному обсуждению.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21. Доклад о правоприменительной практике утверждается приказами (распоряжениями) руководителей контрольных (надзорных) органов и размещается на официальных сайтах в информационно-телекоммуникационной сети "Интернет" в срок до 1 апреля года, следующего за отчетным годом.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2"/>
      </w:pPr>
      <w:r>
        <w:t>Объявление предостережения</w:t>
      </w:r>
    </w:p>
    <w:p w:rsidR="004C2A18" w:rsidRDefault="004C2A18">
      <w:pPr>
        <w:pStyle w:val="ConsPlusNormal"/>
        <w:jc w:val="center"/>
      </w:pPr>
    </w:p>
    <w:p w:rsidR="004C2A18" w:rsidRDefault="004C2A18">
      <w:pPr>
        <w:pStyle w:val="ConsPlusNormal"/>
        <w:ind w:firstLine="540"/>
        <w:jc w:val="both"/>
      </w:pPr>
      <w:r>
        <w:t>22. В случае наличия у контрольных (надзорных) органов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контрольные (надзорные) органы объявляют контролируемому лицу предостережение о недопустимости нарушения обязательных требований (далее - предостережение) и предлагают принять меры по обеспечению соблюдения обязательных требований.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23. Контролируемое лицо вправе подать возражение в отношении предостережения в срок не позднее 30 дней со дня его получения в тот контрольный (надзорный) орган или его территориальное подразделение, которым объявлено предостережение.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24. Возражение в отношении предостережения рассматривается должностными лицами контрольных (надзорных) органов в течение 30 дней со дня его получения. После чего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2"/>
      </w:pPr>
      <w:r>
        <w:t>Консультирование</w:t>
      </w:r>
    </w:p>
    <w:p w:rsidR="004C2A18" w:rsidRDefault="004C2A18">
      <w:pPr>
        <w:pStyle w:val="ConsPlusNormal"/>
        <w:jc w:val="center"/>
      </w:pPr>
    </w:p>
    <w:p w:rsidR="004C2A18" w:rsidRDefault="004C2A18">
      <w:pPr>
        <w:pStyle w:val="ConsPlusNormal"/>
        <w:ind w:firstLine="540"/>
        <w:jc w:val="both"/>
      </w:pPr>
      <w:bookmarkStart w:id="9" w:name="P157"/>
      <w:bookmarkEnd w:id="9"/>
      <w:r>
        <w:t>25. Консультирование осуществляется должностными лицами контрольных (надзорных) органов по телефону, посредством видео-конференц-связи, на личном приеме.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26. 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4C2A18" w:rsidRDefault="004C2A18">
      <w:pPr>
        <w:pStyle w:val="ConsPlusNormal"/>
        <w:spacing w:before="220"/>
        <w:ind w:firstLine="540"/>
        <w:jc w:val="both"/>
      </w:pPr>
      <w:bookmarkStart w:id="10" w:name="P159"/>
      <w:bookmarkEnd w:id="10"/>
      <w:r>
        <w:t>27. Консультирование осуществляется по следующим вопросам: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контроля (надзора);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разъяснение положений нормативных правовых актов, регламентирующих порядок осуществления государственного контроля (надзора);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порядок обжалования действий или бездействия должностных лиц.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lastRenderedPageBreak/>
        <w:t xml:space="preserve">28. Письменное консультирование осуществляется по вопросам, предусмотренным </w:t>
      </w:r>
      <w:hyperlink w:anchor="P159">
        <w:r>
          <w:rPr>
            <w:color w:val="0000FF"/>
          </w:rPr>
          <w:t>пунктом 27</w:t>
        </w:r>
      </w:hyperlink>
      <w:r>
        <w:t xml:space="preserve"> настоящего Положения, в случае поступления обращения в письменной форме.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29. 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контрольных (надзорных) органов, в информационно-телекоммуникационной сети "Интернет" письменного разъяснения, подписанного уполномоченным должностным лицом указанных органов.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30. По итогам консультирования информация в письменной форме контролируемым лицам и их представителям не предоставляется, за исключением случаев направления контролируемым лицом запроса о предоставлении письменного ответа в сроки, установленные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"О порядке рассмотрения обращений граждан Российской Федерации".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2"/>
      </w:pPr>
      <w:r>
        <w:t>Профилактический визит</w:t>
      </w:r>
    </w:p>
    <w:p w:rsidR="004C2A18" w:rsidRDefault="004C2A18">
      <w:pPr>
        <w:pStyle w:val="ConsPlusNormal"/>
        <w:jc w:val="center"/>
      </w:pPr>
    </w:p>
    <w:p w:rsidR="004C2A18" w:rsidRDefault="004C2A18">
      <w:pPr>
        <w:pStyle w:val="ConsPlusNormal"/>
        <w:ind w:firstLine="540"/>
        <w:jc w:val="both"/>
      </w:pPr>
      <w:r>
        <w:t>31. Обязательные профилактические визиты проводятся в отношении: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а) объектов контроля, отнесенных к категориям чрезвычайно высокого, высокого и значительного риска;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б) контролируемых лиц, приступающих к осуществлению деятельности в области обращения с животными.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32. Контрольные (надзорные) органы предлагают проведение профилактического визита лицам, приступающим к осуществлению деятельности в области обращения с животными, не позднее чем в течение 1 года с момента ее начала.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33. Профилактический визит проводится должностными лицами, уполномоченными на осуществление государственного контроля (надзора),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 его полномочиях, а также об особенностях организации и осуществления государственного надзора, проводимого в отношении объекта контроля.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34. 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контролируемого лица, исходя из отнесения его к категории риска.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35. В ходе профилактического визита должностными лицами, уполномоченными на осуществление государственного контроля (надзора), может осуществляться консультирование контролируемого лица в порядке, установленном </w:t>
      </w:r>
      <w:hyperlink w:anchor="P157">
        <w:r>
          <w:rPr>
            <w:color w:val="0000FF"/>
          </w:rPr>
          <w:t>пунктом 25</w:t>
        </w:r>
      </w:hyperlink>
      <w:r>
        <w:t xml:space="preserve"> настоящего Положения, а также </w:t>
      </w:r>
      <w:hyperlink r:id="rId29">
        <w:r>
          <w:rPr>
            <w:color w:val="0000FF"/>
          </w:rPr>
          <w:t>статьей 50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36. О проведении обязательного профилактического визита контролируемое лицо уведомляется органом государственного надзора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 и установленном </w:t>
      </w:r>
      <w:hyperlink r:id="rId30">
        <w:r>
          <w:rPr>
            <w:color w:val="0000FF"/>
          </w:rPr>
          <w:t>частью 4 статьи 21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37. Контролируемое лицо вправе отказаться от проведения обязательного </w:t>
      </w:r>
      <w:r>
        <w:lastRenderedPageBreak/>
        <w:t>профилактического визита, уведомив об этом должностное лицо, уполномоченное на осуществление государственного контроля (надзора),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38. Обязательный профилактический визит проводится в течение 1 рабочего дня. По ходатайству должностного лица, проводящего профилактический визит, руководители (заместители руководителей) контрольных (надзорных) органов или их территориальных органов могут продлить срок проведения профилактического визита не более чем на 3 рабочих дня.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39. 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1"/>
      </w:pPr>
      <w:r>
        <w:t>IV. Осуществление государственного контроля (надзора)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Normal"/>
        <w:ind w:firstLine="540"/>
        <w:jc w:val="both"/>
      </w:pPr>
      <w:r>
        <w:t>40.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41. В целях фиксации должностным лицом, уполномоченным на осуществление государственного контроля (надзора) (далее - инспектор), и лицами, обладающими специальными знаниями и навыками, необходимыми для оказания содействия контрольным (надзорным) органам, в том числе при применении технических средств, привлекаемыми к совершению контрольных (надзорных) действий (далее - специалисты), доказательств нарушений обязательных требований могут использоваться фотосъемка, аудио- и видеозапись.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Решение об использовании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мероприятий, совершении контрольных (надзорных) действий принимается инспекторами и специалистами самостоятельно.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В обязательном порядке инспектором и специалистом для доказательства нарушений обязательных требований используется фотосъемка, аудио- и видеозапись, иные способы фиксации доказательств в случаях: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проведения контрольного (надзорного) мероприятия в отношении контролируемого лица, которым создавались (создаются) препятствия в проведении контрольного (надзорного) мероприятия, совершении контрольных (надзорных) действий;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если в ходе проведения контрольного (надзорного) мероприятия усматривается состав административного правонарушения, за совершение которого предусмотрено административное приостановление деятельности;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проведения досмотра в ходе контрольного (надзорного) мероприятия в отсутствие контролируемого лица;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проведения выездной проверки.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При досмотре, осуществляемом в присутствии контролируемого лица или его представителя, может применяться видеозапись.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</w:t>
      </w:r>
      <w:r>
        <w:lastRenderedPageBreak/>
        <w:t>Информация о проведении фотосъемки, аудио- и видеозаписи и использованных для этих целей технических средствах отражается в акте контрольного (надзорного) мероприятия.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Проведение фотосъемки, аудио- и видеозаписи осуществляется с обязательным уведомлением контролируемого лица.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42. Индивидуальный предприниматель,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в случае введения режима повышенной готовности или чрезвычайной ситуации на всей территории Российской Федерации либо на ее части;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при наличии обстоятельств, требующих безотлагательного присутствия индивидуального предпринимателя, гражданина в ином месте во время проведения контрольного (надзорного) мероприятия (при представлении подтверждающих документов).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Проведение контрольного (надзорного) мероприятия переносится контрольными (надзорными) органами на срок, необходимый для устранения обстоятельств, послуживших поводом для такого обращения индивидуального предпринимателя, гражданина.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2"/>
      </w:pPr>
      <w:r>
        <w:t>Контрольные (надзорные) мероприятия</w:t>
      </w:r>
    </w:p>
    <w:p w:rsidR="004C2A18" w:rsidRDefault="004C2A18">
      <w:pPr>
        <w:pStyle w:val="ConsPlusNormal"/>
        <w:jc w:val="center"/>
      </w:pPr>
    </w:p>
    <w:p w:rsidR="004C2A18" w:rsidRDefault="004C2A18">
      <w:pPr>
        <w:pStyle w:val="ConsPlusNormal"/>
        <w:ind w:firstLine="540"/>
        <w:jc w:val="both"/>
      </w:pPr>
      <w:bookmarkStart w:id="11" w:name="P205"/>
      <w:bookmarkEnd w:id="11"/>
      <w:r>
        <w:t>43. Государственный контроль (надзор) осуществляется посредством проведения следующих контрольных (надзорных) мероприятий: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инспекционный визит;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рейдовый осмотр;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документарная проверка;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выездная проверка.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44. Без взаимодействия с контролируемым лицом проводятся следующие контрольные (надзорные) мероприятия: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наблюдение за соблюдением обязательных требований;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выездное обследование.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44(1). Федеральная служба по ветеринарному и фитосанитарному надзору и ее </w:t>
      </w:r>
      <w:r>
        <w:lastRenderedPageBreak/>
        <w:t>территориальные органы для проведения экспертизы могут привлекать экспертов и экспертные организации, включая подведомственные Федеральной службе по ветеринарному и фитосанитарному надзору и ее территориальным органам федеральные государственные бюджетные учреждения, лаборатории (испытательные центры), входящие в систему органов и организаций Государственной ветеринарной службы Российской Федерации, аккредитованные в национальной системе аккредитации, а также иные лаборатории, аккредитованные в национальной системе аккредитации.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В целях проведения Федеральной службой по ветеринарному и фитосанитарному надзору и ее территориальными органами государственного контроля (надзора) отбор проб (образцов), инструментальное обследование, испытание осуществляются в том числе специалистами подведомственных им федеральных государственных бюджетных учреждений.</w:t>
      </w:r>
    </w:p>
    <w:p w:rsidR="004C2A18" w:rsidRDefault="004C2A18">
      <w:pPr>
        <w:pStyle w:val="ConsPlusNormal"/>
        <w:jc w:val="both"/>
      </w:pPr>
      <w:r>
        <w:t xml:space="preserve">(п. 44(1)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РФ от 26.01.2022 N 51)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44(2). Федеральная служба по надзору в сфере природопользования для проведения экспертизы может привлекать экспертов и экспертные организации, включая подведомственные Федеральной службе по надзору в сфере природопользования федеральные государственные бюджетные учреждения, аккредитованные в национальной системе аккредитации.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В целях проведения Федеральной службой по надзору в сфере природопользования государственного контроля (надзора) отбор проб (образцов) осуществляется в том числе специалистами подведомственных ей федеральных государственных бюджетных учреждений.</w:t>
      </w:r>
    </w:p>
    <w:p w:rsidR="004C2A18" w:rsidRDefault="004C2A18">
      <w:pPr>
        <w:pStyle w:val="ConsPlusNormal"/>
        <w:jc w:val="both"/>
      </w:pPr>
      <w:r>
        <w:t xml:space="preserve">(п. 44(2)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26.01.2022 N 51)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2"/>
      </w:pPr>
      <w:r>
        <w:t>Инспекционный визит</w:t>
      </w:r>
    </w:p>
    <w:p w:rsidR="004C2A18" w:rsidRDefault="004C2A18">
      <w:pPr>
        <w:pStyle w:val="ConsPlusNormal"/>
        <w:jc w:val="center"/>
      </w:pPr>
    </w:p>
    <w:p w:rsidR="004C2A18" w:rsidRDefault="004C2A18">
      <w:pPr>
        <w:pStyle w:val="ConsPlusNormal"/>
        <w:ind w:firstLine="540"/>
        <w:jc w:val="both"/>
      </w:pPr>
      <w:r>
        <w:t>45. В ходе инспекционного визита могут совершаться следующие контрольные (надзорные) действия: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осмотр;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опрос;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инструментальное обследование;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2"/>
      </w:pPr>
      <w:r>
        <w:t>Рейдовый осмотр</w:t>
      </w:r>
    </w:p>
    <w:p w:rsidR="004C2A18" w:rsidRDefault="004C2A18">
      <w:pPr>
        <w:pStyle w:val="ConsPlusNormal"/>
        <w:jc w:val="center"/>
      </w:pPr>
    </w:p>
    <w:p w:rsidR="004C2A18" w:rsidRDefault="004C2A18">
      <w:pPr>
        <w:pStyle w:val="ConsPlusNormal"/>
        <w:ind w:firstLine="540"/>
        <w:jc w:val="both"/>
      </w:pPr>
      <w:r>
        <w:t>46. В ходе рейдового осмотра могут совершаться следующие контрольные (надзорные) действия: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осмотр;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досмотр;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опрос;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истребование документов;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lastRenderedPageBreak/>
        <w:t>отбор проб (образцов);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инструментальное обследование;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испытание;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экспертиза.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2"/>
      </w:pPr>
      <w:r>
        <w:t>Документарная проверка</w:t>
      </w:r>
    </w:p>
    <w:p w:rsidR="004C2A18" w:rsidRDefault="004C2A18">
      <w:pPr>
        <w:pStyle w:val="ConsPlusNormal"/>
        <w:jc w:val="center"/>
      </w:pPr>
    </w:p>
    <w:p w:rsidR="004C2A18" w:rsidRDefault="004C2A18">
      <w:pPr>
        <w:pStyle w:val="ConsPlusNormal"/>
        <w:ind w:firstLine="540"/>
        <w:jc w:val="both"/>
      </w:pPr>
      <w:r>
        <w:t>47. В ходе документарной проверки могут совершаться следующие контрольные (надзорные) действия: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истребование документов;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экспертиза.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2"/>
      </w:pPr>
      <w:r>
        <w:t>Выездная проверка</w:t>
      </w:r>
    </w:p>
    <w:p w:rsidR="004C2A18" w:rsidRDefault="004C2A18">
      <w:pPr>
        <w:pStyle w:val="ConsPlusNormal"/>
        <w:jc w:val="center"/>
      </w:pPr>
    </w:p>
    <w:p w:rsidR="004C2A18" w:rsidRDefault="004C2A18">
      <w:pPr>
        <w:pStyle w:val="ConsPlusNormal"/>
        <w:ind w:firstLine="540"/>
        <w:jc w:val="both"/>
      </w:pPr>
      <w:r>
        <w:t>48. В ходе выездной проверки могут совершаться следующие контрольные (надзорные) действия: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осмотр;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досмотр;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опрос;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получение письменных объяснений;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истребование документов;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отбор проб (образцов);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инструментальное обследование;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испытание;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экспертиза.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49. Срок проведения выездной проверки составляет не более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2"/>
      </w:pPr>
      <w:r>
        <w:t>Выездное обследование</w:t>
      </w:r>
    </w:p>
    <w:p w:rsidR="004C2A18" w:rsidRDefault="004C2A18">
      <w:pPr>
        <w:pStyle w:val="ConsPlusNormal"/>
        <w:jc w:val="center"/>
      </w:pPr>
    </w:p>
    <w:p w:rsidR="004C2A18" w:rsidRDefault="004C2A18">
      <w:pPr>
        <w:pStyle w:val="ConsPlusNormal"/>
        <w:ind w:firstLine="540"/>
        <w:jc w:val="both"/>
      </w:pPr>
      <w:r>
        <w:t>50. В ходе выездного обследования могут совершаться следующие контрольные (надзорные) действия: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осмотр;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отбор проб (образцов);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инструментальное обследование (с применением видеозаписи);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lastRenderedPageBreak/>
        <w:t>испытание;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экспертиза.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2"/>
      </w:pPr>
      <w:r>
        <w:t>Порядок отбора проб (образцов)</w:t>
      </w:r>
    </w:p>
    <w:p w:rsidR="004C2A18" w:rsidRDefault="004C2A18">
      <w:pPr>
        <w:pStyle w:val="ConsPlusNormal"/>
        <w:jc w:val="center"/>
      </w:pPr>
    </w:p>
    <w:p w:rsidR="004C2A18" w:rsidRDefault="004C2A18">
      <w:pPr>
        <w:pStyle w:val="ConsPlusNormal"/>
        <w:ind w:firstLine="540"/>
        <w:jc w:val="both"/>
      </w:pPr>
      <w:r>
        <w:t>51. Отбор проб (образцов) при осуществлении рейдового осмотра, выездной проверки проводится должностными лицами контрольных (надзорных) органов в присутствии представителей контролируемых лиц.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Отбор проб (образцов) при осуществлении выездного обследования проводится должностными лицами контрольных (надзорных) органов в необходимых количествах без взаимодействия с контролируемым лицом.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По результатам отбора проб (образцов) должностным лицом контрольного (надзорного) органа составляется протокол отбора проб (образцов).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Отбор проб (образцов) осуществляется непосредственно в ходе проведения контрольного (надзорного) мероприятия должностными лицами, уполномоченными на осуществление государственного контроля (надзора), или специалистом.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Отбор проб (образцов) включает в себя последовательность следующих действий: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определение (выбор) проб (образцов), подлежащих отбору, и точек отбора;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определение метода отбора пробы (образца), подготовку или обработку проб (образцов) вещества, материала или продукции в целях получения требуемой пробы (образца);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отбор пробы (образца) и ее упаковку.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Способ упаковки отобранной пробы (образца) должен обеспечивать ее (его) сохранность и пригодность для дальнейшего соответствующего исследования, испытания, экспертизы.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Непосредственно после отбора проб (образцов) на месте должностными лицами, уполномоченными на осуществление государственного контроля (надзора), составляется протокол отбора проб (образцов), в котором указывают: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номер и дату составления протокола отбора проб (образцов);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порядковый номер каждой пробы (образца), если их отобрано более 2;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наименование продукции, предмета, проба (образец) которых отобрана;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сорт или категорию продукции (при их наличии);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дату изготовления продукции;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наименование и место нахождения (юридический адрес) изготовителя (предприятия, название судна) или отправителя и страны;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обозначение документа, в соответствии с которым изготовлена продукция (при наличии), договора (контракта);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дату и место отбора пробы;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номер партии (при его наличии);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lastRenderedPageBreak/>
        <w:t>объем или массу партии;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номер ассортиментного знака и (или) изготовителя продукции (при их наличии);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номер единицы тары, из которой отобрана проба;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массу, объем или число проб;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срок и условия хранения пробы до испытаний;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цель направления пробы;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название и адрес юридического лица (поставщика, приемщика или органа контроля), по поручению которого проводится отбор проб или выборок;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фамилии и должности лиц, отобравших пробу.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Отобранные пробы (образцы) прилагаются к протоколу отбора проб (образцов).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Протокол отбора проб (образцов) прилагается к акту контрольного (надзорного) мероприятия, копия протокола вручается контролируемому лицу или его представителю.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Отбор проб (образцов) при проведении контрольных (надзорных) мероприятий в отсутствие контролируемого лица или его представителя проводится с обязательным использованием видеозаписи. Отбор проб (образцов) производится с использованием ручного инструмента, без изъятия или ухудшения качественных характеристик предметов, подвергнутых отбору проб (образцов).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Пробы (образцы) отбираются в количестве, предусмотренном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Отбор проб (образцов) не проводится в отношении оборудования, устройств, предметов, материалов, не связанных с содержанием животных и их использованием.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1"/>
      </w:pPr>
      <w:r>
        <w:t>V. Особенности оценки соблюдения лицензионных требований</w:t>
      </w:r>
    </w:p>
    <w:p w:rsidR="004C2A18" w:rsidRDefault="004C2A18">
      <w:pPr>
        <w:pStyle w:val="ConsPlusTitle"/>
        <w:jc w:val="center"/>
      </w:pPr>
      <w:r>
        <w:t>контролируемыми лицами, имеющими лицензию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Normal"/>
        <w:ind w:firstLine="540"/>
        <w:jc w:val="both"/>
      </w:pPr>
      <w:r>
        <w:t xml:space="preserve">52. Оценка соблюдения лицензионных требований контролируемыми лицами, имеющими лицензию, осуществляется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и принимаемыми в его исполнение нормативными правовыми актами.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1"/>
      </w:pPr>
      <w:r>
        <w:t>VI. Специальные режимы государственного контроля (надзора)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2"/>
      </w:pPr>
      <w:r>
        <w:t>Мониторинг</w:t>
      </w:r>
    </w:p>
    <w:p w:rsidR="004C2A18" w:rsidRDefault="004C2A18">
      <w:pPr>
        <w:pStyle w:val="ConsPlusNormal"/>
        <w:jc w:val="center"/>
      </w:pPr>
    </w:p>
    <w:p w:rsidR="004C2A18" w:rsidRDefault="004C2A18">
      <w:pPr>
        <w:pStyle w:val="ConsPlusNormal"/>
        <w:ind w:firstLine="540"/>
        <w:jc w:val="both"/>
      </w:pPr>
      <w:r>
        <w:t>53. Мониторинг осуществляется в случае изъявления желания контролируемого лица.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54. Требованием, которому должно соответствовать контролируемое лицо для осуществления мониторинга, является наличие возможности для подключения систем (методов) дистанционного контроля, в том числе с применением специальных технических средств, имеющих функции фотосъемки, аудио- и видеозаписи, измерения.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55. Мониторинг осуществляется посредством: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а) сбора информации о состоянии контролируемого лица с использованием систем (методов) </w:t>
      </w:r>
      <w:r>
        <w:lastRenderedPageBreak/>
        <w:t>дистанционного контроля, в том числе с применением специальных технических средств, имеющих функции фотосъемки, аудио- и видеозаписи, измерения;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б) анализа полученной информации и выявления рисков причинения вреда (ущерба) охраняемым законом ценностям или нарушения обязательных требований;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в) подготовки предложений по устранению выявленных рисков причинения вреда (ущерба) охраняемым законом ценностям или нарушения обязательных требований.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56. Подключение контролируемого лица (объекта) к автоматизированным системам сбора и обработки данных, работающим в автоматическом режиме, специальным техническим средствам, имеющим функции фотосъемки, аудио- и видеозаписи, измерения, иным средствам сбора или фиксации информации, обеспечивается уполномоченными должностными лицами контрольного (надзорного) органа путем установки необходимого технического оснащения и программного обеспечения.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57. Обмен документами и иной информацией осуществляется с использованием автоматизированных систем сбора и обработки данных.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58. Характеристики автоматизированных информационных систем сбора и обработки данных, средств сбора или фиксации информации, а также программное обеспечение должны обеспечивать осуществление мониторинга.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59. Количество необходимого оборудования, программного обеспечения, а также места их установки определяются уполномоченными должностными лицами контрольного (надзорного) органа по согласованию с контролируемым лицом.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60. Уполномоченное должностное лицо контрольного (надзорного) органа принимает решение о прекращении осуществления мониторинга в одном из случаев, предусмотренных </w:t>
      </w:r>
      <w:hyperlink r:id="rId34">
        <w:r>
          <w:rPr>
            <w:color w:val="0000FF"/>
          </w:rPr>
          <w:t>частью 10 статьи 96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а также в случае прекращения осуществления деятельности в области обращения с животными контролируемым лицом.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1"/>
      </w:pPr>
      <w:r>
        <w:t>VII. Обжалование решений контрольных (надзорных) органов,</w:t>
      </w:r>
    </w:p>
    <w:p w:rsidR="004C2A18" w:rsidRDefault="004C2A18">
      <w:pPr>
        <w:pStyle w:val="ConsPlusTitle"/>
        <w:jc w:val="center"/>
      </w:pPr>
      <w:r>
        <w:t>действий (бездействия) их должностных лиц</w:t>
      </w:r>
    </w:p>
    <w:p w:rsidR="004C2A18" w:rsidRDefault="004C2A18">
      <w:pPr>
        <w:pStyle w:val="ConsPlusNormal"/>
        <w:jc w:val="center"/>
      </w:pPr>
    </w:p>
    <w:p w:rsidR="004C2A18" w:rsidRDefault="004C2A18">
      <w:pPr>
        <w:pStyle w:val="ConsPlusNormal"/>
        <w:ind w:firstLine="540"/>
        <w:jc w:val="both"/>
      </w:pPr>
      <w:r>
        <w:t>61. Контролируемые лица имеют право направить жалобу в форме электронного документа. При этом в жалобе указывается либо наименование соответствующего контрольного (надзорного) органа, либо фамилия, имя, отчество (при наличии) соответствующего должностного лица, а также наименование юридического лица, фамилия, имя, отчество (при наличии) гражданина или индивидуального предпринимателя, подающего жалобу, адрес электронной почты, место нахождения или почтовый адрес, ставится подпись и дата. В подтверждение своих доводов заявитель вправе приложить к жалобе документы и материалы либо их копии.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62. Жалоба на решение территориального органа Федеральной службы по надзору в сфере природопользования, действия (бездействие) его должностных лиц при осуществлении надзора рассматривается руководителем (заместителем руководителя) указанного территориального органа либо Федеральной службой по надзору в сфере природопользования.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63. Жалоба на действия (бездействие) руководителя (заместителя руководителя) территориального органа Федеральной службы по надзору в сфере природопользования рассматривается Федеральной службой по надзору в сфере природопользования.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64. В случае обжалования решений Федеральной службы по надзору в сфере природопользования, принятых ее центральным аппаратом, действий (бездействия) должностных лиц Федеральной службы по надзору в сфере природопользования жалоба рассматривается </w:t>
      </w:r>
      <w:r>
        <w:lastRenderedPageBreak/>
        <w:t>руководителем Федеральной службы по надзору в сфере природопользования.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65. Жалоба на решение территориальных органов Федеральной службы по ветеринарному и фитосанитарному надзору, действия (бездействие) их должностных лиц рассматривается руководителем (заместителем руководителя) указанного территориального органа либо Федеральной службой по ветеринарному и фитосанитарному надзору.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66. Жалоба на действия (бездействие) руководителя (заместителя руководителя) территориального органа Федеральной службы по ветеринарному и фитосанитарному надзору рассматривается Федеральной службой по ветеринарному и фитосанитарному надзору.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67. Жалоба на решение Федеральной службы по ветеринарному и фитосанитарному надзору, на действия (бездействие) должностных лиц центрального аппарата Федеральной службы по ветеринарному и фитосанитарному надзору рассматривается руководителем Федеральной службы по ветеринарному и фитосанитарному надзору.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68. Жалоба подлежит рассмотрению уполномоченным на рассмотрение жалобы контрольным (надзорным) органом в срок не более 20 рабочих дней со дня ее регистрации.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Title"/>
        <w:jc w:val="center"/>
        <w:outlineLvl w:val="1"/>
      </w:pPr>
      <w:r>
        <w:t>VIII. Ключевые показатели</w:t>
      </w:r>
    </w:p>
    <w:p w:rsidR="004C2A18" w:rsidRDefault="004C2A18">
      <w:pPr>
        <w:pStyle w:val="ConsPlusTitle"/>
        <w:jc w:val="center"/>
      </w:pPr>
      <w:r>
        <w:t>государственного контроля (надзора)</w:t>
      </w:r>
    </w:p>
    <w:p w:rsidR="004C2A18" w:rsidRDefault="004C2A18">
      <w:pPr>
        <w:pStyle w:val="ConsPlusNormal"/>
        <w:jc w:val="center"/>
      </w:pPr>
      <w:r>
        <w:t xml:space="preserve">(введен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26.01.2022 N 51)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Normal"/>
        <w:ind w:firstLine="540"/>
        <w:jc w:val="both"/>
      </w:pPr>
      <w:bookmarkStart w:id="12" w:name="P344"/>
      <w:bookmarkEnd w:id="12"/>
      <w:r>
        <w:t>69. Ключевым показателем государственного контроля (надзора), достижение которого обеспечивается Федеральной службой по ветеринарному и фитосанитарному надзору и ее территориальными органами, является соотношение количества случаев гибели животных при их содержании и использовании в культурно-зрелищных целях и общего количества животных, содержащихся и используемых в культурно-зрелищных целях (П).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Показатель, предусмотренный </w:t>
      </w:r>
      <w:hyperlink w:anchor="P344">
        <w:r>
          <w:rPr>
            <w:color w:val="0000FF"/>
          </w:rPr>
          <w:t>абзацем первым</w:t>
        </w:r>
      </w:hyperlink>
      <w:r>
        <w:t xml:space="preserve"> настоящего пункта (П), рассчитывается по формуле: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Normal"/>
        <w:jc w:val="center"/>
      </w:pPr>
      <w:r>
        <w:t>П = П1 / П2,</w:t>
      </w:r>
    </w:p>
    <w:p w:rsidR="004C2A18" w:rsidRDefault="004C2A18">
      <w:pPr>
        <w:pStyle w:val="ConsPlusNormal"/>
        <w:jc w:val="center"/>
      </w:pPr>
    </w:p>
    <w:p w:rsidR="004C2A18" w:rsidRDefault="004C2A18">
      <w:pPr>
        <w:pStyle w:val="ConsPlusNormal"/>
        <w:ind w:firstLine="540"/>
        <w:jc w:val="both"/>
      </w:pPr>
      <w:r>
        <w:t>где: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П1 - количество случаев гибели животных при их содержании и использовании в культурно-зрелищных целях за отчетный год;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П2 - общее количество животных, содержащихся и используемых в культурно-зрелищных целях, на конец отчетного года.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Целевым (плановым) значением признается значение ключевого показателя П = 0,2 и менее.</w:t>
      </w:r>
    </w:p>
    <w:p w:rsidR="004C2A18" w:rsidRDefault="004C2A18">
      <w:pPr>
        <w:pStyle w:val="ConsPlusNormal"/>
        <w:spacing w:before="220"/>
        <w:ind w:firstLine="540"/>
        <w:jc w:val="both"/>
      </w:pPr>
      <w:bookmarkStart w:id="13" w:name="P353"/>
      <w:bookmarkEnd w:id="13"/>
      <w:r>
        <w:t>70. Ключевым показателем государственного контроля (надзора), достижение которого обеспечивается Федеральной службой по надзору в сфере природопользования и ее территориальными органами, является соотношение количества случаев гибели конфискованных диких животных в неволе и общего количества конфискованных диких животных в неволе (А).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 xml:space="preserve">Показатель, предусмотренный </w:t>
      </w:r>
      <w:hyperlink w:anchor="P353">
        <w:r>
          <w:rPr>
            <w:color w:val="0000FF"/>
          </w:rPr>
          <w:t>абзацем первым</w:t>
        </w:r>
      </w:hyperlink>
      <w:r>
        <w:t xml:space="preserve"> настоящего пункта (А), рассчитывается по формуле: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Normal"/>
        <w:jc w:val="center"/>
      </w:pPr>
      <w:r>
        <w:t>А = А1 / А2,</w:t>
      </w:r>
    </w:p>
    <w:p w:rsidR="004C2A18" w:rsidRDefault="004C2A18">
      <w:pPr>
        <w:pStyle w:val="ConsPlusNormal"/>
        <w:jc w:val="center"/>
      </w:pPr>
    </w:p>
    <w:p w:rsidR="004C2A18" w:rsidRDefault="004C2A18">
      <w:pPr>
        <w:pStyle w:val="ConsPlusNormal"/>
        <w:ind w:firstLine="540"/>
        <w:jc w:val="both"/>
      </w:pPr>
      <w:r>
        <w:t>где: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lastRenderedPageBreak/>
        <w:t>А1 - количество случаев гибели конфискованных диких животных в неволе за отчетный год;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А2 - общее количество конфискованных диких животных в неволе на конец отчетного года.</w:t>
      </w:r>
    </w:p>
    <w:p w:rsidR="004C2A18" w:rsidRDefault="004C2A18">
      <w:pPr>
        <w:pStyle w:val="ConsPlusNormal"/>
        <w:spacing w:before="220"/>
        <w:ind w:firstLine="540"/>
        <w:jc w:val="both"/>
      </w:pPr>
      <w:r>
        <w:t>Целевым (плановым) значением признается значение ключевого показателя А = 0,1 и менее.</w:t>
      </w: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Normal"/>
        <w:ind w:firstLine="540"/>
        <w:jc w:val="both"/>
      </w:pPr>
    </w:p>
    <w:p w:rsidR="004C2A18" w:rsidRDefault="004C2A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5548" w:rsidRDefault="004C2A18">
      <w:bookmarkStart w:id="14" w:name="_GoBack"/>
      <w:bookmarkEnd w:id="14"/>
    </w:p>
    <w:sectPr w:rsidR="00CD5548" w:rsidSect="00B8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18"/>
    <w:rsid w:val="004C2A18"/>
    <w:rsid w:val="00743FE1"/>
    <w:rsid w:val="007B48F9"/>
    <w:rsid w:val="00C27E27"/>
    <w:rsid w:val="00DF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37B33-6B9F-4688-8E51-F3B2D772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A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2A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2A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2989&amp;dst=21" TargetMode="External"/><Relationship Id="rId18" Type="http://schemas.openxmlformats.org/officeDocument/2006/relationships/hyperlink" Target="https://login.consultant.ru/link/?req=doc&amp;base=INT&amp;n=15408" TargetMode="External"/><Relationship Id="rId26" Type="http://schemas.openxmlformats.org/officeDocument/2006/relationships/hyperlink" Target="https://login.consultant.ru/link/?req=doc&amp;base=LAW&amp;n=475133&amp;dst=100631" TargetMode="External"/><Relationship Id="rId21" Type="http://schemas.openxmlformats.org/officeDocument/2006/relationships/hyperlink" Target="https://login.consultant.ru/link/?req=doc&amp;base=LAW&amp;n=475133&amp;dst=4139" TargetMode="External"/><Relationship Id="rId34" Type="http://schemas.openxmlformats.org/officeDocument/2006/relationships/hyperlink" Target="https://login.consultant.ru/link/?req=doc&amp;base=LAW&amp;n=465728&amp;dst=101052" TargetMode="External"/><Relationship Id="rId7" Type="http://schemas.openxmlformats.org/officeDocument/2006/relationships/hyperlink" Target="https://login.consultant.ru/link/?req=doc&amp;base=LAW&amp;n=339298" TargetMode="External"/><Relationship Id="rId12" Type="http://schemas.openxmlformats.org/officeDocument/2006/relationships/hyperlink" Target="https://login.consultant.ru/link/?req=doc&amp;base=LAW&amp;n=462989&amp;dst=16" TargetMode="External"/><Relationship Id="rId17" Type="http://schemas.openxmlformats.org/officeDocument/2006/relationships/hyperlink" Target="https://login.consultant.ru/link/?req=doc&amp;base=INT&amp;n=15408" TargetMode="External"/><Relationship Id="rId25" Type="http://schemas.openxmlformats.org/officeDocument/2006/relationships/hyperlink" Target="https://login.consultant.ru/link/?req=doc&amp;base=LAW&amp;n=475133&amp;dst=4139" TargetMode="External"/><Relationship Id="rId33" Type="http://schemas.openxmlformats.org/officeDocument/2006/relationships/hyperlink" Target="https://login.consultant.ru/link/?req=doc&amp;base=LAW&amp;n=4658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INT&amp;n=15408" TargetMode="External"/><Relationship Id="rId20" Type="http://schemas.openxmlformats.org/officeDocument/2006/relationships/hyperlink" Target="https://login.consultant.ru/link/?req=doc&amp;base=LAW&amp;n=475133&amp;dst=100631" TargetMode="External"/><Relationship Id="rId29" Type="http://schemas.openxmlformats.org/officeDocument/2006/relationships/hyperlink" Target="https://login.consultant.ru/link/?req=doc&amp;base=LAW&amp;n=465728&amp;dst=10055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989&amp;dst=1" TargetMode="External"/><Relationship Id="rId11" Type="http://schemas.openxmlformats.org/officeDocument/2006/relationships/hyperlink" Target="https://login.consultant.ru/link/?req=doc&amp;base=LAW&amp;n=465728&amp;dst=100329" TargetMode="External"/><Relationship Id="rId24" Type="http://schemas.openxmlformats.org/officeDocument/2006/relationships/hyperlink" Target="https://login.consultant.ru/link/?req=doc&amp;base=LAW&amp;n=475133&amp;dst=100631" TargetMode="External"/><Relationship Id="rId32" Type="http://schemas.openxmlformats.org/officeDocument/2006/relationships/hyperlink" Target="https://login.consultant.ru/link/?req=doc&amp;base=LAW&amp;n=408054&amp;dst=100014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08054&amp;dst=100005" TargetMode="External"/><Relationship Id="rId15" Type="http://schemas.openxmlformats.org/officeDocument/2006/relationships/hyperlink" Target="https://login.consultant.ru/link/?req=doc&amp;base=INT&amp;n=15408" TargetMode="External"/><Relationship Id="rId23" Type="http://schemas.openxmlformats.org/officeDocument/2006/relationships/hyperlink" Target="https://login.consultant.ru/link/?req=doc&amp;base=LAW&amp;n=475133&amp;dst=6858" TargetMode="External"/><Relationship Id="rId28" Type="http://schemas.openxmlformats.org/officeDocument/2006/relationships/hyperlink" Target="https://login.consultant.ru/link/?req=doc&amp;base=LAW&amp;n=454103&amp;dst=10006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8054&amp;dst=100010" TargetMode="External"/><Relationship Id="rId19" Type="http://schemas.openxmlformats.org/officeDocument/2006/relationships/hyperlink" Target="https://login.consultant.ru/link/?req=doc&amp;base=LAW&amp;n=474037&amp;dst=2340" TargetMode="External"/><Relationship Id="rId31" Type="http://schemas.openxmlformats.org/officeDocument/2006/relationships/hyperlink" Target="https://login.consultant.ru/link/?req=doc&amp;base=LAW&amp;n=408054&amp;dst=1000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2989&amp;dst=4" TargetMode="External"/><Relationship Id="rId14" Type="http://schemas.openxmlformats.org/officeDocument/2006/relationships/hyperlink" Target="https://login.consultant.ru/link/?req=doc&amp;base=LAW&amp;n=465728" TargetMode="External"/><Relationship Id="rId22" Type="http://schemas.openxmlformats.org/officeDocument/2006/relationships/hyperlink" Target="https://login.consultant.ru/link/?req=doc&amp;base=LAW&amp;n=475133&amp;dst=101191" TargetMode="External"/><Relationship Id="rId27" Type="http://schemas.openxmlformats.org/officeDocument/2006/relationships/hyperlink" Target="https://login.consultant.ru/link/?req=doc&amp;base=LAW&amp;n=475133&amp;dst=4139" TargetMode="External"/><Relationship Id="rId30" Type="http://schemas.openxmlformats.org/officeDocument/2006/relationships/hyperlink" Target="https://login.consultant.ru/link/?req=doc&amp;base=LAW&amp;n=465728&amp;dst=101127" TargetMode="External"/><Relationship Id="rId35" Type="http://schemas.openxmlformats.org/officeDocument/2006/relationships/hyperlink" Target="https://login.consultant.ru/link/?req=doc&amp;base=LAW&amp;n=408054&amp;dst=100016" TargetMode="External"/><Relationship Id="rId8" Type="http://schemas.openxmlformats.org/officeDocument/2006/relationships/hyperlink" Target="https://login.consultant.ru/link/?req=doc&amp;base=LAW&amp;n=408054&amp;dst=100005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7098</Words>
  <Characters>40463</Characters>
  <Application>Microsoft Office Word</Application>
  <DocSecurity>0</DocSecurity>
  <Lines>337</Lines>
  <Paragraphs>94</Paragraphs>
  <ScaleCrop>false</ScaleCrop>
  <Company/>
  <LinksUpToDate>false</LinksUpToDate>
  <CharactersWithSpaces>47467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Балабанченко</dc:creator>
  <cp:keywords/>
  <dc:description/>
  <cp:lastModifiedBy>Елена В. Балабанченко</cp:lastModifiedBy>
  <cp:revision>1</cp:revision>
  <dcterms:created xsi:type="dcterms:W3CDTF">2024-06-06T10:51:00Z</dcterms:created>
  <dcterms:modified xsi:type="dcterms:W3CDTF">2024-06-06T10:52:00Z</dcterms:modified>
</cp:coreProperties>
</file>