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0" w:rsidRDefault="006D2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2577"/>
        <w:gridCol w:w="3504"/>
        <w:gridCol w:w="62"/>
        <w:gridCol w:w="3432"/>
      </w:tblGrid>
      <w:tr w:rsidR="006D2D80" w:rsidTr="003D22A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 w:rsidP="003D22A4">
            <w:pPr>
              <w:pStyle w:val="af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«МЭК»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Саранск 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НОРМАТИВЫ ДОПУСТИМЫХ СБРОСОВ ЗАГРЯЗНЯЮЩИХ ВЕЩЕСТВ ДЛЯ ОБЪЕКТА ЦЕНТРАЛИЗОВАННОЙ СИСТЕМЫ ВОДООТВЕДЕНИЯ ПОСЕЛЕНИЙ ИЛИ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ОКРУГОВ, А ТАКЖЕ РАСЧЕТЫ ТАКИХ НОРМАТИВОВ.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нашего объекта нет ЦСВ.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Заключен договор водоотведения с МП "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Саранскгорводоканал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 по которому ими осуществляется прием сточных вод с выгребной ямы (самовывозом).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Правильно я понимаю, что 3.3 мы оставля</w:t>
            </w:r>
            <w:r>
              <w:rPr>
                <w:rFonts w:ascii="Times New Roman" w:hAnsi="Times New Roman"/>
                <w:sz w:val="24"/>
                <w:szCs w:val="24"/>
              </w:rPr>
              <w:t>ем незаполненным?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заполняется объектами ЦСВ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 w:rsidP="003D22A4">
            <w:pPr>
              <w:pStyle w:val="af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«Нижегородские моторы» 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ли в процессе проверки документации сопоставляться данные по количеству отходов в </w:t>
            </w:r>
            <w:r>
              <w:rPr>
                <w:rFonts w:ascii="Times New Roman" w:hAnsi="Times New Roman"/>
                <w:sz w:val="24"/>
                <w:szCs w:val="24"/>
              </w:rPr>
              <w:t>договорах с ФГУП «ФЭО» и контрагентами на передачу 3-5 классов опасности и данные в проекте ПНООЛР?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отходов должно совпадать?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пунктом 6 статьи 31.1 Федерального закона от 10.01.2002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№ 7-ФЗ «Об охране окружающей среды» (далее – Закон № 7-ФЗ) заявка на получение КЭР подлежит рассмотрению при условии соответствия формы и содержания представленных материалов требованиям Закона № 7-ФЗ.</w:t>
            </w:r>
          </w:p>
          <w:p w:rsidR="006D2D80" w:rsidRDefault="003D2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этом форма заявки на получение КЭР утверждена приказом Минприроды России от 22.10.2021 № 780 (далее - Приказ № 780).</w:t>
            </w:r>
          </w:p>
          <w:p w:rsidR="006D2D80" w:rsidRDefault="003D22A4">
            <w:pPr>
              <w:pStyle w:val="ab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пунктом 3 статьи 31.1 Закон № 7-ФЗ, заявка на получение КЭР должна содержать,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числе, нормативы допустимых сброс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высокотоксичных веществ, веществ, обладающих канцерогенными, мутагенными свойствами (веществ I, II классов опасности), при наличии таких веществ в сбросах загрязняющих веществ, соответствующие санитарно-эпидемиологическим требованиям и иным требованиям,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установленным законодательством Российской Федерации, а также расчеты таких нормативов, обоснование нормативов образования отходов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лимитов на их размещение.</w:t>
            </w:r>
          </w:p>
          <w:p w:rsidR="006D2D80" w:rsidRDefault="003D22A4">
            <w:pPr>
              <w:pStyle w:val="ab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нормативов образования отходов и лимитов на их размещение производится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 Порядком разработки и утверждения нормативов образования отходов и лимитов на их размещение (далее – Порядок), утвержденным приказом Минприроды России от 08.12.2020 № 1029 (далее – Порядок).</w:t>
            </w:r>
          </w:p>
          <w:p w:rsidR="006D2D80" w:rsidRDefault="003D22A4">
            <w:pPr>
              <w:pStyle w:val="ab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 Порядка нормативы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отходов и лимиты на их размещение (далее – НООЛР) разрабатываются для каждого объекта I категории, а в случае, предусмотренном пунктом 12 статьи 31.1 Закона №7-ФЗ для объекта II категории в соответствии с Методическими указаниями по разработке нормативов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отходов и лимитов на их размещение (далее – Методические указания), утвержденными приказом Минприроды России от 07.12.2021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1021.</w:t>
            </w:r>
          </w:p>
          <w:p w:rsidR="006D2D80" w:rsidRDefault="003D22A4">
            <w:pPr>
              <w:pStyle w:val="ab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Таким образом, в составе заявки на получение КЭР следует представлять обоснование нормативов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образования отходов 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лимитов на их размещение в соответствии с Порядком, а также с Методическими указаниями.</w:t>
            </w:r>
          </w:p>
          <w:p w:rsidR="006D2D80" w:rsidRDefault="003D22A4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 основании вышеизложенного, в процессе проверки представленных материалов к заявке на получение КЭР осуществляется сопоставление информации указанной в подразделе 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ОЛР «Сведения о планируемой ежегодной передаче отходов другим хозяйствующим субъектам с целью их дальнейшей обработки и (или) утилизации, и (или) обезвреживания» с заверенными хозяйствующим субъектом копиями договоров на передачу отходов иным хозяйствующим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субъектам с целью их обработки, утилизации, обезвреживания, размещения отходов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определенных видов и классов опасности, которые должны быть приложены к НООЛР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согласно пункта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26  Методических указаний.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природных ресурсов и </w:t>
            </w:r>
            <w:r>
              <w:rPr>
                <w:rFonts w:ascii="Times New Roman" w:hAnsi="Times New Roman"/>
                <w:sz w:val="24"/>
                <w:szCs w:val="24"/>
              </w:rPr>
              <w:t>экологии РФ от 7 декабря 2020 г. N 1021 "Об утверждении методических указаний по разработке проектов нормативов образования отходов и лимитов на их размещение" 26. В раздел "Приложения" НООЛР объектов НВОС I и II категорий включаются:</w:t>
            </w:r>
          </w:p>
          <w:p w:rsidR="006D2D80" w:rsidRDefault="003D22A4">
            <w:pPr>
              <w:pStyle w:val="af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заверенные хозяйствую</w:t>
            </w:r>
            <w:r>
              <w:rPr>
                <w:rFonts w:ascii="Times New Roman" w:hAnsi="Times New Roman"/>
                <w:sz w:val="24"/>
                <w:szCs w:val="24"/>
              </w:rPr>
              <w:t>щим субъектом копии документов, подтверждающих данные материально-сырьевого баланса по основному производству. Т.е. в договоре не должно быть количеств отходов.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договоре  должно быть представлена информация о наименовании отходов, код по ФККО, классе опа</w:t>
            </w:r>
            <w:r>
              <w:rPr>
                <w:rFonts w:ascii="Times New Roman" w:hAnsi="Times New Roman"/>
                <w:sz w:val="24"/>
                <w:szCs w:val="24"/>
              </w:rPr>
              <w:t>сности   и планируемый объем передачи вида отхода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«Корунд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Системы»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чего информация в договоре на передачу отходов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(количество передаваемых отходов) должна быть?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проведенной инвентаризации объекта,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которой </w:t>
            </w:r>
            <w:r>
              <w:rPr>
                <w:rFonts w:ascii="Times New Roman" w:hAnsi="Times New Roman"/>
                <w:sz w:val="24"/>
                <w:szCs w:val="24"/>
              </w:rPr>
              <w:t>выявляются виды отходов, которые образуются на объекте I категории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проверяется соблюдение масштаба?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помощи перевода Именованного масштаба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численный</w:t>
            </w:r>
            <w:proofErr w:type="gramEnd"/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Замечания по КЭР направляются по всему составу КЭР разово,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повторном не будет?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Обобщенные замечания направляются после принятия к рассмотрению заявки по истечении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устранение которых дается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раб.дней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Новые замечания не направляются.</w:t>
            </w:r>
          </w:p>
        </w:tc>
      </w:tr>
      <w:tr w:rsidR="006D2D80" w:rsidTr="003D22A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подразумевается вод аварией и </w:t>
            </w:r>
            <w:r>
              <w:rPr>
                <w:rFonts w:ascii="Times New Roman" w:hAnsi="Times New Roman"/>
                <w:sz w:val="24"/>
                <w:szCs w:val="24"/>
              </w:rPr>
              <w:t>инцидентом. Есть ли единое требование. Определений много.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Единого требования не установлено, рекомендуем указывать и аварии, и инциденты которые были на предприятии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«ЭМ-КАТ»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сказали, что НДВ должны содержать ЗВ по 2909-р ...Только по 11 введенным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остальные 27 тоже должны быть включены, которые вступят с 01.01.2025?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НДВ, поступивший на утверждение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предоставления соответствующей государственной услуги, должен учитывать загрязняющие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подлежащие государственному регулированию с 01.01.2024, в том числе 11 загрязняющих веществ, включенных в раздел I «Для атмосферного воздуха» Перечня № 2909-р, при их наличии в выбросах.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отношении остальных загрязняющих веществ, указанных в пунктах </w:t>
            </w:r>
            <w:hyperlink r:id="rId6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7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8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9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0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2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3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6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7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8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9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0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2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3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4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5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6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7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8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9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0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2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Перечня № 2909-р, необходимость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учета в расчетах НДВ наступает с 01.01.2025. При этом пунктом 3 Распоряжения предусмотрены переходные положения по учету в природоохранной документации 27 новых загрязняющих веществ,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вышеперечисленных пунктах.</w:t>
            </w:r>
          </w:p>
          <w:p w:rsidR="006D2D80" w:rsidRDefault="003D22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 этом с целью снижения административной нагрузки и исключения повторной процедуры нормирования загрязняющих веществ, необходимость учета в расчетах НДВ которых наступает с 01.01.2025, считаем возможным их утверждение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соответствующей государственной услуги в 2024 году при их наличии в выбросах и указании в проекте НДВ, поступившем в 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утверждение.</w:t>
            </w:r>
            <w:proofErr w:type="gramEnd"/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Приказе 1021 указано, что договоры к отходам прилагаются при их </w:t>
            </w:r>
            <w:r>
              <w:rPr>
                <w:rFonts w:ascii="Times New Roman" w:hAnsi="Times New Roman"/>
                <w:sz w:val="24"/>
                <w:szCs w:val="24"/>
              </w:rPr>
              <w:t>наличии. Можно ли не прилагать договоры?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договорах указывается в составе ПНООЛР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6D2D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Является ли превышение в отчете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инцендентом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«Лукойл-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Нижегоролнефтеоргсинтез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подачей заявки на получение КЭР надо ли делать актуализацию данных по инвентаризации источников выбросов в личном кабинете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Прежде чем подать заявку, необходимо провести актуализацию сведений в ре</w:t>
            </w:r>
            <w:r>
              <w:rPr>
                <w:rFonts w:ascii="Times New Roman" w:hAnsi="Times New Roman"/>
                <w:sz w:val="24"/>
                <w:szCs w:val="24"/>
              </w:rPr>
              <w:t>естре НВОС, если это необходимо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 w:rsidP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6D2D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утвержденных МПР технологических показателей, расчет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технологических нормативов ведь не рассчитывается? что необходимо прикладывать или как пояснять отсутствии рассчитанных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ормативов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sz w:val="24"/>
                <w:szCs w:val="24"/>
              </w:rPr>
              <w:t>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либо разделов необходимо приложить письма-пояснения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8 Заявки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6D2D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 находимся в развитии, проектная документация на выходе, пуск в октябре 2024 года, потенциальные подрядчики говорят, что есть письмо Минприроды РФ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заявка </w:t>
            </w:r>
            <w:r>
              <w:rPr>
                <w:rFonts w:ascii="Times New Roman" w:hAnsi="Times New Roman"/>
                <w:sz w:val="24"/>
                <w:szCs w:val="24"/>
              </w:rPr>
              <w:t>формируется без учета перспективы. Получается, что КЭР пересматривать сразу после получения.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 2 варианта: составление заявки с учетом перспективы или после получения КЭР, подать заявление на пересмотр в соответствии с  ПП РФ  1386</w:t>
            </w:r>
          </w:p>
        </w:tc>
      </w:tr>
      <w:tr w:rsidR="006D2D80" w:rsidTr="003D22A4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 w:rsidP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Волга»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"Волга" в феврале 2024 года направило письмо о проблемах, препятствующих получению КЭР, которое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Росприроднадзором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и РМ переслано в ЦА. По информации от ЦА, наше письмо не получено. Просьба направить в адрес АО «Волга» информацию об отправке вышеуказ</w:t>
            </w:r>
            <w:r>
              <w:rPr>
                <w:rFonts w:ascii="Times New Roman" w:hAnsi="Times New Roman"/>
                <w:sz w:val="24"/>
                <w:szCs w:val="24"/>
              </w:rPr>
              <w:t>анного письма в ЦА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0" w:rsidRDefault="003D22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 №исх.01-08/1710</w:t>
            </w:r>
          </w:p>
        </w:tc>
      </w:tr>
    </w:tbl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</w:p>
    <w:p w:rsidR="006D2D80" w:rsidRDefault="006D2D80">
      <w:pPr>
        <w:pStyle w:val="Standard"/>
        <w:rPr>
          <w:sz w:val="20"/>
          <w:szCs w:val="20"/>
        </w:rPr>
      </w:pPr>
      <w:bookmarkStart w:id="0" w:name="_GoBack"/>
      <w:bookmarkEnd w:id="0"/>
    </w:p>
    <w:sectPr w:rsidR="006D2D80">
      <w:pgSz w:w="11906" w:h="16838"/>
      <w:pgMar w:top="1134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2D2"/>
    <w:multiLevelType w:val="multilevel"/>
    <w:tmpl w:val="62BC5F9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80"/>
    <w:rsid w:val="003D22A4"/>
    <w:rsid w:val="006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 w:cs="Times New Roman"/>
      <w:bCs/>
      <w:sz w:val="28"/>
      <w:szCs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WW8Num1z0">
    <w:name w:val="WW8Num1z0"/>
    <w:qFormat/>
    <w:rPr>
      <w:color w:val="000000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qFormat/>
  </w:style>
  <w:style w:type="character" w:customStyle="1" w:styleId="20">
    <w:name w:val="Заголовок 2 Знак"/>
    <w:qFormat/>
    <w:rPr>
      <w:rFonts w:ascii="Times New Roman" w:hAnsi="Times New Roman" w:cs="Times New Roman"/>
      <w:bCs/>
      <w:sz w:val="28"/>
    </w:rPr>
  </w:style>
  <w:style w:type="character" w:customStyle="1" w:styleId="21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 + Малые прописные"/>
    <w:qFormat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position w:val="0"/>
      <w:sz w:val="26"/>
      <w:szCs w:val="26"/>
      <w:u w:val="none"/>
      <w:vertAlign w:val="baseline"/>
      <w:lang w:val="en-US" w:bidi="en-US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Arial115pt-1ptExact">
    <w:name w:val="Основной текст (2) + Arial;11;5 pt;Курсив;Интервал -1 pt Exact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-20"/>
      <w:sz w:val="23"/>
      <w:szCs w:val="23"/>
      <w:u w:val="none"/>
      <w:lang w:val="en-US" w:bidi="en-US"/>
    </w:rPr>
  </w:style>
  <w:style w:type="character" w:customStyle="1" w:styleId="a9">
    <w:name w:val="Текст Знак"/>
    <w:qFormat/>
    <w:rPr>
      <w:rFonts w:eastAsia="Calibri"/>
      <w:sz w:val="22"/>
      <w:szCs w:val="21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a"/>
  </w:style>
  <w:style w:type="paragraph" w:styleId="af">
    <w:name w:val="List Paragraph"/>
    <w:basedOn w:val="a"/>
    <w:qFormat/>
    <w:pPr>
      <w:ind w:left="720"/>
    </w:pPr>
  </w:style>
  <w:style w:type="paragraph" w:styleId="af0">
    <w:name w:val="No Spacing"/>
    <w:uiPriority w:val="1"/>
    <w:qFormat/>
    <w:pPr>
      <w:suppressAutoHyphens/>
    </w:pPr>
    <w:rPr>
      <w:lang w:eastAsia="zh-CN" w:bidi="hi-IN"/>
    </w:rPr>
  </w:style>
  <w:style w:type="paragraph" w:styleId="af1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  <w:pPr>
      <w:suppressAutoHyphens/>
    </w:pPr>
    <w:rPr>
      <w:lang w:eastAsia="zh-CN" w:bidi="hi-IN"/>
    </w:rPr>
  </w:style>
  <w:style w:type="paragraph" w:styleId="afa">
    <w:name w:val="table of figures"/>
    <w:basedOn w:val="a"/>
    <w:uiPriority w:val="99"/>
    <w:unhideWhenUsed/>
    <w:pPr>
      <w:spacing w:after="0"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Normal (Web)"/>
    <w:basedOn w:val="a"/>
    <w:qFormat/>
    <w:pPr>
      <w:spacing w:before="280" w:after="280" w:line="240" w:lineRule="auto"/>
    </w:pPr>
    <w:rPr>
      <w:sz w:val="24"/>
      <w:szCs w:val="24"/>
    </w:rPr>
  </w:style>
  <w:style w:type="paragraph" w:customStyle="1" w:styleId="Iauiue">
    <w:name w:val="Iau?iue"/>
    <w:qFormat/>
    <w:pPr>
      <w:suppressAutoHyphens/>
    </w:pPr>
    <w:rPr>
      <w:rFonts w:eastAsia="Times New Roman" w:cs="Times New Roman"/>
      <w:lang w:eastAsia="zh-CN"/>
    </w:rPr>
  </w:style>
  <w:style w:type="paragraph" w:customStyle="1" w:styleId="11">
    <w:name w:val="Обычный (веб)1"/>
    <w:basedOn w:val="a"/>
    <w:qFormat/>
    <w:pPr>
      <w:spacing w:before="28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fd">
    <w:name w:val="Plain Text"/>
    <w:basedOn w:val="a"/>
    <w:qFormat/>
    <w:pPr>
      <w:spacing w:after="0" w:line="240" w:lineRule="auto"/>
    </w:pPr>
    <w:rPr>
      <w:rFonts w:eastAsia="Calibri" w:cs="Times New Roman"/>
      <w:szCs w:val="21"/>
    </w:rPr>
  </w:style>
  <w:style w:type="paragraph" w:customStyle="1" w:styleId="ConsPlusNormal">
    <w:name w:val="ConsPlusNormal"/>
    <w:qFormat/>
    <w:pPr>
      <w:widowControl w:val="0"/>
      <w:suppressAutoHyphens/>
      <w:spacing w:after="200" w:line="276" w:lineRule="auto"/>
    </w:pPr>
    <w:rPr>
      <w:rFonts w:ascii="Arial" w:eastAsia="Times New Roman" w:hAnsi="Arial" w:cs="Arial"/>
      <w:sz w:val="22"/>
      <w:szCs w:val="22"/>
      <w:lang w:eastAsia="zh-CN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40&amp;dst=100039" TargetMode="External"/><Relationship Id="rId13" Type="http://schemas.openxmlformats.org/officeDocument/2006/relationships/hyperlink" Target="https://login.consultant.ru/link/?req=doc&amp;base=LAW&amp;n=465740&amp;dst=100080" TargetMode="External"/><Relationship Id="rId18" Type="http://schemas.openxmlformats.org/officeDocument/2006/relationships/hyperlink" Target="https://login.consultant.ru/link/?req=doc&amp;base=LAW&amp;n=465740&amp;dst=100123" TargetMode="External"/><Relationship Id="rId26" Type="http://schemas.openxmlformats.org/officeDocument/2006/relationships/hyperlink" Target="https://login.consultant.ru/link/?req=doc&amp;base=LAW&amp;n=465740&amp;dst=1001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5740&amp;dst=10014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40&amp;dst=100026" TargetMode="External"/><Relationship Id="rId12" Type="http://schemas.openxmlformats.org/officeDocument/2006/relationships/hyperlink" Target="https://login.consultant.ru/link/?req=doc&amp;base=LAW&amp;n=465740&amp;dst=100050" TargetMode="External"/><Relationship Id="rId17" Type="http://schemas.openxmlformats.org/officeDocument/2006/relationships/hyperlink" Target="https://login.consultant.ru/link/?req=doc&amp;base=LAW&amp;n=465740&amp;dst=100121" TargetMode="External"/><Relationship Id="rId25" Type="http://schemas.openxmlformats.org/officeDocument/2006/relationships/hyperlink" Target="https://login.consultant.ru/link/?req=doc&amp;base=LAW&amp;n=465740&amp;dst=10018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40&amp;dst=100106" TargetMode="External"/><Relationship Id="rId20" Type="http://schemas.openxmlformats.org/officeDocument/2006/relationships/hyperlink" Target="https://login.consultant.ru/link/?req=doc&amp;base=LAW&amp;n=465740&amp;dst=100134" TargetMode="External"/><Relationship Id="rId29" Type="http://schemas.openxmlformats.org/officeDocument/2006/relationships/hyperlink" Target="https://login.consultant.ru/link/?req=doc&amp;base=LAW&amp;n=465740&amp;dst=1002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740&amp;dst=100024" TargetMode="External"/><Relationship Id="rId11" Type="http://schemas.openxmlformats.org/officeDocument/2006/relationships/hyperlink" Target="https://login.consultant.ru/link/?req=doc&amp;base=LAW&amp;n=465740&amp;dst=100048" TargetMode="External"/><Relationship Id="rId24" Type="http://schemas.openxmlformats.org/officeDocument/2006/relationships/hyperlink" Target="https://login.consultant.ru/link/?req=doc&amp;base=LAW&amp;n=465740&amp;dst=100171" TargetMode="External"/><Relationship Id="rId32" Type="http://schemas.openxmlformats.org/officeDocument/2006/relationships/hyperlink" Target="https://login.consultant.ru/link/?req=doc&amp;base=LAW&amp;n=465740&amp;dst=100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740&amp;dst=100104" TargetMode="External"/><Relationship Id="rId23" Type="http://schemas.openxmlformats.org/officeDocument/2006/relationships/hyperlink" Target="https://login.consultant.ru/link/?req=doc&amp;base=LAW&amp;n=465740&amp;dst=100170" TargetMode="External"/><Relationship Id="rId28" Type="http://schemas.openxmlformats.org/officeDocument/2006/relationships/hyperlink" Target="https://login.consultant.ru/link/?req=doc&amp;base=LAW&amp;n=465740&amp;dst=100213" TargetMode="External"/><Relationship Id="rId10" Type="http://schemas.openxmlformats.org/officeDocument/2006/relationships/hyperlink" Target="https://login.consultant.ru/link/?req=doc&amp;base=LAW&amp;n=465740&amp;dst=100047" TargetMode="External"/><Relationship Id="rId19" Type="http://schemas.openxmlformats.org/officeDocument/2006/relationships/hyperlink" Target="https://login.consultant.ru/link/?req=doc&amp;base=LAW&amp;n=465740&amp;dst=100124" TargetMode="External"/><Relationship Id="rId31" Type="http://schemas.openxmlformats.org/officeDocument/2006/relationships/hyperlink" Target="https://login.consultant.ru/link/?req=doc&amp;base=LAW&amp;n=465740&amp;dst=100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40&amp;dst=100046" TargetMode="External"/><Relationship Id="rId14" Type="http://schemas.openxmlformats.org/officeDocument/2006/relationships/hyperlink" Target="https://login.consultant.ru/link/?req=doc&amp;base=LAW&amp;n=465740&amp;dst=100092" TargetMode="External"/><Relationship Id="rId22" Type="http://schemas.openxmlformats.org/officeDocument/2006/relationships/hyperlink" Target="https://login.consultant.ru/link/?req=doc&amp;base=LAW&amp;n=465740&amp;dst=100152" TargetMode="External"/><Relationship Id="rId27" Type="http://schemas.openxmlformats.org/officeDocument/2006/relationships/hyperlink" Target="https://login.consultant.ru/link/?req=doc&amp;base=LAW&amp;n=465740&amp;dst=100211" TargetMode="External"/><Relationship Id="rId30" Type="http://schemas.openxmlformats.org/officeDocument/2006/relationships/hyperlink" Target="https://login.consultant.ru/link/?req=doc&amp;base=LAW&amp;n=465740&amp;dst=100215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rybolovleva</dc:creator>
  <dc:description/>
  <cp:lastModifiedBy>user01</cp:lastModifiedBy>
  <cp:revision>29</cp:revision>
  <dcterms:created xsi:type="dcterms:W3CDTF">2022-12-15T12:28:00Z</dcterms:created>
  <dcterms:modified xsi:type="dcterms:W3CDTF">2024-05-14T08:16:00Z</dcterms:modified>
  <dc:language>ru-RU</dc:language>
</cp:coreProperties>
</file>