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3E0EAB" w:rsidTr="00C931EF">
        <w:trPr>
          <w:trHeight w:val="558"/>
        </w:trPr>
        <w:tc>
          <w:tcPr>
            <w:tcW w:w="9564" w:type="dxa"/>
          </w:tcPr>
          <w:p w:rsidR="00272EE8" w:rsidRPr="00C01167" w:rsidRDefault="006C79E8" w:rsidP="006C79E8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Черноморо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-Азовского межрегионального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Росприроднадзора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в</w:t>
            </w:r>
            <w:r w:rsidR="007C1193" w:rsidRPr="007C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опросы, поступившие в ходе публичных обсуждений</w:t>
            </w:r>
          </w:p>
        </w:tc>
      </w:tr>
    </w:tbl>
    <w:p w:rsidR="00272EE8" w:rsidRPr="007C1193" w:rsidRDefault="007C1193" w:rsidP="00C01167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9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C1193">
        <w:rPr>
          <w:rFonts w:ascii="Times New Roman" w:hAnsi="Times New Roman" w:cs="Times New Roman"/>
          <w:sz w:val="28"/>
          <w:szCs w:val="28"/>
        </w:rPr>
        <w:t xml:space="preserve"> </w:t>
      </w:r>
      <w:r w:rsidR="00272EE8" w:rsidRPr="007C1193">
        <w:rPr>
          <w:rFonts w:ascii="Times New Roman" w:hAnsi="Times New Roman" w:cs="Times New Roman"/>
          <w:sz w:val="28"/>
          <w:szCs w:val="28"/>
        </w:rPr>
        <w:t xml:space="preserve">Организации, расположенной не территории г. Сочи, ЧАМУ Росприроднадзора выдано предписание о проведении Государственной экологической экспертизы. С учетом введенных в связи с пандемией ограничительных мероприятий, общественные обсуждения (в форме слушаний), запланированные (согласно постановлению администрации </w:t>
      </w:r>
      <w:r w:rsidR="00C931EF" w:rsidRPr="007C11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2EE8" w:rsidRPr="007C1193">
        <w:rPr>
          <w:rFonts w:ascii="Times New Roman" w:hAnsi="Times New Roman" w:cs="Times New Roman"/>
          <w:sz w:val="28"/>
          <w:szCs w:val="28"/>
        </w:rPr>
        <w:t xml:space="preserve">г. Сочи) на апрель 2020 г. не состоялись. Организация обратилась в ЧАМУ о продлении срока исполнения предписания, срок продлили до ноября </w:t>
      </w:r>
      <w:proofErr w:type="spellStart"/>
      <w:r w:rsidR="00272EE8" w:rsidRPr="007C119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72EE8" w:rsidRPr="007C1193">
        <w:rPr>
          <w:rFonts w:ascii="Times New Roman" w:hAnsi="Times New Roman" w:cs="Times New Roman"/>
          <w:sz w:val="28"/>
          <w:szCs w:val="28"/>
        </w:rPr>
        <w:t>. Однако по тем же основаниям Организация очевидно не исполнит предписание (с учетом продления) в уста</w:t>
      </w:r>
      <w:bookmarkStart w:id="0" w:name="_GoBack"/>
      <w:bookmarkEnd w:id="0"/>
      <w:r w:rsidR="00272EE8" w:rsidRPr="007C1193">
        <w:rPr>
          <w:rFonts w:ascii="Times New Roman" w:hAnsi="Times New Roman" w:cs="Times New Roman"/>
          <w:sz w:val="28"/>
          <w:szCs w:val="28"/>
        </w:rPr>
        <w:t>новленный срок. Можно ли повторно прод</w:t>
      </w:r>
      <w:r>
        <w:rPr>
          <w:rFonts w:ascii="Times New Roman" w:hAnsi="Times New Roman" w:cs="Times New Roman"/>
          <w:sz w:val="28"/>
          <w:szCs w:val="28"/>
        </w:rPr>
        <w:t>лить срок исполнения предписания</w:t>
      </w:r>
      <w:r w:rsidR="00272EE8" w:rsidRPr="007C11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1193" w:rsidRPr="007C1193" w:rsidRDefault="007C1193" w:rsidP="00C0116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C11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56A">
        <w:rPr>
          <w:rFonts w:ascii="Times New Roman" w:hAnsi="Times New Roman" w:cs="Times New Roman"/>
          <w:sz w:val="28"/>
          <w:szCs w:val="28"/>
        </w:rPr>
        <w:t>В соответствии с п. 10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в соответствии с письмом Федеральной службы по надзору в сфере природопользования №СР-11-00-31/12256 от 17.04.2020 года сроки исполнения предписаний могут быть продлены по ходатайству природопользователя на срок до трех месяцев.</w:t>
      </w:r>
    </w:p>
    <w:p w:rsidR="00272EE8" w:rsidRDefault="007C1193" w:rsidP="00C01167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9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E8" w:rsidRPr="007C1193">
        <w:rPr>
          <w:rFonts w:ascii="Times New Roman" w:hAnsi="Times New Roman" w:cs="Times New Roman"/>
          <w:sz w:val="28"/>
          <w:szCs w:val="28"/>
        </w:rPr>
        <w:t>На территории г. Новороссийска в водоохранной зоне Черного моря расположена организация оздоровления и отдыха. С учетом географического положения доступ к водному объекту может быть осуществлен только через территорию такой организации. Вместе с тем, организация, которая оказывает услуги оздоровления и отдыха (в том числе и детям) имеет согласованный и утвержденный в установленном порядке паспорт антитеррористической защищенности, предусматривающий ограничение нахождения посторонних лиц на территории (в том числе проход). Как соотносятся требования указанного паспорта и водного законодательства в контексте обеспечения беспрепятственного доступа граж</w:t>
      </w:r>
      <w:r>
        <w:rPr>
          <w:rFonts w:ascii="Times New Roman" w:hAnsi="Times New Roman" w:cs="Times New Roman"/>
          <w:sz w:val="28"/>
          <w:szCs w:val="28"/>
        </w:rPr>
        <w:t xml:space="preserve">дан к водному объекту? </w:t>
      </w:r>
    </w:p>
    <w:p w:rsidR="00C01167" w:rsidRPr="00C01167" w:rsidRDefault="007C1193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Ответ:</w:t>
      </w:r>
      <w:r w:rsidR="00C01167"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 ч. 1 ст. 6 ФЗ от 3 июня 2006 г. № 74-ФЗ «Водный кодекс Российской Федерации» (далее – Водный кодекс),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настоящим Кодексом.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Частью 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2  ст.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  Водного кодекса установлено, что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 Кодексом, другими федеральными законами.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 силу ч. 6 ст. 6 ФЗ от 3 июня 2006 г. № 74-ФЗ Водного кодекса,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За нарушение указанных норм, статьей 8.12.1 КоАП РФ предусмотрена административная ответственность.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ст. 2 Федерального закона от 06.03.2006 № 35-ФЗ «О противодействии терроризму» Правительство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Ст. 3.1 Федерального закона от 06.03.2006 № 35-ФЗ «О противодействии терроризму» установлено, что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Постановлением Правительства РФ от 25 марта 2015 г. № 272 установлены требования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а также формы паспортов безопасности таких мест и объектов (территорий).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Главой 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5  Постановления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Правительства РФ от 25 марта 2015 г. № 272 определен список мероприятий, направленных на обеспечение антитеррористической защищенности мест массового пребывания людей. В соответствии с вышеупомянутым нормативным правовым актом к таковым могут относиться: обеспечение физической охраны объектов, организация системы видеонаблюдения и оповещения на территории организации, разработка организационно-распорядительной документации по организации охраны и др.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этом указанный нормативный правовой акт не содержит прямого требования о необходимости ограничения доступа на территорию массового пребывания людей, подлежащих обязательной охране войсками национальной гвардии Российской Федерации.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 соответствии с Постановлением Правительства РФ от 25 марта 2015 г.                   № 272 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паспорт  безопасности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является  информационно-справочным  документом,  который  отражает состояние  антитеррористической  защищенности  места  массового  пребывания  людей  и  содержит перечень  необходимых  мероприятий  по  предупреждению  (пресечению)  террористических  актов  вместе массового пребывания людей.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Таким образом, наличие у организации утвержденного в установленном порядке паспорта антитеррористической защищенности объекта не может служить самостоятельным основанием для ограничения прав граждан на доступ к водным объектам общего пользования и их береговой полосе.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основании изложенного, полагаем о необходимости обеспечения организацией свободного доступа граждан к водным объектам общего пользования, с соблюдением требований законодательства об обеспечении антитеррористической защищенности объектов. </w:t>
      </w:r>
    </w:p>
    <w:p w:rsidR="007C1193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В дополнение сообщаем, что взимание денежных средств с граждан, за предоставление возможности прохода к водным объектам общего пользования, представляет собой объективную сторону административного правонарушения, предусмотренного ст. 8.12.1 КоАП РФ.</w:t>
      </w:r>
    </w:p>
    <w:p w:rsidR="007C1193" w:rsidRPr="007C1193" w:rsidRDefault="007C1193" w:rsidP="00C01167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EE8" w:rsidRDefault="00C01167" w:rsidP="00C01167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6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E8" w:rsidRPr="00272EE8">
        <w:rPr>
          <w:rFonts w:ascii="Times New Roman" w:hAnsi="Times New Roman" w:cs="Times New Roman"/>
          <w:sz w:val="28"/>
          <w:szCs w:val="28"/>
        </w:rPr>
        <w:t xml:space="preserve">Какая сейчас позиция по судам у Росприроднадзора. Они должны быть поставлены на учет как объект НВОС или же они являются передвижными источниками?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Ответ: 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вопросу постановки на государственный учет морских и речных судов поясняю, что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согласно ст. 1 Закона № 7-ФЗ, 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 С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тационарный источник загрязнения окружающей среды - источник загрязнения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 передвижной источник загрязнения окружающей среды - транспортное средство, двигатель которого при его работе является источником загрязнения окружающей среды.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Согласно определениям основных понятий, применяемым в тексте Кодекса торгового мореплавания Российской Федерации от 30.04.1999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№ 81-ФЗ: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судно – 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самоходное или несамоходное плавучее сооружение, используемое в </w:t>
      </w:r>
      <w:hyperlink r:id="rId8" w:history="1">
        <w:r w:rsidRPr="00C01167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целях</w:t>
        </w:r>
      </w:hyperlink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торгового мореплавания;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морская плавучая платформа – судно, предназначенное для разведки и разработки минеральных и других неживых ресурсов морского дна и его недр.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Суда (за исключением морских плавучих платформ) относятся к транспортным средствам.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татьей 1 Закона № 7-ФЗ установлены следующие определения для понятий источников загрязнения окружающей среды: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стационарный источник загрязнения окружающей среды – источник загрязнения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передвижной источник загрязнения окружающей среды – транспортное средство, двигатель которого при его работе является источником загрязнения окружающей среды.</w:t>
      </w:r>
    </w:p>
    <w:p w:rsidR="00C01167" w:rsidRPr="00C01167" w:rsidRDefault="00C01167" w:rsidP="00C01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Ввиду того, что суда относятся к транспортным средствам и, в первую очередь, являются 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передвижными источниками загрязнения окружающей среды (за исключением морских плавучих платформ),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не представляется возможным указание конкретного местоположения для заполнения реестра (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согласно  </w:t>
      </w:r>
      <w:proofErr w:type="spellStart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пп</w:t>
      </w:r>
      <w:proofErr w:type="spellEnd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«б» п. 5 постановления Правительства РФ от 23.06.2016 № 572 «Об утверждении Правил создания и ведения государственного реестра объектов НВОС»). </w:t>
      </w:r>
    </w:p>
    <w:p w:rsidR="00C01167" w:rsidRPr="00272EE8" w:rsidRDefault="00C01167" w:rsidP="006C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Таким образом, постановка на государственный учет </w:t>
      </w:r>
      <w:r w:rsidRPr="00C0116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передвижных источников загрязнения окружающей среды, которыми являются суда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(за исключением морских плавучих платформ) действующим законодательством не предусмотрена, </w:t>
      </w:r>
      <w:r w:rsidRPr="00C0116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так как передвижные источники учитываются в составе основного объекта негативного воздействия на окружающую среду.</w:t>
      </w:r>
    </w:p>
    <w:sectPr w:rsidR="00C01167" w:rsidRPr="00272EE8" w:rsidSect="006B05DE">
      <w:headerReference w:type="default" r:id="rId9"/>
      <w:pgSz w:w="11906" w:h="16838"/>
      <w:pgMar w:top="1134" w:right="850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D4" w:rsidRDefault="00A039D4" w:rsidP="00DE7291">
      <w:pPr>
        <w:spacing w:after="0" w:line="240" w:lineRule="auto"/>
      </w:pPr>
      <w:r>
        <w:separator/>
      </w:r>
    </w:p>
  </w:endnote>
  <w:endnote w:type="continuationSeparator" w:id="0">
    <w:p w:rsidR="00A039D4" w:rsidRDefault="00A039D4" w:rsidP="00DE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D4" w:rsidRDefault="00A039D4" w:rsidP="00DE7291">
      <w:pPr>
        <w:spacing w:after="0" w:line="240" w:lineRule="auto"/>
      </w:pPr>
      <w:r>
        <w:separator/>
      </w:r>
    </w:p>
  </w:footnote>
  <w:footnote w:type="continuationSeparator" w:id="0">
    <w:p w:rsidR="00A039D4" w:rsidRDefault="00A039D4" w:rsidP="00DE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216816"/>
      <w:docPartObj>
        <w:docPartGallery w:val="Page Numbers (Top of Page)"/>
        <w:docPartUnique/>
      </w:docPartObj>
    </w:sdtPr>
    <w:sdtEndPr/>
    <w:sdtContent>
      <w:p w:rsidR="006B05DE" w:rsidRDefault="006B0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9E8">
          <w:rPr>
            <w:noProof/>
          </w:rPr>
          <w:t>4</w:t>
        </w:r>
        <w:r>
          <w:fldChar w:fldCharType="end"/>
        </w:r>
      </w:p>
    </w:sdtContent>
  </w:sdt>
  <w:p w:rsidR="00DE7291" w:rsidRDefault="00DE7291" w:rsidP="006B05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AA2"/>
    <w:multiLevelType w:val="hybridMultilevel"/>
    <w:tmpl w:val="B266938E"/>
    <w:lvl w:ilvl="0" w:tplc="EBAEF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87DD9"/>
    <w:multiLevelType w:val="hybridMultilevel"/>
    <w:tmpl w:val="13BE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4C1"/>
    <w:multiLevelType w:val="hybridMultilevel"/>
    <w:tmpl w:val="B44678CC"/>
    <w:lvl w:ilvl="0" w:tplc="5F34B9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8"/>
    <w:rsid w:val="00035D17"/>
    <w:rsid w:val="00113B58"/>
    <w:rsid w:val="001225B6"/>
    <w:rsid w:val="001D04BC"/>
    <w:rsid w:val="001E2E5D"/>
    <w:rsid w:val="001F7216"/>
    <w:rsid w:val="00244B10"/>
    <w:rsid w:val="002553C8"/>
    <w:rsid w:val="00261178"/>
    <w:rsid w:val="00272EE8"/>
    <w:rsid w:val="00284260"/>
    <w:rsid w:val="002A7A4D"/>
    <w:rsid w:val="002B1604"/>
    <w:rsid w:val="002E58C7"/>
    <w:rsid w:val="002E5BF2"/>
    <w:rsid w:val="00357106"/>
    <w:rsid w:val="00380B6B"/>
    <w:rsid w:val="003E0EAB"/>
    <w:rsid w:val="00425766"/>
    <w:rsid w:val="00503B7F"/>
    <w:rsid w:val="00504D15"/>
    <w:rsid w:val="005B36CF"/>
    <w:rsid w:val="006B05DE"/>
    <w:rsid w:val="006C19A2"/>
    <w:rsid w:val="006C79E8"/>
    <w:rsid w:val="00723BA7"/>
    <w:rsid w:val="00731EB6"/>
    <w:rsid w:val="007B076F"/>
    <w:rsid w:val="007C1193"/>
    <w:rsid w:val="007E188B"/>
    <w:rsid w:val="00811936"/>
    <w:rsid w:val="00822854"/>
    <w:rsid w:val="008A3C15"/>
    <w:rsid w:val="00953D00"/>
    <w:rsid w:val="009E03DF"/>
    <w:rsid w:val="00A039D4"/>
    <w:rsid w:val="00A70DCA"/>
    <w:rsid w:val="00AA72FB"/>
    <w:rsid w:val="00AE79B5"/>
    <w:rsid w:val="00AF4D31"/>
    <w:rsid w:val="00B226A6"/>
    <w:rsid w:val="00B43FF4"/>
    <w:rsid w:val="00C01167"/>
    <w:rsid w:val="00C31E21"/>
    <w:rsid w:val="00C4628F"/>
    <w:rsid w:val="00C800BE"/>
    <w:rsid w:val="00C841AA"/>
    <w:rsid w:val="00C931EF"/>
    <w:rsid w:val="00CE31A0"/>
    <w:rsid w:val="00DB4D40"/>
    <w:rsid w:val="00DE7291"/>
    <w:rsid w:val="00E01A60"/>
    <w:rsid w:val="00E57195"/>
    <w:rsid w:val="00E74FB0"/>
    <w:rsid w:val="00EA1702"/>
    <w:rsid w:val="00E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D833D"/>
  <w15:docId w15:val="{0AB1DE84-57AB-4EA9-A66C-E2F0E16F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291"/>
  </w:style>
  <w:style w:type="paragraph" w:styleId="a8">
    <w:name w:val="footer"/>
    <w:basedOn w:val="a"/>
    <w:link w:val="a9"/>
    <w:uiPriority w:val="99"/>
    <w:unhideWhenUsed/>
    <w:rsid w:val="00D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291"/>
  </w:style>
  <w:style w:type="paragraph" w:styleId="aa">
    <w:name w:val="List Paragraph"/>
    <w:basedOn w:val="a"/>
    <w:uiPriority w:val="34"/>
    <w:qFormat/>
    <w:rsid w:val="00E0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B01D134F9D60B30B81B1B265A57D39EA062AEE5DC841ED09E177160C1285609BA1998EDEEF6D7Y5Y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8A30-D9F1-4E20-9A60-62D82423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Admin</cp:lastModifiedBy>
  <cp:revision>9</cp:revision>
  <cp:lastPrinted>2020-10-19T05:54:00Z</cp:lastPrinted>
  <dcterms:created xsi:type="dcterms:W3CDTF">2020-11-13T06:45:00Z</dcterms:created>
  <dcterms:modified xsi:type="dcterms:W3CDTF">2020-11-19T05:03:00Z</dcterms:modified>
</cp:coreProperties>
</file>