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2D" w:rsidRDefault="00184C2D" w:rsidP="00184C2D">
      <w:pPr>
        <w:autoSpaceDE w:val="0"/>
        <w:autoSpaceDN w:val="0"/>
        <w:adjustRightInd w:val="0"/>
        <w:spacing w:after="0" w:line="240" w:lineRule="auto"/>
        <w:jc w:val="center"/>
        <w:outlineLvl w:val="0"/>
        <w:rPr>
          <w:rFonts w:ascii="Times New Roman" w:hAnsi="Times New Roman" w:cs="Times New Roman"/>
          <w:b/>
          <w:bCs/>
          <w:sz w:val="26"/>
          <w:szCs w:val="26"/>
        </w:rPr>
      </w:pPr>
    </w:p>
    <w:p w:rsidR="00184C2D" w:rsidRDefault="00184C2D" w:rsidP="00184C2D">
      <w:pPr>
        <w:autoSpaceDE w:val="0"/>
        <w:autoSpaceDN w:val="0"/>
        <w:adjustRightInd w:val="0"/>
        <w:spacing w:after="0" w:line="240" w:lineRule="auto"/>
        <w:jc w:val="center"/>
        <w:outlineLvl w:val="0"/>
        <w:rPr>
          <w:rFonts w:ascii="Times New Roman" w:hAnsi="Times New Roman" w:cs="Times New Roman"/>
          <w:b/>
          <w:bCs/>
          <w:sz w:val="26"/>
          <w:szCs w:val="26"/>
        </w:rPr>
      </w:pPr>
      <w:r w:rsidRPr="00184C2D">
        <w:rPr>
          <w:rFonts w:ascii="Times New Roman" w:hAnsi="Times New Roman" w:cs="Times New Roman"/>
          <w:b/>
          <w:bCs/>
          <w:sz w:val="26"/>
          <w:szCs w:val="26"/>
        </w:rPr>
        <w:t>Постановление Правительства РФ от 29.07.2013 N 644 (ред. от 22.05.2020) "Об утверждении П</w:t>
      </w:r>
      <w:bookmarkStart w:id="0" w:name="_GoBack"/>
      <w:bookmarkEnd w:id="0"/>
      <w:r w:rsidRPr="00184C2D">
        <w:rPr>
          <w:rFonts w:ascii="Times New Roman" w:hAnsi="Times New Roman" w:cs="Times New Roman"/>
          <w:b/>
          <w:bCs/>
          <w:sz w:val="26"/>
          <w:szCs w:val="26"/>
        </w:rPr>
        <w:t>равил холодного водоснабжения и водоотведения и о внесении изменений в некоторые акты Правительства Российской Федерации" (с изм. и доп., вступ. в силу с 01.07.2020)</w:t>
      </w:r>
    </w:p>
    <w:p w:rsidR="00184C2D" w:rsidRDefault="00184C2D" w:rsidP="00184C2D">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XIV. Требования к содержанию плана снижения сбросов,</w:t>
      </w:r>
    </w:p>
    <w:p w:rsidR="00184C2D" w:rsidRDefault="00184C2D" w:rsidP="00184C2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порядок и сроки его согласования, основания для отказа</w:t>
      </w:r>
    </w:p>
    <w:p w:rsidR="00184C2D" w:rsidRDefault="00184C2D" w:rsidP="00184C2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согласовании плана снижения сбросов</w:t>
      </w:r>
    </w:p>
    <w:p w:rsidR="00184C2D" w:rsidRDefault="00184C2D" w:rsidP="00184C2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22.05.2020 N 728)</w:t>
      </w:r>
    </w:p>
    <w:p w:rsidR="00184C2D" w:rsidRDefault="00184C2D" w:rsidP="00184C2D">
      <w:pPr>
        <w:autoSpaceDE w:val="0"/>
        <w:autoSpaceDN w:val="0"/>
        <w:adjustRightInd w:val="0"/>
        <w:spacing w:after="0" w:line="240" w:lineRule="auto"/>
        <w:jc w:val="both"/>
        <w:rPr>
          <w:rFonts w:ascii="Times New Roman" w:hAnsi="Times New Roman" w:cs="Times New Roman"/>
          <w:sz w:val="26"/>
          <w:szCs w:val="26"/>
        </w:rPr>
      </w:pP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bookmarkStart w:id="1" w:name="Par5"/>
      <w:bookmarkEnd w:id="1"/>
      <w:r>
        <w:rPr>
          <w:rFonts w:ascii="Times New Roman" w:hAnsi="Times New Roman" w:cs="Times New Roman"/>
          <w:sz w:val="26"/>
          <w:szCs w:val="26"/>
        </w:rPr>
        <w:t xml:space="preserve">182. </w:t>
      </w:r>
      <w:proofErr w:type="gramStart"/>
      <w:r w:rsidRPr="00184C2D">
        <w:rPr>
          <w:rFonts w:ascii="Times New Roman" w:hAnsi="Times New Roman" w:cs="Times New Roman"/>
          <w:b/>
          <w:sz w:val="26"/>
          <w:szCs w:val="26"/>
        </w:rPr>
        <w:t>Абоненты, допустившие</w:t>
      </w:r>
      <w:r>
        <w:rPr>
          <w:rFonts w:ascii="Times New Roman" w:hAnsi="Times New Roman" w:cs="Times New Roman"/>
          <w:sz w:val="26"/>
          <w:szCs w:val="26"/>
        </w:rPr>
        <w:t xml:space="preserve"> по результатам, полученным в ходе осуществления контроля состава и свойств сточных вод, </w:t>
      </w:r>
      <w:r w:rsidRPr="00184C2D">
        <w:rPr>
          <w:rFonts w:ascii="Times New Roman" w:hAnsi="Times New Roman" w:cs="Times New Roman"/>
          <w:b/>
          <w:sz w:val="26"/>
          <w:szCs w:val="26"/>
        </w:rPr>
        <w:t>превышение нормативов</w:t>
      </w:r>
      <w:r>
        <w:rPr>
          <w:rFonts w:ascii="Times New Roman" w:hAnsi="Times New Roman" w:cs="Times New Roman"/>
          <w:sz w:val="26"/>
          <w:szCs w:val="26"/>
        </w:rPr>
        <w:t xml:space="preserve"> состава сточных вод по одному и тому же загрязняющему веществу </w:t>
      </w:r>
      <w:r w:rsidRPr="00184C2D">
        <w:rPr>
          <w:rFonts w:ascii="Times New Roman" w:hAnsi="Times New Roman" w:cs="Times New Roman"/>
          <w:b/>
          <w:sz w:val="26"/>
          <w:szCs w:val="26"/>
        </w:rPr>
        <w:t>2 раза и более в течение 12 месяцев</w:t>
      </w:r>
      <w:r>
        <w:rPr>
          <w:rFonts w:ascii="Times New Roman" w:hAnsi="Times New Roman" w:cs="Times New Roman"/>
          <w:sz w:val="26"/>
          <w:szCs w:val="26"/>
        </w:rPr>
        <w:t xml:space="preserve"> со дня первого превышения, </w:t>
      </w:r>
      <w:r w:rsidRPr="00184C2D">
        <w:rPr>
          <w:rFonts w:ascii="Times New Roman" w:hAnsi="Times New Roman" w:cs="Times New Roman"/>
          <w:b/>
          <w:sz w:val="26"/>
          <w:szCs w:val="26"/>
        </w:rPr>
        <w:t>и</w:t>
      </w:r>
      <w:r>
        <w:rPr>
          <w:rFonts w:ascii="Times New Roman" w:hAnsi="Times New Roman" w:cs="Times New Roman"/>
          <w:sz w:val="26"/>
          <w:szCs w:val="26"/>
        </w:rPr>
        <w:t xml:space="preserve"> абоненты, допустившие по результатам анализов контрольных проб </w:t>
      </w:r>
      <w:r w:rsidRPr="00184C2D">
        <w:rPr>
          <w:rFonts w:ascii="Times New Roman" w:hAnsi="Times New Roman" w:cs="Times New Roman"/>
          <w:b/>
          <w:sz w:val="26"/>
          <w:szCs w:val="26"/>
        </w:rPr>
        <w:t>однократное превышение нормативов</w:t>
      </w:r>
      <w:r>
        <w:rPr>
          <w:rFonts w:ascii="Times New Roman" w:hAnsi="Times New Roman" w:cs="Times New Roman"/>
          <w:sz w:val="26"/>
          <w:szCs w:val="26"/>
        </w:rPr>
        <w:t xml:space="preserve"> состава сточных вод </w:t>
      </w:r>
      <w:r w:rsidRPr="00184C2D">
        <w:rPr>
          <w:rFonts w:ascii="Times New Roman" w:hAnsi="Times New Roman" w:cs="Times New Roman"/>
          <w:b/>
          <w:sz w:val="26"/>
          <w:szCs w:val="26"/>
        </w:rPr>
        <w:t>в 3 раза и более</w:t>
      </w:r>
      <w:r>
        <w:rPr>
          <w:rFonts w:ascii="Times New Roman" w:hAnsi="Times New Roman" w:cs="Times New Roman"/>
          <w:sz w:val="26"/>
          <w:szCs w:val="26"/>
        </w:rPr>
        <w:t>, обязаны в течение</w:t>
      </w:r>
      <w:proofErr w:type="gramEnd"/>
      <w:r>
        <w:rPr>
          <w:rFonts w:ascii="Times New Roman" w:hAnsi="Times New Roman" w:cs="Times New Roman"/>
          <w:sz w:val="26"/>
          <w:szCs w:val="26"/>
        </w:rPr>
        <w:t xml:space="preserve"> 90 календарных дней со дня уведомления организацией, осуществляющей водоотведение, о таком нарушении </w:t>
      </w:r>
      <w:r w:rsidRPr="00184C2D">
        <w:rPr>
          <w:rFonts w:ascii="Times New Roman" w:hAnsi="Times New Roman" w:cs="Times New Roman"/>
          <w:b/>
          <w:sz w:val="26"/>
          <w:szCs w:val="26"/>
        </w:rPr>
        <w:t>разработать план</w:t>
      </w:r>
      <w:r>
        <w:rPr>
          <w:rFonts w:ascii="Times New Roman" w:hAnsi="Times New Roman" w:cs="Times New Roman"/>
          <w:sz w:val="26"/>
          <w:szCs w:val="26"/>
        </w:rPr>
        <w:t xml:space="preserve"> снижения сбросов, </w:t>
      </w:r>
      <w:r w:rsidRPr="00184C2D">
        <w:rPr>
          <w:rFonts w:ascii="Times New Roman" w:hAnsi="Times New Roman" w:cs="Times New Roman"/>
          <w:b/>
          <w:sz w:val="26"/>
          <w:szCs w:val="26"/>
        </w:rPr>
        <w:t>утвердить</w:t>
      </w:r>
      <w:r>
        <w:rPr>
          <w:rFonts w:ascii="Times New Roman" w:hAnsi="Times New Roman" w:cs="Times New Roman"/>
          <w:sz w:val="26"/>
          <w:szCs w:val="26"/>
        </w:rPr>
        <w:t xml:space="preserve"> его </w:t>
      </w:r>
      <w:r w:rsidRPr="00184C2D">
        <w:rPr>
          <w:rFonts w:ascii="Times New Roman" w:hAnsi="Times New Roman" w:cs="Times New Roman"/>
          <w:b/>
          <w:sz w:val="26"/>
          <w:szCs w:val="26"/>
        </w:rPr>
        <w:t>после согласования</w:t>
      </w:r>
      <w:r>
        <w:rPr>
          <w:rFonts w:ascii="Times New Roman" w:hAnsi="Times New Roman" w:cs="Times New Roman"/>
          <w:sz w:val="26"/>
          <w:szCs w:val="26"/>
        </w:rPr>
        <w:t xml:space="preserve">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r:id="rId6" w:history="1">
        <w:r>
          <w:rPr>
            <w:rFonts w:ascii="Times New Roman" w:hAnsi="Times New Roman" w:cs="Times New Roman"/>
            <w:color w:val="0000FF"/>
            <w:sz w:val="26"/>
            <w:szCs w:val="26"/>
          </w:rPr>
          <w:t>пункте 203</w:t>
        </w:r>
      </w:hyperlink>
      <w:r>
        <w:rPr>
          <w:rFonts w:ascii="Times New Roman" w:hAnsi="Times New Roman" w:cs="Times New Roman"/>
          <w:sz w:val="26"/>
          <w:szCs w:val="26"/>
        </w:rPr>
        <w:t xml:space="preserve"> настоящих Правил).</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184. План снижения сбросов абонента, допустившего превышение нормативов состава сточных вод, указанное в </w:t>
      </w:r>
      <w:hyperlink w:anchor="Par5" w:history="1">
        <w:r>
          <w:rPr>
            <w:rFonts w:ascii="Times New Roman" w:hAnsi="Times New Roman" w:cs="Times New Roman"/>
            <w:color w:val="0000FF"/>
            <w:sz w:val="26"/>
            <w:szCs w:val="26"/>
          </w:rPr>
          <w:t>пункте 182</w:t>
        </w:r>
      </w:hyperlink>
      <w:r>
        <w:rPr>
          <w:rFonts w:ascii="Times New Roman" w:hAnsi="Times New Roman" w:cs="Times New Roman"/>
          <w:sz w:val="26"/>
          <w:szCs w:val="26"/>
        </w:rP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184C2D">
        <w:rPr>
          <w:rFonts w:ascii="Times New Roman" w:hAnsi="Times New Roman" w:cs="Times New Roman"/>
          <w:b/>
          <w:sz w:val="26"/>
          <w:szCs w:val="26"/>
        </w:rPr>
        <w:t>строительство или модернизация локальных очистных сооружений</w:t>
      </w:r>
      <w:r>
        <w:rPr>
          <w:rFonts w:ascii="Times New Roman" w:hAnsi="Times New Roman" w:cs="Times New Roman"/>
          <w:sz w:val="26"/>
          <w:szCs w:val="26"/>
        </w:rPr>
        <w:t xml:space="preserve"> и (или) очистка сточных вод абонента с использованием локальных очистных сооружений, принадлежащих третьим лицам;</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создание </w:t>
      </w:r>
      <w:r w:rsidRPr="00184C2D">
        <w:rPr>
          <w:rFonts w:ascii="Times New Roman" w:hAnsi="Times New Roman" w:cs="Times New Roman"/>
          <w:b/>
          <w:sz w:val="26"/>
          <w:szCs w:val="26"/>
        </w:rPr>
        <w:t>систем оборотного водоснабжения</w:t>
      </w:r>
      <w:r>
        <w:rPr>
          <w:rFonts w:ascii="Times New Roman" w:hAnsi="Times New Roman" w:cs="Times New Roman"/>
          <w:sz w:val="26"/>
          <w:szCs w:val="26"/>
        </w:rPr>
        <w:t>;</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внедрение технологий производства продукции (товаров), оказания услуг, проведения </w:t>
      </w:r>
      <w:r w:rsidRPr="00184C2D">
        <w:rPr>
          <w:rFonts w:ascii="Times New Roman" w:hAnsi="Times New Roman" w:cs="Times New Roman"/>
          <w:b/>
          <w:sz w:val="26"/>
          <w:szCs w:val="26"/>
        </w:rPr>
        <w:t>работ, обеспечивающих снижение концентрации загрязняющих веще</w:t>
      </w:r>
      <w:proofErr w:type="gramStart"/>
      <w:r w:rsidRPr="00184C2D">
        <w:rPr>
          <w:rFonts w:ascii="Times New Roman" w:hAnsi="Times New Roman" w:cs="Times New Roman"/>
          <w:b/>
          <w:sz w:val="26"/>
          <w:szCs w:val="26"/>
        </w:rPr>
        <w:t>ств</w:t>
      </w:r>
      <w:r>
        <w:rPr>
          <w:rFonts w:ascii="Times New Roman" w:hAnsi="Times New Roman" w:cs="Times New Roman"/>
          <w:sz w:val="26"/>
          <w:szCs w:val="26"/>
        </w:rPr>
        <w:t xml:space="preserve"> в ст</w:t>
      </w:r>
      <w:proofErr w:type="gramEnd"/>
      <w:r>
        <w:rPr>
          <w:rFonts w:ascii="Times New Roman" w:hAnsi="Times New Roman" w:cs="Times New Roman"/>
          <w:sz w:val="26"/>
          <w:szCs w:val="26"/>
        </w:rPr>
        <w:t>очных водах.</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bookmarkStart w:id="2" w:name="Par13"/>
      <w:bookmarkEnd w:id="2"/>
      <w:r>
        <w:rPr>
          <w:rFonts w:ascii="Times New Roman" w:hAnsi="Times New Roman" w:cs="Times New Roman"/>
          <w:sz w:val="26"/>
          <w:szCs w:val="26"/>
        </w:rPr>
        <w:t xml:space="preserve">185. План снижения сбросов разрабатывается абонентом </w:t>
      </w:r>
      <w:r w:rsidRPr="000D331A">
        <w:rPr>
          <w:rFonts w:ascii="Times New Roman" w:hAnsi="Times New Roman" w:cs="Times New Roman"/>
          <w:b/>
          <w:sz w:val="26"/>
          <w:szCs w:val="26"/>
        </w:rPr>
        <w:t>сроком до 7 лет</w:t>
      </w:r>
      <w:r>
        <w:rPr>
          <w:rFonts w:ascii="Times New Roman" w:hAnsi="Times New Roman" w:cs="Times New Roman"/>
          <w:sz w:val="26"/>
          <w:szCs w:val="26"/>
        </w:rPr>
        <w:t xml:space="preserve"> и включает в себя:</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0D331A">
        <w:rPr>
          <w:rFonts w:ascii="Times New Roman" w:hAnsi="Times New Roman" w:cs="Times New Roman"/>
          <w:b/>
          <w:sz w:val="26"/>
          <w:szCs w:val="26"/>
        </w:rPr>
        <w:t>наименования мероприятий</w:t>
      </w:r>
      <w:r>
        <w:rPr>
          <w:rFonts w:ascii="Times New Roman" w:hAnsi="Times New Roman" w:cs="Times New Roman"/>
          <w:sz w:val="26"/>
          <w:szCs w:val="26"/>
        </w:rPr>
        <w:t xml:space="preserve">, обеспечивающих предотвращение превышений абонентом нормативов состава сточных вод, в том числе распределение указанных мероприятий по </w:t>
      </w:r>
      <w:r w:rsidRPr="000D331A">
        <w:rPr>
          <w:rFonts w:ascii="Times New Roman" w:hAnsi="Times New Roman" w:cs="Times New Roman"/>
          <w:b/>
          <w:sz w:val="26"/>
          <w:szCs w:val="26"/>
        </w:rPr>
        <w:t>этапам</w:t>
      </w:r>
      <w:r>
        <w:rPr>
          <w:rFonts w:ascii="Times New Roman" w:hAnsi="Times New Roman" w:cs="Times New Roman"/>
          <w:sz w:val="26"/>
          <w:szCs w:val="26"/>
        </w:rPr>
        <w:t xml:space="preserve">, срок выполнения каждого из которых </w:t>
      </w:r>
      <w:r w:rsidRPr="000D331A">
        <w:rPr>
          <w:rFonts w:ascii="Times New Roman" w:hAnsi="Times New Roman" w:cs="Times New Roman"/>
          <w:b/>
          <w:sz w:val="26"/>
          <w:szCs w:val="26"/>
        </w:rPr>
        <w:t>не может превышать 2 лет</w:t>
      </w:r>
      <w:r>
        <w:rPr>
          <w:rFonts w:ascii="Times New Roman" w:hAnsi="Times New Roman" w:cs="Times New Roman"/>
          <w:sz w:val="26"/>
          <w:szCs w:val="26"/>
        </w:rPr>
        <w:t>;</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Pr="000D331A">
        <w:rPr>
          <w:rFonts w:ascii="Times New Roman" w:hAnsi="Times New Roman" w:cs="Times New Roman"/>
          <w:b/>
          <w:sz w:val="26"/>
          <w:szCs w:val="26"/>
        </w:rPr>
        <w:t>сведения о загрязняющих веществах</w:t>
      </w:r>
      <w:r>
        <w:rPr>
          <w:rFonts w:ascii="Times New Roman" w:hAnsi="Times New Roman" w:cs="Times New Roman"/>
          <w:sz w:val="26"/>
          <w:szCs w:val="26"/>
        </w:rPr>
        <w:t>,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Pr="000D331A">
        <w:rPr>
          <w:rFonts w:ascii="Times New Roman" w:hAnsi="Times New Roman" w:cs="Times New Roman"/>
          <w:b/>
          <w:sz w:val="26"/>
          <w:szCs w:val="26"/>
        </w:rPr>
        <w:t>сроки</w:t>
      </w:r>
      <w:r>
        <w:rPr>
          <w:rFonts w:ascii="Times New Roman" w:hAnsi="Times New Roman" w:cs="Times New Roman"/>
          <w:sz w:val="26"/>
          <w:szCs w:val="26"/>
        </w:rPr>
        <w:t xml:space="preserve"> выполнения мероприятий плана снижения сбросов (</w:t>
      </w:r>
      <w:r w:rsidRPr="000D331A">
        <w:rPr>
          <w:rFonts w:ascii="Times New Roman" w:hAnsi="Times New Roman" w:cs="Times New Roman"/>
          <w:b/>
          <w:sz w:val="26"/>
          <w:szCs w:val="26"/>
        </w:rPr>
        <w:t>этапа плана</w:t>
      </w:r>
      <w:r>
        <w:rPr>
          <w:rFonts w:ascii="Times New Roman" w:hAnsi="Times New Roman" w:cs="Times New Roman"/>
          <w:sz w:val="26"/>
          <w:szCs w:val="26"/>
        </w:rPr>
        <w:t>);</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Pr="000D331A">
        <w:rPr>
          <w:rFonts w:ascii="Times New Roman" w:hAnsi="Times New Roman" w:cs="Times New Roman"/>
          <w:b/>
          <w:sz w:val="26"/>
          <w:szCs w:val="26"/>
        </w:rPr>
        <w:t>объем расходов</w:t>
      </w:r>
      <w:r>
        <w:rPr>
          <w:rFonts w:ascii="Times New Roman" w:hAnsi="Times New Roman" w:cs="Times New Roman"/>
          <w:sz w:val="26"/>
          <w:szCs w:val="26"/>
        </w:rPr>
        <w:t xml:space="preserve"> на реализацию мероприятий плана снижения сбросов (</w:t>
      </w:r>
      <w:r w:rsidRPr="000D331A">
        <w:rPr>
          <w:rFonts w:ascii="Times New Roman" w:hAnsi="Times New Roman" w:cs="Times New Roman"/>
          <w:b/>
          <w:sz w:val="26"/>
          <w:szCs w:val="26"/>
        </w:rPr>
        <w:t>этапа плана</w:t>
      </w:r>
      <w:r>
        <w:rPr>
          <w:rFonts w:ascii="Times New Roman" w:hAnsi="Times New Roman" w:cs="Times New Roman"/>
          <w:sz w:val="26"/>
          <w:szCs w:val="26"/>
        </w:rPr>
        <w:t>);</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сведения о </w:t>
      </w:r>
      <w:r w:rsidRPr="000D331A">
        <w:rPr>
          <w:rFonts w:ascii="Times New Roman" w:hAnsi="Times New Roman" w:cs="Times New Roman"/>
          <w:b/>
          <w:sz w:val="26"/>
          <w:szCs w:val="26"/>
        </w:rPr>
        <w:t>лицах, ответственных</w:t>
      </w:r>
      <w:r>
        <w:rPr>
          <w:rFonts w:ascii="Times New Roman" w:hAnsi="Times New Roman" w:cs="Times New Roman"/>
          <w:sz w:val="26"/>
          <w:szCs w:val="26"/>
        </w:rPr>
        <w:t xml:space="preserve"> за выполнение мероприятий плана снижения сбросов.</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186. </w:t>
      </w:r>
      <w:proofErr w:type="gramStart"/>
      <w:r>
        <w:rPr>
          <w:rFonts w:ascii="Times New Roman" w:hAnsi="Times New Roman" w:cs="Times New Roman"/>
          <w:sz w:val="26"/>
          <w:szCs w:val="26"/>
        </w:rPr>
        <w:t xml:space="preserve">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w:t>
      </w:r>
      <w:r>
        <w:rPr>
          <w:rFonts w:ascii="Times New Roman" w:hAnsi="Times New Roman" w:cs="Times New Roman"/>
          <w:sz w:val="26"/>
          <w:szCs w:val="26"/>
        </w:rPr>
        <w:lastRenderedPageBreak/>
        <w:t>абонентом уведомления) с возвращением абоненту подлинного экземпляра плана снижения сбросов.</w:t>
      </w:r>
      <w:proofErr w:type="gramEnd"/>
      <w:r>
        <w:rPr>
          <w:rFonts w:ascii="Times New Roman" w:hAnsi="Times New Roman" w:cs="Times New Roman"/>
          <w:sz w:val="26"/>
          <w:szCs w:val="26"/>
        </w:rPr>
        <w:t xml:space="preserve">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187. </w:t>
      </w:r>
      <w:r w:rsidRPr="000D331A">
        <w:rPr>
          <w:rFonts w:ascii="Times New Roman" w:hAnsi="Times New Roman" w:cs="Times New Roman"/>
          <w:b/>
          <w:sz w:val="26"/>
          <w:szCs w:val="26"/>
        </w:rPr>
        <w:t>После согласования плана</w:t>
      </w:r>
      <w:r>
        <w:rPr>
          <w:rFonts w:ascii="Times New Roman" w:hAnsi="Times New Roman" w:cs="Times New Roman"/>
          <w:sz w:val="26"/>
          <w:szCs w:val="26"/>
        </w:rPr>
        <w:t xml:space="preserve"> снижения сбросов </w:t>
      </w:r>
      <w:r w:rsidRPr="000D331A">
        <w:rPr>
          <w:rFonts w:ascii="Times New Roman" w:hAnsi="Times New Roman" w:cs="Times New Roman"/>
          <w:b/>
          <w:sz w:val="26"/>
          <w:szCs w:val="26"/>
        </w:rPr>
        <w:t>организацией, осуществляющей водоотведение</w:t>
      </w:r>
      <w:r>
        <w:rPr>
          <w:rFonts w:ascii="Times New Roman" w:hAnsi="Times New Roman" w:cs="Times New Roman"/>
          <w:sz w:val="26"/>
          <w:szCs w:val="26"/>
        </w:rPr>
        <w:t xml:space="preserve">, абонент направляет план снижения сбросов (с материалами, подтверждающими его согласование организацией, осуществляющей водоотведение) </w:t>
      </w:r>
      <w:r w:rsidRPr="000D331A">
        <w:rPr>
          <w:rFonts w:ascii="Times New Roman" w:hAnsi="Times New Roman" w:cs="Times New Roman"/>
          <w:b/>
          <w:sz w:val="26"/>
          <w:szCs w:val="26"/>
        </w:rPr>
        <w:t>на согласование в уполномоченный орган</w:t>
      </w:r>
      <w:r>
        <w:rPr>
          <w:rFonts w:ascii="Times New Roman" w:hAnsi="Times New Roman" w:cs="Times New Roman"/>
          <w:sz w:val="26"/>
          <w:szCs w:val="26"/>
        </w:rPr>
        <w:t xml:space="preserve"> по месту расположения водного объекта, в который осуществляется сброс сточных вод организацией, осуществляющей водоотведение.</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188. </w:t>
      </w:r>
      <w:proofErr w:type="gramStart"/>
      <w:r>
        <w:rPr>
          <w:rFonts w:ascii="Times New Roman" w:hAnsi="Times New Roman" w:cs="Times New Roman"/>
          <w:sz w:val="26"/>
          <w:szCs w:val="26"/>
        </w:rPr>
        <w:t xml:space="preserve">Уполномоченный орган </w:t>
      </w:r>
      <w:r w:rsidRPr="000D331A">
        <w:rPr>
          <w:rFonts w:ascii="Times New Roman" w:hAnsi="Times New Roman" w:cs="Times New Roman"/>
          <w:b/>
          <w:sz w:val="26"/>
          <w:szCs w:val="26"/>
        </w:rPr>
        <w:t>рассматривает</w:t>
      </w:r>
      <w:r>
        <w:rPr>
          <w:rFonts w:ascii="Times New Roman" w:hAnsi="Times New Roman" w:cs="Times New Roman"/>
          <w:sz w:val="26"/>
          <w:szCs w:val="26"/>
        </w:rPr>
        <w:t xml:space="preserve"> поступивший на согласование от абонента план снижения сбросов </w:t>
      </w:r>
      <w:r w:rsidRPr="000D331A">
        <w:rPr>
          <w:rFonts w:ascii="Times New Roman" w:hAnsi="Times New Roman" w:cs="Times New Roman"/>
          <w:b/>
          <w:sz w:val="26"/>
          <w:szCs w:val="26"/>
        </w:rPr>
        <w:t>в течение 15 рабочих дней</w:t>
      </w:r>
      <w:r>
        <w:rPr>
          <w:rFonts w:ascii="Times New Roman" w:hAnsi="Times New Roman" w:cs="Times New Roman"/>
          <w:sz w:val="26"/>
          <w:szCs w:val="26"/>
        </w:rPr>
        <w:t xml:space="preserve">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rPr>
          <w:rFonts w:ascii="Times New Roman" w:hAnsi="Times New Roman" w:cs="Times New Roman"/>
          <w:sz w:val="26"/>
          <w:szCs w:val="26"/>
        </w:rPr>
        <w:t xml:space="preserve">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roofErr w:type="gramEnd"/>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189. </w:t>
      </w:r>
      <w:r w:rsidRPr="00605EFF">
        <w:rPr>
          <w:rFonts w:ascii="Times New Roman" w:hAnsi="Times New Roman" w:cs="Times New Roman"/>
          <w:b/>
          <w:sz w:val="26"/>
          <w:szCs w:val="26"/>
        </w:rPr>
        <w:t>Основаниями для принятия решения об отказе в согласовании плана</w:t>
      </w:r>
      <w:r>
        <w:rPr>
          <w:rFonts w:ascii="Times New Roman" w:hAnsi="Times New Roman" w:cs="Times New Roman"/>
          <w:sz w:val="26"/>
          <w:szCs w:val="26"/>
        </w:rPr>
        <w:t xml:space="preserve"> снижения сбросов являются:</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несоответствие плана снижения сбросов </w:t>
      </w:r>
      <w:r w:rsidRPr="00605EFF">
        <w:rPr>
          <w:rFonts w:ascii="Times New Roman" w:hAnsi="Times New Roman" w:cs="Times New Roman"/>
          <w:b/>
          <w:sz w:val="26"/>
          <w:szCs w:val="26"/>
        </w:rPr>
        <w:t>форме</w:t>
      </w:r>
      <w:r>
        <w:rPr>
          <w:rFonts w:ascii="Times New Roman" w:hAnsi="Times New Roman" w:cs="Times New Roman"/>
          <w:sz w:val="26"/>
          <w:szCs w:val="26"/>
        </w:rPr>
        <w:t xml:space="preserve">, приведенной в </w:t>
      </w:r>
      <w:hyperlink r:id="rId7" w:history="1">
        <w:r>
          <w:rPr>
            <w:rFonts w:ascii="Times New Roman" w:hAnsi="Times New Roman" w:cs="Times New Roman"/>
            <w:color w:val="0000FF"/>
            <w:sz w:val="26"/>
            <w:szCs w:val="26"/>
          </w:rPr>
          <w:t>пр</w:t>
        </w:r>
        <w:r>
          <w:rPr>
            <w:rFonts w:ascii="Times New Roman" w:hAnsi="Times New Roman" w:cs="Times New Roman"/>
            <w:color w:val="0000FF"/>
            <w:sz w:val="26"/>
            <w:szCs w:val="26"/>
          </w:rPr>
          <w:t>и</w:t>
        </w:r>
        <w:r>
          <w:rPr>
            <w:rFonts w:ascii="Times New Roman" w:hAnsi="Times New Roman" w:cs="Times New Roman"/>
            <w:color w:val="0000FF"/>
            <w:sz w:val="26"/>
            <w:szCs w:val="26"/>
          </w:rPr>
          <w:t>ложении N 1(2)</w:t>
        </w:r>
      </w:hyperlink>
      <w:r>
        <w:rPr>
          <w:rFonts w:ascii="Times New Roman" w:hAnsi="Times New Roman" w:cs="Times New Roman"/>
          <w:sz w:val="26"/>
          <w:szCs w:val="26"/>
        </w:rPr>
        <w:t xml:space="preserve"> к настоящим Правилам;</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несоответствие </w:t>
      </w:r>
      <w:r w:rsidRPr="00605EFF">
        <w:rPr>
          <w:rFonts w:ascii="Times New Roman" w:hAnsi="Times New Roman" w:cs="Times New Roman"/>
          <w:b/>
          <w:sz w:val="26"/>
          <w:szCs w:val="26"/>
        </w:rPr>
        <w:t>срока</w:t>
      </w:r>
      <w:r>
        <w:rPr>
          <w:rFonts w:ascii="Times New Roman" w:hAnsi="Times New Roman" w:cs="Times New Roman"/>
          <w:sz w:val="26"/>
          <w:szCs w:val="26"/>
        </w:rPr>
        <w:t xml:space="preserve"> реализации плана снижения сбросов (</w:t>
      </w:r>
      <w:r w:rsidRPr="00605EFF">
        <w:rPr>
          <w:rFonts w:ascii="Times New Roman" w:hAnsi="Times New Roman" w:cs="Times New Roman"/>
          <w:b/>
          <w:sz w:val="26"/>
          <w:szCs w:val="26"/>
        </w:rPr>
        <w:t>этапа плана</w:t>
      </w:r>
      <w:r>
        <w:rPr>
          <w:rFonts w:ascii="Times New Roman" w:hAnsi="Times New Roman" w:cs="Times New Roman"/>
          <w:sz w:val="26"/>
          <w:szCs w:val="26"/>
        </w:rPr>
        <w:t xml:space="preserve">) предельному сроку, предусмотренному </w:t>
      </w:r>
      <w:hyperlink w:anchor="Par13" w:history="1">
        <w:r>
          <w:rPr>
            <w:rFonts w:ascii="Times New Roman" w:hAnsi="Times New Roman" w:cs="Times New Roman"/>
            <w:color w:val="0000FF"/>
            <w:sz w:val="26"/>
            <w:szCs w:val="26"/>
          </w:rPr>
          <w:t>пунктом 185</w:t>
        </w:r>
      </w:hyperlink>
      <w:r>
        <w:rPr>
          <w:rFonts w:ascii="Times New Roman" w:hAnsi="Times New Roman" w:cs="Times New Roman"/>
          <w:sz w:val="26"/>
          <w:szCs w:val="26"/>
        </w:rPr>
        <w:t xml:space="preserve"> настоящих Правил;</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несоответствие плана снижения сбросов требованиям к его </w:t>
      </w:r>
      <w:r w:rsidRPr="00605EFF">
        <w:rPr>
          <w:rFonts w:ascii="Times New Roman" w:hAnsi="Times New Roman" w:cs="Times New Roman"/>
          <w:b/>
          <w:sz w:val="26"/>
          <w:szCs w:val="26"/>
        </w:rPr>
        <w:t>содержанию</w:t>
      </w:r>
      <w:r>
        <w:rPr>
          <w:rFonts w:ascii="Times New Roman" w:hAnsi="Times New Roman" w:cs="Times New Roman"/>
          <w:sz w:val="26"/>
          <w:szCs w:val="26"/>
        </w:rPr>
        <w:t xml:space="preserve">, предусмотренным </w:t>
      </w:r>
      <w:hyperlink w:anchor="Par13" w:history="1">
        <w:r>
          <w:rPr>
            <w:rFonts w:ascii="Times New Roman" w:hAnsi="Times New Roman" w:cs="Times New Roman"/>
            <w:color w:val="0000FF"/>
            <w:sz w:val="26"/>
            <w:szCs w:val="26"/>
          </w:rPr>
          <w:t>пунктом 185</w:t>
        </w:r>
      </w:hyperlink>
      <w:r>
        <w:rPr>
          <w:rFonts w:ascii="Times New Roman" w:hAnsi="Times New Roman" w:cs="Times New Roman"/>
          <w:sz w:val="26"/>
          <w:szCs w:val="26"/>
        </w:rPr>
        <w:t xml:space="preserve"> настоящих Правил;</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Pr="00605EFF">
        <w:rPr>
          <w:rFonts w:ascii="Times New Roman" w:hAnsi="Times New Roman" w:cs="Times New Roman"/>
          <w:b/>
          <w:sz w:val="26"/>
          <w:szCs w:val="26"/>
        </w:rPr>
        <w:t>отсутствие</w:t>
      </w:r>
      <w:r>
        <w:rPr>
          <w:rFonts w:ascii="Times New Roman" w:hAnsi="Times New Roman" w:cs="Times New Roman"/>
          <w:sz w:val="26"/>
          <w:szCs w:val="26"/>
        </w:rPr>
        <w:t xml:space="preserve"> в плане снижения сбросов </w:t>
      </w:r>
      <w:r w:rsidRPr="00605EFF">
        <w:rPr>
          <w:rFonts w:ascii="Times New Roman" w:hAnsi="Times New Roman" w:cs="Times New Roman"/>
          <w:b/>
          <w:sz w:val="26"/>
          <w:szCs w:val="26"/>
        </w:rPr>
        <w:t>мероприятий</w:t>
      </w:r>
      <w:r>
        <w:rPr>
          <w:rFonts w:ascii="Times New Roman" w:hAnsi="Times New Roman" w:cs="Times New Roman"/>
          <w:sz w:val="26"/>
          <w:szCs w:val="26"/>
        </w:rPr>
        <w:t xml:space="preserve">,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ar5" w:history="1">
        <w:r>
          <w:rPr>
            <w:rFonts w:ascii="Times New Roman" w:hAnsi="Times New Roman" w:cs="Times New Roman"/>
            <w:color w:val="0000FF"/>
            <w:sz w:val="26"/>
            <w:szCs w:val="26"/>
          </w:rPr>
          <w:t>пунктом 182</w:t>
        </w:r>
      </w:hyperlink>
      <w:r>
        <w:rPr>
          <w:rFonts w:ascii="Times New Roman" w:hAnsi="Times New Roman" w:cs="Times New Roman"/>
          <w:sz w:val="26"/>
          <w:szCs w:val="26"/>
        </w:rP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w:t>
      </w:r>
      <w:r w:rsidRPr="00605EFF">
        <w:rPr>
          <w:rFonts w:ascii="Times New Roman" w:hAnsi="Times New Roman" w:cs="Times New Roman"/>
          <w:b/>
          <w:sz w:val="26"/>
          <w:szCs w:val="26"/>
        </w:rPr>
        <w:t>непредставление материалов,</w:t>
      </w:r>
      <w:r>
        <w:rPr>
          <w:rFonts w:ascii="Times New Roman" w:hAnsi="Times New Roman" w:cs="Times New Roman"/>
          <w:sz w:val="26"/>
          <w:szCs w:val="26"/>
        </w:rPr>
        <w:t xml:space="preserve"> </w:t>
      </w:r>
      <w:r w:rsidRPr="00605EFF">
        <w:rPr>
          <w:rFonts w:ascii="Times New Roman" w:hAnsi="Times New Roman" w:cs="Times New Roman"/>
          <w:b/>
          <w:sz w:val="26"/>
          <w:szCs w:val="26"/>
        </w:rPr>
        <w:t>обосновывающих наличие технической возможности обеспечить достижение планируемых показателей</w:t>
      </w:r>
      <w:r>
        <w:rPr>
          <w:rFonts w:ascii="Times New Roman" w:hAnsi="Times New Roman" w:cs="Times New Roman"/>
          <w:sz w:val="26"/>
          <w:szCs w:val="26"/>
        </w:rPr>
        <w:t xml:space="preserve"> состава сточных вод абонента по итогам реализации плана снижения сбросов (этапа плана);</w:t>
      </w:r>
    </w:p>
    <w:p w:rsid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 необеспечение абонентом доступа представителям организации, осуществляющей водоотведение, к объектам абонента для проверки </w:t>
      </w:r>
      <w:proofErr w:type="gramStart"/>
      <w:r>
        <w:rPr>
          <w:rFonts w:ascii="Times New Roman" w:hAnsi="Times New Roman" w:cs="Times New Roman"/>
          <w:sz w:val="26"/>
          <w:szCs w:val="26"/>
        </w:rPr>
        <w:t>обоснованности мероприятий плана снижения сбросов</w:t>
      </w:r>
      <w:proofErr w:type="gramEnd"/>
      <w:r>
        <w:rPr>
          <w:rFonts w:ascii="Times New Roman" w:hAnsi="Times New Roman" w:cs="Times New Roman"/>
          <w:sz w:val="26"/>
          <w:szCs w:val="26"/>
        </w:rPr>
        <w:t>.</w:t>
      </w:r>
    </w:p>
    <w:p w:rsidR="00184C2D" w:rsidRP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sidRPr="00184C2D">
        <w:rPr>
          <w:rFonts w:ascii="Times New Roman" w:hAnsi="Times New Roman" w:cs="Times New Roman"/>
          <w:sz w:val="26"/>
          <w:szCs w:val="26"/>
        </w:rPr>
        <w:t xml:space="preserve">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w:t>
      </w:r>
      <w:r w:rsidRPr="00184C2D">
        <w:rPr>
          <w:rFonts w:ascii="Times New Roman" w:hAnsi="Times New Roman" w:cs="Times New Roman"/>
          <w:sz w:val="26"/>
          <w:szCs w:val="26"/>
        </w:rPr>
        <w:lastRenderedPageBreak/>
        <w:t>сбросов не позднее 5 рабочих дней после его утверждения направляется в уполномоченный орган и организацию, осуществляющую водоотведение.</w:t>
      </w:r>
    </w:p>
    <w:p w:rsidR="00184C2D" w:rsidRP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sidRPr="00184C2D">
        <w:rPr>
          <w:rFonts w:ascii="Times New Roman" w:hAnsi="Times New Roman" w:cs="Times New Roman"/>
          <w:sz w:val="26"/>
          <w:szCs w:val="26"/>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184C2D" w:rsidRP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bookmarkStart w:id="3" w:name="Par2"/>
      <w:bookmarkEnd w:id="3"/>
      <w:r w:rsidRPr="00184C2D">
        <w:rPr>
          <w:rFonts w:ascii="Times New Roman" w:hAnsi="Times New Roman" w:cs="Times New Roman"/>
          <w:sz w:val="26"/>
          <w:szCs w:val="26"/>
        </w:rPr>
        <w:t xml:space="preserve">192. </w:t>
      </w:r>
      <w:proofErr w:type="gramStart"/>
      <w:r w:rsidRPr="00184C2D">
        <w:rPr>
          <w:rFonts w:ascii="Times New Roman" w:hAnsi="Times New Roman" w:cs="Times New Roman"/>
          <w:sz w:val="26"/>
          <w:szCs w:val="26"/>
        </w:rPr>
        <w:t xml:space="preserve">В случае если у абонента, указанного в </w:t>
      </w:r>
      <w:hyperlink r:id="rId8" w:history="1">
        <w:r w:rsidRPr="00184C2D">
          <w:rPr>
            <w:rFonts w:ascii="Times New Roman" w:hAnsi="Times New Roman" w:cs="Times New Roman"/>
            <w:sz w:val="26"/>
            <w:szCs w:val="26"/>
          </w:rPr>
          <w:t>пункте 182</w:t>
        </w:r>
      </w:hyperlink>
      <w:r w:rsidRPr="00184C2D">
        <w:rPr>
          <w:rFonts w:ascii="Times New Roman" w:hAnsi="Times New Roman" w:cs="Times New Roman"/>
          <w:sz w:val="26"/>
          <w:szCs w:val="26"/>
        </w:rP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w:t>
      </w:r>
      <w:proofErr w:type="gramEnd"/>
      <w:r w:rsidRPr="00184C2D">
        <w:rPr>
          <w:rFonts w:ascii="Times New Roman" w:hAnsi="Times New Roman" w:cs="Times New Roman"/>
          <w:sz w:val="26"/>
          <w:szCs w:val="26"/>
        </w:rPr>
        <w:t xml:space="preserve"> </w:t>
      </w:r>
      <w:proofErr w:type="gramStart"/>
      <w:r w:rsidRPr="00184C2D">
        <w:rPr>
          <w:rFonts w:ascii="Times New Roman" w:hAnsi="Times New Roman" w:cs="Times New Roman"/>
          <w:sz w:val="26"/>
          <w:szCs w:val="26"/>
        </w:rPr>
        <w:t xml:space="preserve">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rsidRPr="00184C2D">
        <w:rPr>
          <w:rFonts w:ascii="Times New Roman" w:hAnsi="Times New Roman" w:cs="Times New Roman"/>
          <w:sz w:val="26"/>
          <w:szCs w:val="26"/>
        </w:rPr>
        <w:t>недопуска</w:t>
      </w:r>
      <w:proofErr w:type="spellEnd"/>
      <w:r w:rsidRPr="00184C2D">
        <w:rPr>
          <w:rFonts w:ascii="Times New Roman" w:hAnsi="Times New Roman" w:cs="Times New Roman"/>
          <w:sz w:val="26"/>
          <w:szCs w:val="26"/>
        </w:rP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w:t>
      </w:r>
      <w:proofErr w:type="gramEnd"/>
      <w:r w:rsidRPr="00184C2D">
        <w:rPr>
          <w:rFonts w:ascii="Times New Roman" w:hAnsi="Times New Roman" w:cs="Times New Roman"/>
          <w:sz w:val="26"/>
          <w:szCs w:val="26"/>
        </w:rPr>
        <w:t xml:space="preserve"> организация, осуществляющая водоотведение, в течение 15 календарных дней по истечении указанных сроков или </w:t>
      </w:r>
      <w:proofErr w:type="gramStart"/>
      <w:r w:rsidRPr="00184C2D">
        <w:rPr>
          <w:rFonts w:ascii="Times New Roman" w:hAnsi="Times New Roman" w:cs="Times New Roman"/>
          <w:sz w:val="26"/>
          <w:szCs w:val="26"/>
        </w:rPr>
        <w:t>с даты второго</w:t>
      </w:r>
      <w:proofErr w:type="gramEnd"/>
      <w:r w:rsidRPr="00184C2D">
        <w:rPr>
          <w:rFonts w:ascii="Times New Roman" w:hAnsi="Times New Roman" w:cs="Times New Roman"/>
          <w:sz w:val="26"/>
          <w:szCs w:val="26"/>
        </w:rPr>
        <w:t xml:space="preserve"> </w:t>
      </w:r>
      <w:proofErr w:type="spellStart"/>
      <w:r w:rsidRPr="00184C2D">
        <w:rPr>
          <w:rFonts w:ascii="Times New Roman" w:hAnsi="Times New Roman" w:cs="Times New Roman"/>
          <w:sz w:val="26"/>
          <w:szCs w:val="26"/>
        </w:rPr>
        <w:t>недопуска</w:t>
      </w:r>
      <w:proofErr w:type="spellEnd"/>
      <w:r w:rsidRPr="00184C2D">
        <w:rPr>
          <w:rFonts w:ascii="Times New Roman" w:hAnsi="Times New Roman" w:cs="Times New Roman"/>
          <w:sz w:val="26"/>
          <w:szCs w:val="26"/>
        </w:rPr>
        <w:t xml:space="preserve"> информирует об этом соответствующий уполномоченный орган.</w:t>
      </w:r>
    </w:p>
    <w:p w:rsidR="00184C2D" w:rsidRPr="00184C2D" w:rsidRDefault="00184C2D" w:rsidP="00605EFF">
      <w:pPr>
        <w:autoSpaceDE w:val="0"/>
        <w:autoSpaceDN w:val="0"/>
        <w:adjustRightInd w:val="0"/>
        <w:spacing w:after="0" w:line="240" w:lineRule="auto"/>
        <w:ind w:firstLine="540"/>
        <w:jc w:val="both"/>
        <w:rPr>
          <w:rFonts w:ascii="Times New Roman" w:hAnsi="Times New Roman" w:cs="Times New Roman"/>
          <w:sz w:val="26"/>
          <w:szCs w:val="26"/>
        </w:rPr>
      </w:pPr>
      <w:r w:rsidRPr="00184C2D">
        <w:rPr>
          <w:rFonts w:ascii="Times New Roman" w:hAnsi="Times New Roman" w:cs="Times New Roman"/>
          <w:sz w:val="26"/>
          <w:szCs w:val="26"/>
        </w:rPr>
        <w:t xml:space="preserve">193. Информирование уполномоченного органа о случаях, указанных в </w:t>
      </w:r>
      <w:hyperlink w:anchor="Par2" w:history="1">
        <w:r w:rsidRPr="00184C2D">
          <w:rPr>
            <w:rFonts w:ascii="Times New Roman" w:hAnsi="Times New Roman" w:cs="Times New Roman"/>
            <w:sz w:val="26"/>
            <w:szCs w:val="26"/>
          </w:rPr>
          <w:t>пункте 192</w:t>
        </w:r>
      </w:hyperlink>
      <w:r w:rsidRPr="00184C2D">
        <w:rPr>
          <w:rFonts w:ascii="Times New Roman" w:hAnsi="Times New Roman" w:cs="Times New Roman"/>
          <w:sz w:val="26"/>
          <w:szCs w:val="26"/>
        </w:rP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061A0" w:rsidRDefault="000061A0" w:rsidP="00605EFF">
      <w:pPr>
        <w:spacing w:after="0" w:line="240" w:lineRule="auto"/>
      </w:pPr>
    </w:p>
    <w:p w:rsidR="000D331A" w:rsidRDefault="000D331A" w:rsidP="00605EFF">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D331A" w:rsidRDefault="000D331A" w:rsidP="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ФОРМА ПЛАНА СНИЖЕНИЯ СБРОСОВ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5166"/>
        <w:gridCol w:w="340"/>
        <w:gridCol w:w="1115"/>
        <w:gridCol w:w="1379"/>
      </w:tblGrid>
      <w:tr w:rsidR="000D331A" w:rsidTr="000D331A">
        <w:tc>
          <w:tcPr>
            <w:tcW w:w="2211" w:type="dxa"/>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СОГЛАСОВАНО:</w:t>
            </w: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СОГЛАСОВАНО:</w:t>
            </w: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УТВЕРЖДАЮ:</w:t>
            </w:r>
          </w:p>
        </w:tc>
      </w:tr>
      <w:tr w:rsidR="000D331A" w:rsidTr="000D331A">
        <w:tc>
          <w:tcPr>
            <w:tcW w:w="2211" w:type="dxa"/>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2211" w:type="dxa"/>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2211" w:type="dxa"/>
            <w:vMerge w:val="restart"/>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организации, осуществляющей водоотведение)</w:t>
            </w:r>
          </w:p>
        </w:tc>
        <w:tc>
          <w:tcPr>
            <w:tcW w:w="340" w:type="dxa"/>
            <w:vMerge w:val="restart"/>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vMerge w:val="restart"/>
            <w:tcBorders>
              <w:top w:val="single" w:sz="4" w:space="0" w:color="auto"/>
            </w:tcBorders>
          </w:tcPr>
          <w:p w:rsidR="000D331A" w:rsidRPr="000D331A" w:rsidRDefault="000D331A" w:rsidP="000D331A">
            <w:pPr>
              <w:autoSpaceDE w:val="0"/>
              <w:autoSpaceDN w:val="0"/>
              <w:adjustRightInd w:val="0"/>
              <w:spacing w:after="0" w:line="240" w:lineRule="auto"/>
              <w:ind w:right="-62"/>
              <w:jc w:val="both"/>
              <w:rPr>
                <w:rFonts w:ascii="Times New Roman" w:hAnsi="Times New Roman" w:cs="Times New Roman"/>
                <w:sz w:val="24"/>
                <w:szCs w:val="24"/>
              </w:rPr>
            </w:pPr>
            <w:proofErr w:type="gramStart"/>
            <w:r w:rsidRPr="000D331A">
              <w:rPr>
                <w:rFonts w:ascii="Times New Roman" w:hAnsi="Times New Roman" w:cs="Times New Roman"/>
                <w:sz w:val="24"/>
                <w:szCs w:val="24"/>
              </w:rPr>
              <w:t xml:space="preserve">(наименование федерального органа исполнительной власти, осуществляющего государственный экологический надзор (в случае, </w:t>
            </w:r>
            <w:r w:rsidRPr="000D331A">
              <w:rPr>
                <w:rFonts w:ascii="Times New Roman" w:hAnsi="Times New Roman" w:cs="Times New Roman"/>
                <w:b/>
                <w:sz w:val="24"/>
                <w:szCs w:val="24"/>
              </w:rPr>
              <w:t>если объект абонента соответствует критериям определения объектов, подлежащих федеральному государственному экологическому надзору</w:t>
            </w:r>
            <w:r w:rsidRPr="000D331A">
              <w:rPr>
                <w:rFonts w:ascii="Times New Roman" w:hAnsi="Times New Roman" w:cs="Times New Roman"/>
                <w:sz w:val="24"/>
                <w:szCs w:val="24"/>
              </w:rPr>
              <w:t>), или уполномоченного органа исполнительной власти субъекта Российской Федерации</w:t>
            </w:r>
            <w:proofErr w:type="gramEnd"/>
          </w:p>
          <w:p w:rsidR="000D331A" w:rsidRPr="000D331A" w:rsidRDefault="000D331A">
            <w:pPr>
              <w:autoSpaceDE w:val="0"/>
              <w:autoSpaceDN w:val="0"/>
              <w:adjustRightInd w:val="0"/>
              <w:spacing w:after="0" w:line="240" w:lineRule="auto"/>
              <w:jc w:val="center"/>
              <w:rPr>
                <w:rFonts w:ascii="Times New Roman" w:hAnsi="Times New Roman" w:cs="Times New Roman"/>
                <w:sz w:val="24"/>
                <w:szCs w:val="24"/>
              </w:rPr>
            </w:pPr>
            <w:r w:rsidRPr="000D331A">
              <w:rPr>
                <w:rFonts w:ascii="Times New Roman" w:hAnsi="Times New Roman" w:cs="Times New Roman"/>
                <w:sz w:val="24"/>
                <w:szCs w:val="24"/>
              </w:rPr>
              <w:t>(в иных случаях)</w:t>
            </w:r>
          </w:p>
        </w:tc>
        <w:tc>
          <w:tcPr>
            <w:tcW w:w="340" w:type="dxa"/>
            <w:vMerge w:val="restart"/>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абонента)</w:t>
            </w:r>
          </w:p>
        </w:tc>
      </w:tr>
      <w:tr w:rsidR="000D331A" w:rsidTr="000D331A">
        <w:tc>
          <w:tcPr>
            <w:tcW w:w="2211" w:type="dxa"/>
            <w:vMerge/>
            <w:tcBorders>
              <w:top w:val="single" w:sz="4" w:space="0" w:color="auto"/>
            </w:tcBorders>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5166" w:type="dxa"/>
            <w:vMerge/>
            <w:tcBorders>
              <w:top w:val="single" w:sz="4" w:space="0" w:color="auto"/>
            </w:tcBorders>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2494" w:type="dxa"/>
            <w:gridSpan w:val="2"/>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2211" w:type="dxa"/>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vMerge/>
            <w:tcBorders>
              <w:top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2211" w:type="dxa"/>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5166" w:type="dxa"/>
            <w:vMerge/>
            <w:tcBorders>
              <w:top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vMerge w:val="restart"/>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(должность и </w:t>
            </w:r>
            <w:proofErr w:type="spellStart"/>
            <w:r>
              <w:rPr>
                <w:rFonts w:ascii="Times New Roman" w:hAnsi="Times New Roman" w:cs="Times New Roman"/>
                <w:sz w:val="26"/>
                <w:szCs w:val="26"/>
              </w:rPr>
              <w:t>ф.и.о.</w:t>
            </w:r>
            <w:proofErr w:type="spellEnd"/>
            <w:r>
              <w:rPr>
                <w:rFonts w:ascii="Times New Roman" w:hAnsi="Times New Roman" w:cs="Times New Roman"/>
                <w:sz w:val="26"/>
                <w:szCs w:val="26"/>
              </w:rPr>
              <w:t xml:space="preserve"> руководителя, подпись, дата)</w:t>
            </w:r>
          </w:p>
        </w:tc>
      </w:tr>
      <w:tr w:rsidR="000D331A" w:rsidTr="000D331A">
        <w:trPr>
          <w:trHeight w:val="299"/>
        </w:trPr>
        <w:tc>
          <w:tcPr>
            <w:tcW w:w="2211" w:type="dxa"/>
            <w:vMerge w:val="restart"/>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(должность и </w:t>
            </w:r>
            <w:proofErr w:type="spellStart"/>
            <w:r>
              <w:rPr>
                <w:rFonts w:ascii="Times New Roman" w:hAnsi="Times New Roman" w:cs="Times New Roman"/>
                <w:sz w:val="26"/>
                <w:szCs w:val="26"/>
              </w:rPr>
              <w:t>ф.и.о.</w:t>
            </w:r>
            <w:proofErr w:type="spellEnd"/>
            <w:r>
              <w:rPr>
                <w:rFonts w:ascii="Times New Roman" w:hAnsi="Times New Roman" w:cs="Times New Roman"/>
                <w:sz w:val="26"/>
                <w:szCs w:val="26"/>
              </w:rPr>
              <w:t xml:space="preserve"> руководителя, подпись, дата)</w:t>
            </w:r>
          </w:p>
        </w:tc>
        <w:tc>
          <w:tcPr>
            <w:tcW w:w="340" w:type="dxa"/>
            <w:vMerge/>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c>
          <w:tcPr>
            <w:tcW w:w="5166" w:type="dxa"/>
            <w:vMerge/>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c>
          <w:tcPr>
            <w:tcW w:w="2494" w:type="dxa"/>
            <w:gridSpan w:val="2"/>
            <w:vMerge/>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r>
      <w:tr w:rsidR="000D331A" w:rsidTr="000D331A">
        <w:tc>
          <w:tcPr>
            <w:tcW w:w="2211" w:type="dxa"/>
            <w:vMerge/>
            <w:tcBorders>
              <w:top w:val="single" w:sz="4" w:space="0" w:color="auto"/>
            </w:tcBorders>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5166" w:type="dxa"/>
            <w:tcBorders>
              <w:top w:val="single" w:sz="4" w:space="0" w:color="auto"/>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494" w:type="dxa"/>
            <w:gridSpan w:val="2"/>
            <w:vMerge/>
            <w:tcBorders>
              <w:top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2211" w:type="dxa"/>
            <w:vMerge/>
            <w:tcBorders>
              <w:top w:val="single" w:sz="4" w:space="0" w:color="auto"/>
            </w:tcBorders>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340" w:type="dxa"/>
            <w:vMerge/>
          </w:tcPr>
          <w:p w:rsidR="000D331A" w:rsidRDefault="000D331A">
            <w:pPr>
              <w:autoSpaceDE w:val="0"/>
              <w:autoSpaceDN w:val="0"/>
              <w:adjustRightInd w:val="0"/>
              <w:spacing w:after="0" w:line="240" w:lineRule="auto"/>
              <w:jc w:val="both"/>
              <w:outlineLvl w:val="0"/>
              <w:rPr>
                <w:rFonts w:ascii="Times New Roman" w:hAnsi="Times New Roman" w:cs="Times New Roman"/>
                <w:sz w:val="26"/>
                <w:szCs w:val="26"/>
              </w:rPr>
            </w:pPr>
          </w:p>
        </w:tc>
        <w:tc>
          <w:tcPr>
            <w:tcW w:w="5166" w:type="dxa"/>
            <w:tcBorders>
              <w:top w:val="single" w:sz="4" w:space="0" w:color="auto"/>
            </w:tcBorders>
          </w:tcPr>
          <w:p w:rsidR="000D331A" w:rsidRPr="000D331A" w:rsidRDefault="000D331A">
            <w:pPr>
              <w:autoSpaceDE w:val="0"/>
              <w:autoSpaceDN w:val="0"/>
              <w:adjustRightInd w:val="0"/>
              <w:spacing w:after="0" w:line="240" w:lineRule="auto"/>
              <w:jc w:val="center"/>
              <w:rPr>
                <w:rFonts w:ascii="Times New Roman" w:hAnsi="Times New Roman" w:cs="Times New Roman"/>
              </w:rPr>
            </w:pPr>
            <w:r w:rsidRPr="000D331A">
              <w:rPr>
                <w:rFonts w:ascii="Times New Roman" w:hAnsi="Times New Roman" w:cs="Times New Roman"/>
              </w:rPr>
              <w:t xml:space="preserve">(должность и </w:t>
            </w:r>
            <w:proofErr w:type="spellStart"/>
            <w:r w:rsidRPr="000D331A">
              <w:rPr>
                <w:rFonts w:ascii="Times New Roman" w:hAnsi="Times New Roman" w:cs="Times New Roman"/>
              </w:rPr>
              <w:t>ф.и.о.</w:t>
            </w:r>
            <w:proofErr w:type="spellEnd"/>
            <w:r w:rsidRPr="000D331A">
              <w:rPr>
                <w:rFonts w:ascii="Times New Roman" w:hAnsi="Times New Roman" w:cs="Times New Roman"/>
              </w:rPr>
              <w:t xml:space="preserve"> руководителя, подпись, дата)</w:t>
            </w:r>
          </w:p>
        </w:tc>
        <w:tc>
          <w:tcPr>
            <w:tcW w:w="340" w:type="dxa"/>
            <w:vMerge/>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c>
          <w:tcPr>
            <w:tcW w:w="2494" w:type="dxa"/>
            <w:gridSpan w:val="2"/>
            <w:vMerge/>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p>
        </w:tc>
      </w:tr>
      <w:tr w:rsidR="000D331A" w:rsidTr="000D331A">
        <w:trPr>
          <w:gridAfter w:val="1"/>
          <w:wAfter w:w="1379" w:type="dxa"/>
        </w:trPr>
        <w:tc>
          <w:tcPr>
            <w:tcW w:w="9172" w:type="dxa"/>
            <w:gridSpan w:val="5"/>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ПЛАН СНИЖЕНИЯ СБРОСОВ</w:t>
            </w:r>
          </w:p>
        </w:tc>
      </w:tr>
      <w:tr w:rsidR="000D331A" w:rsidTr="000D331A">
        <w:trPr>
          <w:gridAfter w:val="1"/>
          <w:wAfter w:w="1379" w:type="dxa"/>
        </w:trPr>
        <w:tc>
          <w:tcPr>
            <w:tcW w:w="9172" w:type="dxa"/>
            <w:gridSpan w:val="5"/>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адрес объекта абонента)</w:t>
            </w:r>
          </w:p>
        </w:tc>
      </w:tr>
    </w:tbl>
    <w:p w:rsidR="000D331A" w:rsidRDefault="000D331A" w:rsidP="000D331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плана с ___________ г. по 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0D331A" w:rsidRDefault="000D331A" w:rsidP="000D331A">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229"/>
        <w:gridCol w:w="340"/>
        <w:gridCol w:w="557"/>
        <w:gridCol w:w="1068"/>
        <w:gridCol w:w="123"/>
        <w:gridCol w:w="217"/>
        <w:gridCol w:w="633"/>
        <w:gridCol w:w="806"/>
        <w:gridCol w:w="110"/>
        <w:gridCol w:w="230"/>
        <w:gridCol w:w="1131"/>
        <w:gridCol w:w="410"/>
        <w:gridCol w:w="340"/>
        <w:gridCol w:w="554"/>
        <w:gridCol w:w="794"/>
        <w:gridCol w:w="183"/>
        <w:gridCol w:w="441"/>
      </w:tblGrid>
      <w:tr w:rsidR="000D331A" w:rsidTr="000D331A">
        <w:tc>
          <w:tcPr>
            <w:tcW w:w="53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N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126"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Номер канализационного выпуска в централизованную систему водоотведения</w:t>
            </w:r>
          </w:p>
        </w:tc>
        <w:tc>
          <w:tcPr>
            <w:tcW w:w="850"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Срок выполнения</w:t>
            </w:r>
          </w:p>
        </w:tc>
        <w:tc>
          <w:tcPr>
            <w:tcW w:w="916"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Ориентировочная стоимость мероприятий (тыс. рублей)</w:t>
            </w:r>
          </w:p>
        </w:tc>
        <w:tc>
          <w:tcPr>
            <w:tcW w:w="136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загрязняющих веществ, по которым планируется предотвращение превышений нормативов состава сточных вод</w:t>
            </w:r>
          </w:p>
        </w:tc>
        <w:tc>
          <w:tcPr>
            <w:tcW w:w="1304"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Концентрация загрязняющих веще</w:t>
            </w:r>
            <w:proofErr w:type="gramStart"/>
            <w:r>
              <w:rPr>
                <w:rFonts w:ascii="Times New Roman" w:hAnsi="Times New Roman" w:cs="Times New Roman"/>
                <w:sz w:val="26"/>
                <w:szCs w:val="26"/>
              </w:rPr>
              <w:t>ств в ст</w:t>
            </w:r>
            <w:proofErr w:type="gramEnd"/>
            <w:r>
              <w:rPr>
                <w:rFonts w:ascii="Times New Roman" w:hAnsi="Times New Roman" w:cs="Times New Roman"/>
                <w:sz w:val="26"/>
                <w:szCs w:val="26"/>
              </w:rPr>
              <w:t>очных водах после осуществления мероприятия (этапа мероприятия) (мг/дм</w:t>
            </w:r>
            <w:r>
              <w:rPr>
                <w:rFonts w:ascii="Times New Roman" w:hAnsi="Times New Roman" w:cs="Times New Roman"/>
                <w:sz w:val="26"/>
                <w:szCs w:val="26"/>
                <w:vertAlign w:val="superscript"/>
              </w:rPr>
              <w:t>3</w:t>
            </w:r>
            <w:r>
              <w:rPr>
                <w:rFonts w:ascii="Times New Roman" w:hAnsi="Times New Roman" w:cs="Times New Roman"/>
                <w:sz w:val="26"/>
                <w:szCs w:val="26"/>
              </w:rPr>
              <w:t>)</w:t>
            </w:r>
          </w:p>
        </w:tc>
        <w:tc>
          <w:tcPr>
            <w:tcW w:w="79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tc>
        <w:tc>
          <w:tcPr>
            <w:tcW w:w="624"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Примечание</w:t>
            </w:r>
          </w:p>
        </w:tc>
      </w:tr>
      <w:tr w:rsidR="000D331A" w:rsidTr="000D331A">
        <w:tc>
          <w:tcPr>
            <w:tcW w:w="53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26"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19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916"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6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04"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624"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53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26"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19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916"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6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04"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624"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53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26"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19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916"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6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04"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624"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c>
          <w:tcPr>
            <w:tcW w:w="53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2126"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19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916"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61"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304" w:type="dxa"/>
            <w:gridSpan w:val="3"/>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624" w:type="dxa"/>
            <w:gridSpan w:val="2"/>
            <w:tcBorders>
              <w:top w:val="single" w:sz="4" w:space="0" w:color="auto"/>
              <w:left w:val="single" w:sz="4" w:space="0" w:color="auto"/>
              <w:bottom w:val="single" w:sz="4" w:space="0" w:color="auto"/>
              <w:right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rPr>
          <w:gridAfter w:val="1"/>
          <w:wAfter w:w="441" w:type="dxa"/>
        </w:trPr>
        <w:tc>
          <w:tcPr>
            <w:tcW w:w="1763" w:type="dxa"/>
            <w:gridSpan w:val="2"/>
          </w:tcPr>
          <w:p w:rsidR="000D331A" w:rsidRDefault="000D331A" w:rsidP="000D331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Исполнител</w:t>
            </w:r>
            <w:r>
              <w:rPr>
                <w:rFonts w:ascii="Times New Roman" w:hAnsi="Times New Roman" w:cs="Times New Roman"/>
                <w:sz w:val="26"/>
                <w:szCs w:val="26"/>
              </w:rPr>
              <w:t>ь</w:t>
            </w: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625" w:type="dxa"/>
            <w:gridSpan w:val="2"/>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gridSpan w:val="2"/>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439" w:type="dxa"/>
            <w:gridSpan w:val="2"/>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gridSpan w:val="2"/>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541" w:type="dxa"/>
            <w:gridSpan w:val="2"/>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531" w:type="dxa"/>
            <w:gridSpan w:val="3"/>
            <w:tcBorders>
              <w:bottom w:val="single" w:sz="4" w:space="0" w:color="auto"/>
            </w:tcBorders>
          </w:tcPr>
          <w:p w:rsidR="000D331A" w:rsidRDefault="000D331A">
            <w:pPr>
              <w:autoSpaceDE w:val="0"/>
              <w:autoSpaceDN w:val="0"/>
              <w:adjustRightInd w:val="0"/>
              <w:spacing w:after="0" w:line="240" w:lineRule="auto"/>
              <w:rPr>
                <w:rFonts w:ascii="Times New Roman" w:hAnsi="Times New Roman" w:cs="Times New Roman"/>
                <w:sz w:val="26"/>
                <w:szCs w:val="26"/>
              </w:rPr>
            </w:pPr>
          </w:p>
        </w:tc>
      </w:tr>
      <w:tr w:rsidR="000D331A" w:rsidTr="000D331A">
        <w:trPr>
          <w:gridAfter w:val="1"/>
          <w:wAfter w:w="441" w:type="dxa"/>
        </w:trPr>
        <w:tc>
          <w:tcPr>
            <w:tcW w:w="1763" w:type="dxa"/>
            <w:gridSpan w:val="2"/>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625" w:type="dxa"/>
            <w:gridSpan w:val="2"/>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w:t>
            </w:r>
          </w:p>
        </w:tc>
        <w:tc>
          <w:tcPr>
            <w:tcW w:w="340" w:type="dxa"/>
            <w:gridSpan w:val="2"/>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439" w:type="dxa"/>
            <w:gridSpan w:val="2"/>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40" w:type="dxa"/>
            <w:gridSpan w:val="2"/>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541" w:type="dxa"/>
            <w:gridSpan w:val="2"/>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ф.и.о.</w:t>
            </w:r>
            <w:proofErr w:type="spellEnd"/>
            <w:r>
              <w:rPr>
                <w:rFonts w:ascii="Times New Roman" w:hAnsi="Times New Roman" w:cs="Times New Roman"/>
                <w:sz w:val="26"/>
                <w:szCs w:val="26"/>
              </w:rPr>
              <w:t>)</w:t>
            </w:r>
          </w:p>
        </w:tc>
        <w:tc>
          <w:tcPr>
            <w:tcW w:w="340" w:type="dxa"/>
          </w:tcPr>
          <w:p w:rsidR="000D331A" w:rsidRDefault="000D331A">
            <w:pPr>
              <w:autoSpaceDE w:val="0"/>
              <w:autoSpaceDN w:val="0"/>
              <w:adjustRightInd w:val="0"/>
              <w:spacing w:after="0" w:line="240" w:lineRule="auto"/>
              <w:rPr>
                <w:rFonts w:ascii="Times New Roman" w:hAnsi="Times New Roman" w:cs="Times New Roman"/>
                <w:sz w:val="26"/>
                <w:szCs w:val="26"/>
              </w:rPr>
            </w:pPr>
          </w:p>
        </w:tc>
        <w:tc>
          <w:tcPr>
            <w:tcW w:w="1531" w:type="dxa"/>
            <w:gridSpan w:val="3"/>
            <w:tcBorders>
              <w:top w:val="single" w:sz="4" w:space="0" w:color="auto"/>
            </w:tcBorders>
          </w:tcPr>
          <w:p w:rsidR="000D331A" w:rsidRDefault="000D331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(телефон)</w:t>
            </w:r>
          </w:p>
        </w:tc>
      </w:tr>
    </w:tbl>
    <w:p w:rsidR="000D331A" w:rsidRDefault="000D331A" w:rsidP="000D331A"/>
    <w:sectPr w:rsidR="000D331A" w:rsidSect="00605EFF">
      <w:pgSz w:w="11905" w:h="16838"/>
      <w:pgMar w:top="568" w:right="567" w:bottom="28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2D"/>
    <w:rsid w:val="000061A0"/>
    <w:rsid w:val="000D331A"/>
    <w:rsid w:val="00184C2D"/>
    <w:rsid w:val="0060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D28526DFD62625FB7397168D51DC3DAFA1589195DCC17E37CC14A9C4DDAB99FF9F66CFA03132C76ED59CCCA2643E7B078784171O3h4G" TargetMode="External"/><Relationship Id="rId3" Type="http://schemas.openxmlformats.org/officeDocument/2006/relationships/settings" Target="settings.xml"/><Relationship Id="rId7" Type="http://schemas.openxmlformats.org/officeDocument/2006/relationships/hyperlink" Target="consultantplus://offline/ref=73A6DB0BF9A4BFD2B31B30FDACCDFC19EA40A7AF4917C01AB307D0686DB77272184AF61E9F074087896CEA6455B8CF9B2ECCB24EF1EBl3a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A6DB0BF9A4BFD2B31B30FDACCDFC19EA40A7AF4917C01AB307D0686DB77272184AF6169B014BD88C79FB3C5AB9D28528D4AE4CF3lEa8G" TargetMode="External"/><Relationship Id="rId5" Type="http://schemas.openxmlformats.org/officeDocument/2006/relationships/hyperlink" Target="consultantplus://offline/ref=73A6DB0BF9A4BFD2B31B30FDACCDFC19EA40A7AA4611C01AB307D0686DB77272184AF61E9F044589DC36FA601CEFC1872DD4AC4AEFEB3868l2a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Башарова Альфия Юнировна</dc:creator>
  <cp:lastModifiedBy>Башарова Альфия Юнировна</cp:lastModifiedBy>
  <cp:revision>1</cp:revision>
  <dcterms:created xsi:type="dcterms:W3CDTF">2021-06-23T06:26:00Z</dcterms:created>
  <dcterms:modified xsi:type="dcterms:W3CDTF">2021-06-23T06:53:00Z</dcterms:modified>
</cp:coreProperties>
</file>