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827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2781" w:rsidRDefault="00877C3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78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2781" w:rsidRDefault="00877C34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29.12.2023 N 2406</w:t>
            </w:r>
            <w:r>
              <w:rPr>
                <w:sz w:val="38"/>
              </w:rPr>
              <w:br/>
              <w:t>(ред. от 01.08.2024)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</w:t>
            </w:r>
            <w:r>
              <w:rPr>
                <w:sz w:val="38"/>
              </w:rPr>
              <w:t xml:space="preserve">нических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 на </w:t>
            </w:r>
            <w:r>
              <w:rPr>
                <w:sz w:val="38"/>
              </w:rPr>
              <w:t>2024 год"</w:t>
            </w:r>
          </w:p>
        </w:tc>
      </w:tr>
      <w:tr w:rsidR="009827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2781" w:rsidRDefault="00877C3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82781" w:rsidRDefault="00982781">
      <w:pPr>
        <w:pStyle w:val="ConsPlusNormal0"/>
        <w:sectPr w:rsidR="0098278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82781" w:rsidRDefault="00982781">
      <w:pPr>
        <w:pStyle w:val="ConsPlusNormal0"/>
        <w:jc w:val="both"/>
        <w:outlineLvl w:val="0"/>
      </w:pPr>
    </w:p>
    <w:p w:rsidR="00982781" w:rsidRDefault="00877C3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82781" w:rsidRDefault="00982781">
      <w:pPr>
        <w:pStyle w:val="ConsPlusTitle0"/>
        <w:jc w:val="center"/>
      </w:pPr>
    </w:p>
    <w:p w:rsidR="00982781" w:rsidRDefault="00877C34">
      <w:pPr>
        <w:pStyle w:val="ConsPlusTitle0"/>
        <w:jc w:val="center"/>
      </w:pPr>
      <w:r>
        <w:t>ПОСТАНОВЛЕНИЕ</w:t>
      </w:r>
    </w:p>
    <w:p w:rsidR="00982781" w:rsidRDefault="00877C34">
      <w:pPr>
        <w:pStyle w:val="ConsPlusTitle0"/>
        <w:jc w:val="center"/>
      </w:pPr>
      <w:r>
        <w:t>от 29 декабря 2023 г. N 2406</w:t>
      </w:r>
    </w:p>
    <w:p w:rsidR="00982781" w:rsidRDefault="00982781">
      <w:pPr>
        <w:pStyle w:val="ConsPlusTitle0"/>
        <w:jc w:val="center"/>
      </w:pPr>
    </w:p>
    <w:p w:rsidR="00982781" w:rsidRDefault="00877C34">
      <w:pPr>
        <w:pStyle w:val="ConsPlusTitle0"/>
        <w:jc w:val="center"/>
      </w:pPr>
      <w:r>
        <w:t>О ЗНАЧЕНИЯХ</w:t>
      </w:r>
    </w:p>
    <w:p w:rsidR="00982781" w:rsidRDefault="00877C34">
      <w:pPr>
        <w:pStyle w:val="ConsPlusTitle0"/>
        <w:jc w:val="center"/>
      </w:pPr>
      <w:r>
        <w:t>БАЗОВЫХ СТАВОК ЭКОЛОГИЧЕСКОГО СБОРА И КОЭФФИЦИЕНТА,</w:t>
      </w:r>
    </w:p>
    <w:p w:rsidR="00982781" w:rsidRDefault="00877C34">
      <w:pPr>
        <w:pStyle w:val="ConsPlusTitle0"/>
        <w:jc w:val="center"/>
      </w:pPr>
      <w:r>
        <w:t>УЧИТЫВАЮЩЕГО СЛОЖНОСТЬ ИЗВЛЕЧЕНИЯ ОТХОДОВ ОТ ИСПОЛЬЗОВАНИЯ</w:t>
      </w:r>
    </w:p>
    <w:p w:rsidR="00982781" w:rsidRDefault="00877C34">
      <w:pPr>
        <w:pStyle w:val="ConsPlusTitle0"/>
        <w:jc w:val="center"/>
      </w:pPr>
      <w:r>
        <w:t>ТОВАРОВ ДЛЯ ДАЛЬНЕЙШЕЙ УТИЛИЗАЦ</w:t>
      </w:r>
      <w:r>
        <w:t>ИИ, НАЛИЧИЕ ТЕХНОЛОГИЧЕСКОЙ</w:t>
      </w:r>
    </w:p>
    <w:p w:rsidR="00982781" w:rsidRDefault="00877C34">
      <w:pPr>
        <w:pStyle w:val="ConsPlusTitle0"/>
        <w:jc w:val="center"/>
      </w:pPr>
      <w:r>
        <w:t>ВОЗМОЖНОСТИ ИХ УТИЛИЗАЦИИ С УЧЕТОМ ИЗМЕНЕНИЯ ФИЗИЧЕСКИХ,</w:t>
      </w:r>
    </w:p>
    <w:p w:rsidR="00982781" w:rsidRDefault="00877C34">
      <w:pPr>
        <w:pStyle w:val="ConsPlusTitle0"/>
        <w:jc w:val="center"/>
      </w:pPr>
      <w:r>
        <w:t>ХИМИЧЕСКИХ И МЕХАНИЧЕСКИХ СВОЙСТВ МАТЕРИАЛОВ</w:t>
      </w:r>
    </w:p>
    <w:p w:rsidR="00982781" w:rsidRDefault="00877C34">
      <w:pPr>
        <w:pStyle w:val="ConsPlusTitle0"/>
        <w:jc w:val="center"/>
      </w:pPr>
      <w:r>
        <w:t>ПРИ МНОГОКРАТНОМ ИСПОЛЬЗОВАНИИ (С УЧЕТОМ ВОЗМОЖНЫХ</w:t>
      </w:r>
    </w:p>
    <w:p w:rsidR="00982781" w:rsidRDefault="00877C34">
      <w:pPr>
        <w:pStyle w:val="ConsPlusTitle0"/>
        <w:jc w:val="center"/>
      </w:pPr>
      <w:r>
        <w:t>ЦИКЛОВ ПЕРЕРАБОТКИ ОТХОДОВ ОТ ИСПОЛЬЗОВАНИЯ ТОВАРОВ),</w:t>
      </w:r>
    </w:p>
    <w:p w:rsidR="00982781" w:rsidRDefault="00877C34">
      <w:pPr>
        <w:pStyle w:val="ConsPlusTitle0"/>
        <w:jc w:val="center"/>
      </w:pPr>
      <w:r>
        <w:t>ВОСТРЕБОВАННОСТЬ ВТОР</w:t>
      </w:r>
      <w:r>
        <w:t>ИЧНОГО СЫРЬЯ, ПОЛУЧЕННОГО</w:t>
      </w:r>
    </w:p>
    <w:p w:rsidR="00982781" w:rsidRDefault="00877C34">
      <w:pPr>
        <w:pStyle w:val="ConsPlusTitle0"/>
        <w:jc w:val="center"/>
      </w:pPr>
      <w:r>
        <w:t>ИЗ ТАКИХ ОТХОДОВ, ДЛЯ ИСПОЛЬЗОВАНИЯ</w:t>
      </w:r>
    </w:p>
    <w:p w:rsidR="00982781" w:rsidRDefault="00877C34">
      <w:pPr>
        <w:pStyle w:val="ConsPlusTitle0"/>
        <w:jc w:val="center"/>
      </w:pPr>
      <w:r>
        <w:t>ПРИ ПРОИЗВОДСТВЕ ТОВАРОВ (ПРОДУКЦИИ)</w:t>
      </w:r>
    </w:p>
    <w:p w:rsidR="00982781" w:rsidRDefault="00877C34">
      <w:pPr>
        <w:pStyle w:val="ConsPlusTitle0"/>
        <w:jc w:val="center"/>
      </w:pPr>
      <w:r>
        <w:t>НА 2024 ГОД</w:t>
      </w:r>
    </w:p>
    <w:p w:rsidR="00982781" w:rsidRDefault="009827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27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781" w:rsidRDefault="00877C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781" w:rsidRDefault="00877C3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01.08.2024 N 1041 (ред. от 30.12.2024) &quot;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01.08.2024 N 1041)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</w:tr>
    </w:tbl>
    <w:p w:rsidR="00982781" w:rsidRDefault="00982781">
      <w:pPr>
        <w:pStyle w:val="ConsPlusNormal0"/>
        <w:jc w:val="both"/>
      </w:pPr>
    </w:p>
    <w:p w:rsidR="00982781" w:rsidRDefault="00877C34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24.5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982781" w:rsidRDefault="00877C34">
      <w:pPr>
        <w:pStyle w:val="ConsPlusNormal0"/>
        <w:spacing w:before="240"/>
        <w:ind w:firstLine="540"/>
        <w:jc w:val="both"/>
      </w:pPr>
      <w:r>
        <w:t xml:space="preserve">1. Установить, что за отчетный период 2024 года значения базовых ставок экологического сбора по </w:t>
      </w:r>
      <w:r>
        <w:t xml:space="preserve">группам товаров, упаковки, включенных в перечень на 2024 год, утверждаемый Правительством Российской Федерации в соответствии с </w:t>
      </w:r>
      <w:hyperlink r:id="rId1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производства и потребления", соотв</w:t>
      </w:r>
      <w:r>
        <w:t xml:space="preserve">етствуют значениям ставок сбора, утвержденных </w:t>
      </w:r>
      <w:hyperlink r:id="rId12" w:tooltip="Постановление Правительства РФ от 09.04.2016 N 284 (ред. от 31.10.2018) &quot;Об установлени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апреля 2016 г. N 284 "Об установлени</w:t>
      </w:r>
      <w:r>
        <w:t>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товаров, которые не обеспечивают самостоятельную утилизацию отходов от использования т</w:t>
      </w:r>
      <w:r>
        <w:t xml:space="preserve">оваров (экологического сбора)", по группам товаров, группам упаковки товаров, предусмотренным </w:t>
      </w:r>
      <w:hyperlink r:id="rId13" w:tooltip="Распоряжение Правительства РФ от 28.12.2017 N 2970-р (ред. от 14.04.2020) &lt;Об утверждении перечня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перечнем</w:t>
        </w:r>
      </w:hyperlink>
      <w:r>
        <w:t xml:space="preserve"> товаров, упаковки товаров, под</w:t>
      </w:r>
      <w:r>
        <w:t>лежащих утилизации после утраты ими потребительских свойств, утвержденным распоряжением Правительства Российской Федерации от 28 декабря 2017 г. N 2970-р.</w:t>
      </w:r>
    </w:p>
    <w:p w:rsidR="00982781" w:rsidRDefault="00877C34">
      <w:pPr>
        <w:pStyle w:val="ConsPlusNormal0"/>
        <w:spacing w:before="240"/>
        <w:ind w:firstLine="540"/>
        <w:jc w:val="both"/>
      </w:pPr>
      <w:r>
        <w:t>При этом для определения группы товаров, упаковки товары, упаковка, включенные в перечень на 2024 год</w:t>
      </w:r>
      <w:r>
        <w:t xml:space="preserve">, утверждаемый Правительством Российской Федерации в соответствии с </w:t>
      </w:r>
      <w:hyperlink r:id="rId1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производства и потребления", соотносятся с товарами, упаковкой товаров, предусмотренными </w:t>
      </w:r>
      <w:hyperlink r:id="rId15" w:tooltip="Распоряжение Правительства РФ от 28.12.2017 N 2970-р (ред. от 14.04.2020) &lt;Об утверждении перечня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перечнем</w:t>
        </w:r>
      </w:hyperlink>
      <w:r>
        <w:t xml:space="preserve"> товаров, упаковки товаров, подлежащих утилизации после утраты ими потребительских свойств, утвержденным распоряжением Правительства Российской Федерации от 28 декабря 2017 г. N 2970-р.</w:t>
      </w:r>
    </w:p>
    <w:p w:rsidR="00982781" w:rsidRDefault="00877C34">
      <w:pPr>
        <w:pStyle w:val="ConsPlusNormal0"/>
        <w:spacing w:before="240"/>
        <w:ind w:firstLine="540"/>
        <w:jc w:val="both"/>
      </w:pPr>
      <w:r>
        <w:t>2. Утвердить п</w:t>
      </w:r>
      <w:r>
        <w:t xml:space="preserve">рилагаемые </w:t>
      </w:r>
      <w:hyperlink w:anchor="P40" w:tooltip="ЗНАЧЕНИЯ">
        <w:r>
          <w:rPr>
            <w:color w:val="0000FF"/>
          </w:rPr>
          <w:t>значения</w:t>
        </w:r>
      </w:hyperlink>
      <w:r>
        <w:t xml:space="preserve"> коэффициента, учитывающего сложность извлечения </w:t>
      </w:r>
      <w:r>
        <w:lastRenderedPageBreak/>
        <w:t>отходов от использования товаров для дальнейшей утилизации, наличие технологической возможности их утилизации с учетом изменения физических, химичес</w:t>
      </w:r>
      <w:r>
        <w:t>ких и механических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</w:t>
      </w:r>
      <w:r>
        <w:t>укции) на 2024 год.</w:t>
      </w:r>
    </w:p>
    <w:p w:rsidR="00982781" w:rsidRDefault="00877C3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2024 г.</w:t>
      </w:r>
    </w:p>
    <w:p w:rsidR="00982781" w:rsidRDefault="00982781">
      <w:pPr>
        <w:pStyle w:val="ConsPlusNormal0"/>
        <w:jc w:val="both"/>
      </w:pPr>
    </w:p>
    <w:p w:rsidR="00982781" w:rsidRDefault="00877C34">
      <w:pPr>
        <w:pStyle w:val="ConsPlusNormal0"/>
        <w:jc w:val="right"/>
      </w:pPr>
      <w:r>
        <w:t>Председатель Правительства</w:t>
      </w:r>
    </w:p>
    <w:p w:rsidR="00982781" w:rsidRDefault="00877C34">
      <w:pPr>
        <w:pStyle w:val="ConsPlusNormal0"/>
        <w:jc w:val="right"/>
      </w:pPr>
      <w:r>
        <w:t>Российской Федерации</w:t>
      </w:r>
    </w:p>
    <w:p w:rsidR="00982781" w:rsidRDefault="00877C34">
      <w:pPr>
        <w:pStyle w:val="ConsPlusNormal0"/>
        <w:jc w:val="right"/>
      </w:pPr>
      <w:r>
        <w:t>М.МИШУСТИН</w:t>
      </w:r>
    </w:p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jc w:val="both"/>
      </w:pPr>
    </w:p>
    <w:p w:rsidR="00982781" w:rsidRDefault="00877C34">
      <w:pPr>
        <w:pStyle w:val="ConsPlusNormal0"/>
        <w:jc w:val="right"/>
        <w:outlineLvl w:val="0"/>
      </w:pPr>
      <w:r>
        <w:t>Утверждены</w:t>
      </w:r>
    </w:p>
    <w:p w:rsidR="00982781" w:rsidRDefault="00877C34">
      <w:pPr>
        <w:pStyle w:val="ConsPlusNormal0"/>
        <w:jc w:val="right"/>
      </w:pPr>
      <w:r>
        <w:t>постановлением Правительства</w:t>
      </w:r>
    </w:p>
    <w:p w:rsidR="00982781" w:rsidRDefault="00877C34">
      <w:pPr>
        <w:pStyle w:val="ConsPlusNormal0"/>
        <w:jc w:val="right"/>
      </w:pPr>
      <w:r>
        <w:t>Российской Федерации</w:t>
      </w:r>
    </w:p>
    <w:p w:rsidR="00982781" w:rsidRDefault="00877C34">
      <w:pPr>
        <w:pStyle w:val="ConsPlusNormal0"/>
        <w:jc w:val="right"/>
      </w:pPr>
      <w:r>
        <w:t>от 29 декабря 2023 г. N 2406</w:t>
      </w:r>
    </w:p>
    <w:p w:rsidR="00982781" w:rsidRDefault="00982781">
      <w:pPr>
        <w:pStyle w:val="ConsPlusNormal0"/>
        <w:jc w:val="both"/>
      </w:pPr>
    </w:p>
    <w:p w:rsidR="00982781" w:rsidRDefault="00877C34">
      <w:pPr>
        <w:pStyle w:val="ConsPlusTitle0"/>
        <w:jc w:val="center"/>
      </w:pPr>
      <w:bookmarkStart w:id="1" w:name="P40"/>
      <w:bookmarkEnd w:id="1"/>
      <w:r>
        <w:t>ЗНАЧЕНИЯ</w:t>
      </w:r>
    </w:p>
    <w:p w:rsidR="00982781" w:rsidRDefault="00877C34">
      <w:pPr>
        <w:pStyle w:val="ConsPlusTitle0"/>
        <w:jc w:val="center"/>
      </w:pPr>
      <w:r>
        <w:t>КОЭФФИЦИЕ</w:t>
      </w:r>
      <w:r>
        <w:t>НТА, УЧИТЫВАЮЩЕГО СЛОЖНОСТЬ ИЗВЛЕЧЕНИЯ ОТХОДОВ</w:t>
      </w:r>
    </w:p>
    <w:p w:rsidR="00982781" w:rsidRDefault="00877C34">
      <w:pPr>
        <w:pStyle w:val="ConsPlusTitle0"/>
        <w:jc w:val="center"/>
      </w:pPr>
      <w:r>
        <w:t>ОТ ИСПОЛЬЗОВАНИЯ ТОВАРОВ ДЛЯ ДАЛЬНЕЙШЕЙ УТИЛИЗАЦИИ, НАЛИЧИЕ</w:t>
      </w:r>
    </w:p>
    <w:p w:rsidR="00982781" w:rsidRDefault="00877C34">
      <w:pPr>
        <w:pStyle w:val="ConsPlusTitle0"/>
        <w:jc w:val="center"/>
      </w:pPr>
      <w:r>
        <w:t>ТЕХНОЛОГИЧЕСКОЙ ВОЗМОЖНОСТИ ИХ УТИЛИЗАЦИИ С УЧЕТОМ ИЗМЕНЕНИЯ</w:t>
      </w:r>
    </w:p>
    <w:p w:rsidR="00982781" w:rsidRDefault="00877C34">
      <w:pPr>
        <w:pStyle w:val="ConsPlusTitle0"/>
        <w:jc w:val="center"/>
      </w:pPr>
      <w:r>
        <w:t>ФИЗИЧЕСКИХ, ХИМИЧЕСКИХ И МЕХАНИЧЕСКИХ СВОЙСТВ МАТЕРИАЛОВ</w:t>
      </w:r>
    </w:p>
    <w:p w:rsidR="00982781" w:rsidRDefault="00877C34">
      <w:pPr>
        <w:pStyle w:val="ConsPlusTitle0"/>
        <w:jc w:val="center"/>
      </w:pPr>
      <w:r>
        <w:t>ПРИ МНОГОКРАТНОМ ИСПОЛЬЗОВАНИИ (С УЧЕТОМ ВОЗМОЖНЫХ</w:t>
      </w:r>
    </w:p>
    <w:p w:rsidR="00982781" w:rsidRDefault="00877C34">
      <w:pPr>
        <w:pStyle w:val="ConsPlusTitle0"/>
        <w:jc w:val="center"/>
      </w:pPr>
      <w:r>
        <w:t>ЦИКЛОВ ПЕРЕРАБОТКИ ОТХОДОВ ОТ ИСПОЛЬЗОВАНИЯ ТОВАРОВ),</w:t>
      </w:r>
    </w:p>
    <w:p w:rsidR="00982781" w:rsidRDefault="00877C34">
      <w:pPr>
        <w:pStyle w:val="ConsPlusTitle0"/>
        <w:jc w:val="center"/>
      </w:pPr>
      <w:r>
        <w:t>ВОСТРЕБОВАННОСТЬ ВТОРИЧНОГО СЫРЬЯ, ПОЛУЧЕННОГО ИЗ ТАКИХ</w:t>
      </w:r>
    </w:p>
    <w:p w:rsidR="00982781" w:rsidRDefault="00877C34">
      <w:pPr>
        <w:pStyle w:val="ConsPlusTitle0"/>
        <w:jc w:val="center"/>
      </w:pPr>
      <w:r>
        <w:t>ОТХОДОВ, ДЛЯ ИСПОЛЬЗОВАНИЯ ПРИ ПРОИЗВОДСТВЕ ТОВАРОВ</w:t>
      </w:r>
    </w:p>
    <w:p w:rsidR="00982781" w:rsidRDefault="00877C34">
      <w:pPr>
        <w:pStyle w:val="ConsPlusTitle0"/>
        <w:jc w:val="center"/>
      </w:pPr>
      <w:r>
        <w:t>(ПРОДУКЦИИ) НА 2024 ГОД</w:t>
      </w:r>
    </w:p>
    <w:p w:rsidR="00982781" w:rsidRDefault="009827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27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781" w:rsidRDefault="00877C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</w:t>
            </w:r>
            <w:r>
              <w:rPr>
                <w:color w:val="392C69"/>
              </w:rPr>
              <w:t>х документов</w:t>
            </w:r>
          </w:p>
          <w:p w:rsidR="00982781" w:rsidRDefault="00877C3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РФ от 01.08.2024 N 1041 (ред. от 30.12.2024) &quot;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01.08.2024 N 1041)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781" w:rsidRDefault="00982781">
            <w:pPr>
              <w:pStyle w:val="ConsPlusNormal0"/>
            </w:pPr>
          </w:p>
        </w:tc>
      </w:tr>
    </w:tbl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sectPr w:rsidR="00982781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664"/>
        <w:gridCol w:w="1929"/>
        <w:gridCol w:w="1929"/>
        <w:gridCol w:w="1929"/>
        <w:gridCol w:w="1930"/>
      </w:tblGrid>
      <w:tr w:rsidR="00982781"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81" w:rsidRDefault="00877C34">
            <w:pPr>
              <w:pStyle w:val="ConsPlusNormal0"/>
              <w:jc w:val="center"/>
            </w:pPr>
            <w:r>
              <w:lastRenderedPageBreak/>
              <w:t xml:space="preserve">Наименование групп товаров, упаковки, включенных в перечень на 2024 год, утверждаемый Правительством Российской Федерации в соответствии с </w:t>
            </w:r>
      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      <w:r>
                <w:rPr>
                  <w:color w:val="0000FF"/>
                </w:rPr>
                <w:t>пунктом 5 статьи 24.2</w:t>
              </w:r>
            </w:hyperlink>
            <w:r>
              <w:t xml:space="preserve"> Федерального закона "Об отходах производства и потребле</w:t>
            </w:r>
            <w:r>
              <w:t>ния"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2781" w:rsidRDefault="00877C34">
            <w:pPr>
              <w:pStyle w:val="ConsPlusNormal0"/>
              <w:jc w:val="center"/>
            </w:pPr>
            <w:r>
              <w:t>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при мног</w:t>
            </w:r>
            <w:r>
              <w:t>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</w:t>
            </w:r>
          </w:p>
        </w:tc>
        <w:tc>
          <w:tcPr>
            <w:tcW w:w="77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982781">
        <w:tc>
          <w:tcPr>
            <w:tcW w:w="328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81" w:rsidRDefault="00982781">
            <w:pPr>
              <w:pStyle w:val="ConsPlusNormal0"/>
            </w:pPr>
          </w:p>
        </w:tc>
        <w:tc>
          <w:tcPr>
            <w:tcW w:w="2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781" w:rsidRDefault="00982781">
            <w:pPr>
              <w:pStyle w:val="ConsPlusNormal0"/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982781" w:rsidRDefault="00877C34">
            <w:pPr>
              <w:pStyle w:val="ConsPlusNormal0"/>
              <w:jc w:val="center"/>
            </w:pPr>
            <w:r>
              <w:t>критерия сложности извлечения отходов от использования товаров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982781" w:rsidRDefault="00877C34">
            <w:pPr>
              <w:pStyle w:val="ConsPlusNormal0"/>
              <w:jc w:val="center"/>
            </w:pPr>
            <w:r>
              <w:t>критерия наличия технологической возможности утилизации отходов от использования товаров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982781" w:rsidRDefault="00877C34">
            <w:pPr>
              <w:pStyle w:val="ConsPlusNormal0"/>
              <w:jc w:val="center"/>
            </w:pPr>
            <w:r>
              <w:t>критерия, характеризующего изменение физических, химических и механических свойств материалов при многок</w:t>
            </w:r>
            <w:r>
              <w:t>ратном использовании с учетом возможного количества циклов переработки отходов от использования товаров для получения товаров (продукции), назначение которых аналогично полученным из первичного сырья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критерия, характеризующего востребованность вторичного с</w:t>
            </w:r>
            <w:r>
              <w:t>ырья, полученного из отходов от использования товаров, для использования при производстве товаров (продукции)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 "Одежда и изделия текстильные"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2 "Изделия из бумаги и издательская продукция печатная"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 "</w:t>
            </w:r>
            <w:r>
              <w:t>Изделия из картона"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 "Нефтепродукты"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5 "Шины, покрышки, камеры резиновые и изделия из резины прочие"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6 "Трубы, трубки, шланги, ленты конвейерные, бельтинг из вулканизированной резины"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7 "Изделия пластмассовые прочие"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8 "Зеркала стеклянные"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9 "Стекло и изделия из стекла"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10 "Оборудование и инструменты ручные с механизированным приводом"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11 "</w:t>
            </w:r>
            <w:r>
              <w:t>Элементы первичные и батареи первичных элементов"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12 "Аккумуляторы свинцовые"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13 "Батареи аккумуляторные"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14 "Оборудование электрическое осветительное"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15 "</w:t>
            </w:r>
            <w:r>
              <w:t>Фильтры для двигателей внутреннего сгорания"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16 "Изделия пластмассовые строительные"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17 "Тара деревянная"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18 "Тара и изделия упаковочные бумажные"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19 "</w:t>
            </w:r>
            <w:r>
              <w:t>Тара и изделия упаковочные картонные"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20 "Изделия пластмассовые упаковочные из полиэтилентерефталата бесцветные и голубые"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 xml:space="preserve">Группа N 21 "Изделия пластмассовые упаковочные из полиэтилентерефталата прочие, включая </w:t>
            </w:r>
            <w:r>
              <w:lastRenderedPageBreak/>
              <w:t>комбинир</w:t>
            </w:r>
            <w:r>
              <w:t>ованные"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lastRenderedPageBreak/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22 "Изделия пластмассовые упаковочные из полиэтилена высокой плотности"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23 "Изделия пластмассовые упаковочные из поливинилхлорида"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24 "</w:t>
            </w:r>
            <w:r>
              <w:t>Изделия пластмассовые упаковочные из полиэтилена низкой плотности"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25 "Изделия пластмассовые упаковочные из полипропилена"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26 "Изделия пластмассовые упаковочные из полистирола"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27 "Изделия пластмассовые упаковочные из прочих материалов"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28 "Изделия упаковочные из текстиля"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29 "Тара и изделия упаковочные из стекла"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30 "</w:t>
            </w:r>
            <w:r>
              <w:t>Тара и изделия упаковочные на основе стекла прочие"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31 "Тара и изделия упаковочные из металла"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32 "Тара и изделия упаковочные из комбинированных материалов на основе бумаги"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33 "Упаковка из полиэтилентерефталата бесцветная и голубая"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34 "Упаковка из полиэтилентерефталата прочая, включая комбинированную"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35 "Упаковка из полиэтилена высокой плотности"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36 "Упаковка из поливинилхлорида"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37 "Упаковка из полиэтилена низкой плотности"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38 "Упаковка из полипропилена"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39 "Упаковка из полистирола"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40 "Упаковка из других видов пластмасс"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41 "</w:t>
            </w:r>
            <w:proofErr w:type="gramStart"/>
            <w:r>
              <w:t>Упаковка</w:t>
            </w:r>
            <w:proofErr w:type="gramEnd"/>
            <w:r>
              <w:t xml:space="preserve"> комбинированная из пластмасс и алюминия"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42 "</w:t>
            </w:r>
            <w:proofErr w:type="gramStart"/>
            <w:r>
              <w:t>Упаковка</w:t>
            </w:r>
            <w:proofErr w:type="gramEnd"/>
            <w:r>
              <w:t xml:space="preserve"> комбинированная из пластмасс и белой жести"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43 "</w:t>
            </w:r>
            <w:proofErr w:type="gramStart"/>
            <w:r>
              <w:t>Упаковка</w:t>
            </w:r>
            <w:proofErr w:type="gramEnd"/>
            <w:r>
              <w:t xml:space="preserve"> комбинированная из пластмасс и различных металлов"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44 "</w:t>
            </w:r>
            <w:proofErr w:type="gramStart"/>
            <w:r>
              <w:t>Упаковка</w:t>
            </w:r>
            <w:proofErr w:type="gramEnd"/>
            <w:r>
              <w:t xml:space="preserve"> комбинированная из других видов пластмасс"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45 "Упаковка из бумаги"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46 "</w:t>
            </w:r>
            <w:r>
              <w:t>Упаковка из картона"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47 "Металлическая упаковка"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48 "Деревянная упаковка"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lastRenderedPageBreak/>
              <w:t>Группа N 49 "Текстильная упаковка"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50 "Стеклянная упаковка"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51 "</w:t>
            </w:r>
            <w:r>
              <w:t>Стеклянная упаковка прочая"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781" w:rsidRDefault="00877C34">
            <w:pPr>
              <w:pStyle w:val="ConsPlusNormal0"/>
              <w:jc w:val="both"/>
            </w:pPr>
            <w:r>
              <w:t xml:space="preserve">(в ред. </w:t>
            </w:r>
            <w:hyperlink r:id="rId22" w:tooltip="Постановление Правительства РФ от 01.08.2024 N 1041 (ред. от 30.12.2024) &quot;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01.08.2024 N 1041)</w:t>
            </w:r>
          </w:p>
        </w:tc>
      </w:tr>
      <w:tr w:rsidR="009827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</w:pPr>
            <w:r>
              <w:t>Группа N 52 "Комбинированная упаковка на основе бумаги"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781" w:rsidRDefault="00877C34">
            <w:pPr>
              <w:pStyle w:val="ConsPlusNormal0"/>
              <w:jc w:val="center"/>
            </w:pPr>
            <w:r>
              <w:t>0,25</w:t>
            </w:r>
          </w:p>
        </w:tc>
      </w:tr>
    </w:tbl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jc w:val="both"/>
      </w:pPr>
    </w:p>
    <w:p w:rsidR="00982781" w:rsidRDefault="009827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2781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7C34">
      <w:r>
        <w:separator/>
      </w:r>
    </w:p>
  </w:endnote>
  <w:endnote w:type="continuationSeparator" w:id="0">
    <w:p w:rsidR="00000000" w:rsidRDefault="0087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27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2781" w:rsidRDefault="00877C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781" w:rsidRDefault="00877C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781" w:rsidRDefault="00877C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82781" w:rsidRDefault="00877C3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27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2781" w:rsidRDefault="00877C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781" w:rsidRDefault="00877C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781" w:rsidRDefault="00877C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82781" w:rsidRDefault="00877C3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8278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82781" w:rsidRDefault="00877C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781" w:rsidRDefault="00877C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781" w:rsidRDefault="00877C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82781" w:rsidRDefault="00877C3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8278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82781" w:rsidRDefault="00877C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781" w:rsidRDefault="00877C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781" w:rsidRDefault="00877C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82781" w:rsidRDefault="00877C3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7C34">
      <w:r>
        <w:separator/>
      </w:r>
    </w:p>
  </w:footnote>
  <w:footnote w:type="continuationSeparator" w:id="0">
    <w:p w:rsidR="00000000" w:rsidRDefault="0087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27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2781" w:rsidRDefault="00877C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2406</w:t>
          </w:r>
          <w:r>
            <w:rPr>
              <w:rFonts w:ascii="Tahoma" w:hAnsi="Tahoma" w:cs="Tahoma"/>
              <w:sz w:val="16"/>
              <w:szCs w:val="16"/>
            </w:rPr>
            <w:br/>
            <w:t>(ред. от 01.08.2024)</w:t>
          </w:r>
          <w:r>
            <w:rPr>
              <w:rFonts w:ascii="Tahoma" w:hAnsi="Tahoma" w:cs="Tahoma"/>
              <w:sz w:val="16"/>
              <w:szCs w:val="16"/>
            </w:rPr>
            <w:br/>
            <w:t>"О значениях базовых ставок экологического сбор...</w:t>
          </w:r>
        </w:p>
      </w:tc>
      <w:tc>
        <w:tcPr>
          <w:tcW w:w="2300" w:type="pct"/>
          <w:vAlign w:val="center"/>
        </w:tcPr>
        <w:p w:rsidR="00982781" w:rsidRDefault="00877C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2781" w:rsidRDefault="0098278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27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2781" w:rsidRDefault="00877C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2406</w:t>
          </w:r>
          <w:r>
            <w:rPr>
              <w:rFonts w:ascii="Tahoma" w:hAnsi="Tahoma" w:cs="Tahoma"/>
              <w:sz w:val="16"/>
              <w:szCs w:val="16"/>
            </w:rPr>
            <w:br/>
            <w:t>(ред. от 01.08.2024)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значениях базовых ставок экологического </w:t>
          </w:r>
          <w:r>
            <w:rPr>
              <w:rFonts w:ascii="Tahoma" w:hAnsi="Tahoma" w:cs="Tahoma"/>
              <w:sz w:val="16"/>
              <w:szCs w:val="16"/>
            </w:rPr>
            <w:t>сбор...</w:t>
          </w:r>
        </w:p>
      </w:tc>
      <w:tc>
        <w:tcPr>
          <w:tcW w:w="2300" w:type="pct"/>
          <w:vAlign w:val="center"/>
        </w:tcPr>
        <w:p w:rsidR="00982781" w:rsidRDefault="00877C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2781" w:rsidRDefault="0098278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8278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82781" w:rsidRDefault="00877C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2406</w:t>
          </w:r>
          <w:r>
            <w:rPr>
              <w:rFonts w:ascii="Tahoma" w:hAnsi="Tahoma" w:cs="Tahoma"/>
              <w:sz w:val="16"/>
              <w:szCs w:val="16"/>
            </w:rPr>
            <w:br/>
            <w:t>(ред. от 01.08.2024)</w:t>
          </w:r>
          <w:r>
            <w:rPr>
              <w:rFonts w:ascii="Tahoma" w:hAnsi="Tahoma" w:cs="Tahoma"/>
              <w:sz w:val="16"/>
              <w:szCs w:val="16"/>
            </w:rPr>
            <w:br/>
            <w:t>"О значениях базовых ставок экологического сбор...</w:t>
          </w:r>
        </w:p>
      </w:tc>
      <w:tc>
        <w:tcPr>
          <w:tcW w:w="2300" w:type="pct"/>
          <w:vAlign w:val="center"/>
        </w:tcPr>
        <w:p w:rsidR="00982781" w:rsidRDefault="00877C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2781" w:rsidRDefault="0098278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8278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82781" w:rsidRDefault="00877C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2406</w:t>
          </w:r>
          <w:r>
            <w:rPr>
              <w:rFonts w:ascii="Tahoma" w:hAnsi="Tahoma" w:cs="Tahoma"/>
              <w:sz w:val="16"/>
              <w:szCs w:val="16"/>
            </w:rPr>
            <w:br/>
            <w:t>(ред. от 01.08.2024)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значениях базовых ставок экологического </w:t>
          </w:r>
          <w:r>
            <w:rPr>
              <w:rFonts w:ascii="Tahoma" w:hAnsi="Tahoma" w:cs="Tahoma"/>
              <w:sz w:val="16"/>
              <w:szCs w:val="16"/>
            </w:rPr>
            <w:t>сбор...</w:t>
          </w:r>
        </w:p>
      </w:tc>
      <w:tc>
        <w:tcPr>
          <w:tcW w:w="2300" w:type="pct"/>
          <w:vAlign w:val="center"/>
        </w:tcPr>
        <w:p w:rsidR="00982781" w:rsidRDefault="00877C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2781" w:rsidRDefault="009827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2781" w:rsidRDefault="009827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81"/>
    <w:rsid w:val="00877C34"/>
    <w:rsid w:val="009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08988-FFC2-4062-863A-53EA0D4D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nameserver.domen.ru/cons/cgi/online.cgi?req=doc&amp;base=LAW&amp;n=350557&amp;date=14.07.2025&amp;dst=101640&amp;field=134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yperlink" Target="http://nameserver.domen.ru/cons/cgi/online.cgi?req=doc&amp;base=LAW&amp;n=495711&amp;date=14.07.2025&amp;dst=854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310339&amp;date=14.07.2025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495498&amp;date=14.07.2025&amp;dst=100009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meserver.domen.ru/cons/cgi/online.cgi?req=doc&amp;base=LAW&amp;n=495711&amp;date=14.07.2025&amp;dst=854&amp;field=134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350557&amp;date=14.07.2025&amp;dst=101640&amp;field=134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://nameserver.domen.ru/cons/cgi/online.cgi?req=doc&amp;base=LAW&amp;n=495711&amp;date=14.07.2025&amp;dst=995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95498&amp;date=14.07.2025&amp;dst=100009&amp;field=134" TargetMode="External"/><Relationship Id="rId14" Type="http://schemas.openxmlformats.org/officeDocument/2006/relationships/hyperlink" Target="http://nameserver.domen.ru/cons/cgi/online.cgi?req=doc&amp;base=LAW&amp;n=495711&amp;date=14.07.2025&amp;dst=854&amp;field=134" TargetMode="External"/><Relationship Id="rId22" Type="http://schemas.openxmlformats.org/officeDocument/2006/relationships/hyperlink" Target="http://nameserver.domen.ru/cons/cgi/online.cgi?req=doc&amp;base=LAW&amp;n=495498&amp;date=14.07.2025&amp;dst=100009&amp;field=1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29.12.2023 N 2406
(ред. от 01.08.2024)
"О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</vt:lpstr>
    </vt:vector>
  </TitlesOfParts>
  <Company>КонсультантПлюс Версия 4024.00.50</Company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29.12.2023 N 2406
(ред. от 01.08.2024)
"О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</dc:title>
  <dc:creator>Паршакова Снежана Игоревна</dc:creator>
  <cp:lastModifiedBy>Паршакова Снежана Игоревна</cp:lastModifiedBy>
  <cp:revision>2</cp:revision>
  <dcterms:created xsi:type="dcterms:W3CDTF">2025-07-14T04:40:00Z</dcterms:created>
  <dcterms:modified xsi:type="dcterms:W3CDTF">2025-07-14T04:40:00Z</dcterms:modified>
</cp:coreProperties>
</file>