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Решение Коллегии Евразийской экономической комиссии от 16.05.2012 N 45</w:t>
              <w:br/>
              <w:t xml:space="preserve">(ред. от 07.02.2023)</w:t>
              <w:br/>
              <w:t xml:space="preserve">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</w:t>
              <w:br/>
              <w:t xml:space="preserve">(вместе с "Методическими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КОЛЛЕГИЯ ЕВРАЗИЙСКОЙ ЭКОНОМИЧЕСКОЙ КОМИССИИ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16 мая 2012 г. N 45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ЕДИНОЙ ФОРМЕ ЗАКЛЮЧЕНИЯ (РАЗРЕШИТЕЛЬНОГО ДОКУМЕНТА)</w:t>
      </w:r>
    </w:p>
    <w:p>
      <w:pPr>
        <w:pStyle w:val="2"/>
        <w:jc w:val="center"/>
      </w:pPr>
      <w:r>
        <w:rPr>
          <w:sz w:val="24"/>
        </w:rPr>
        <w:t xml:space="preserve">НА ВВОЗ, ВЫВОЗ И ТРАНЗИТ ОТДЕЛЬНЫХ ТОВАРОВ, ВКЛЮЧЕННЫХ</w:t>
      </w:r>
    </w:p>
    <w:p>
      <w:pPr>
        <w:pStyle w:val="2"/>
        <w:jc w:val="center"/>
      </w:pPr>
      <w:r>
        <w:rPr>
          <w:sz w:val="24"/>
        </w:rPr>
        <w:t xml:space="preserve">В ЕДИНЫЙ ПЕРЕЧЕНЬ ТОВАРОВ, К КОТОРЫМ ПРИМЕНЯЮТСЯ МЕРЫ</w:t>
      </w:r>
    </w:p>
    <w:p>
      <w:pPr>
        <w:pStyle w:val="2"/>
        <w:jc w:val="center"/>
      </w:pPr>
      <w:r>
        <w:rPr>
          <w:sz w:val="24"/>
        </w:rPr>
        <w:t xml:space="preserve">НЕТАРИФНОГО РЕГУЛИРОВАНИЯ В ТОРГОВЛЕ С ТРЕТЬИМИ СТРАНАМИ,</w:t>
      </w:r>
    </w:p>
    <w:p>
      <w:pPr>
        <w:pStyle w:val="2"/>
        <w:jc w:val="center"/>
      </w:pPr>
      <w:r>
        <w:rPr>
          <w:sz w:val="24"/>
        </w:rPr>
        <w:t xml:space="preserve">И МЕТОДИЧЕСКИХ УКАЗАНИЯХ ПО ЕЕ ЗАПОЛНЕНИЮ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04.09.2017 </w:t>
            </w:r>
            <w:r>
              <w:rPr>
                <w:sz w:val="24"/>
                <w:color w:val="392c69"/>
              </w:rPr>
              <w:t xml:space="preserve">N 114</w:t>
            </w:r>
            <w:r>
              <w:rPr>
                <w:sz w:val="24"/>
                <w:color w:val="392c69"/>
              </w:rPr>
              <w:t xml:space="preserve">, от 07.02.2023 </w:t>
            </w:r>
            <w:r>
              <w:rPr>
                <w:sz w:val="24"/>
                <w:color w:val="392c69"/>
              </w:rPr>
              <w:t xml:space="preserve">N 15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Коллегия Евразийской экономической комиссии решила: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51" w:tooltip="                               ЕДИНАЯ ФОРМА">
        <w:r>
          <w:rPr>
            <w:sz w:val="24"/>
            <w:color w:val="0000ff"/>
          </w:rPr>
          <w:t xml:space="preserve">единую форму</w:t>
        </w:r>
      </w:hyperlink>
      <w:r>
        <w:rPr>
          <w:sz w:val="24"/>
        </w:rPr>
        <w:t xml:space="preserve">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странами;</w:t>
      </w:r>
    </w:p>
    <w:p>
      <w:pPr>
        <w:pStyle w:val="0"/>
        <w:spacing w:before="240" w:lineRule="auto"/>
        <w:ind w:firstLine="540"/>
        <w:jc w:val="both"/>
      </w:pPr>
      <w:hyperlink w:history="0" w:anchor="P117" w:tooltip="МЕТОДИЧЕСКИЕ УКАЗАНИЯ">
        <w:r>
          <w:rPr>
            <w:sz w:val="24"/>
            <w:color w:val="0000ff"/>
          </w:rPr>
          <w:t xml:space="preserve">методические указания</w:t>
        </w:r>
      </w:hyperlink>
      <w:r>
        <w:rPr>
          <w:sz w:val="24"/>
        </w:rP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- заключение (разрешительный документ)), применяется в </w:t>
      </w:r>
      <w:r>
        <w:rPr>
          <w:sz w:val="24"/>
        </w:rPr>
        <w:t xml:space="preserve">случаях</w:t>
      </w:r>
      <w:r>
        <w:rPr>
          <w:sz w:val="24"/>
        </w:rPr>
        <w:t xml:space="preserve">, предусмотренных положениями о ввозе на таможенную территорию Евразийского экономического союза (далее - Союз) и (или) вывозе с таможенной территории Союза отдельных товаров (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21 апреля 2015 г. N 30),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r>
        <w:rPr>
          <w:sz w:val="24"/>
        </w:rPr>
        <w:t xml:space="preserve">пунктом 4</w:t>
      </w:r>
      <w:r>
        <w:rPr>
          <w:sz w:val="24"/>
        </w:rPr>
        <w:t xml:space="preserve"> Протокола о мерах нетарифного регулирования в отношении третьих стран (приложение N 7 к Договору о Евразийском экономическом союзе от 29 мая 2014 года), а также в случаях, предусмотренных решениями Евразийской экономической комиссии, за исключением случаев выдачи разрешения на экспорт и (или) импорт товаров, в отношении которых введено автоматическое лицензирование (наблюдение) экспорта и (или) импорта товаров в соответствии с </w:t>
      </w:r>
      <w:r>
        <w:rPr>
          <w:sz w:val="24"/>
        </w:rPr>
        <w:t xml:space="preserve">Протоколом</w:t>
      </w:r>
      <w:r>
        <w:rPr>
          <w:sz w:val="24"/>
        </w:rPr>
        <w:t xml:space="preserve"> о мерах нетарифного регулирования в отношении третьих стран (приложение N 7 к Договору о Евразийском экономическом союзе от 29 мая 2014 года).</w:t>
      </w:r>
    </w:p>
    <w:p>
      <w:pPr>
        <w:pStyle w:val="0"/>
        <w:jc w:val="both"/>
      </w:pPr>
      <w:r>
        <w:rPr>
          <w:sz w:val="24"/>
        </w:rPr>
        <w:t xml:space="preserve">(в ред. решений Коллегии Евразийской экономической комиссии от 04.09.2017 </w:t>
      </w:r>
      <w:r>
        <w:rPr>
          <w:sz w:val="24"/>
        </w:rPr>
        <w:t xml:space="preserve">N 114</w:t>
      </w:r>
      <w:r>
        <w:rPr>
          <w:sz w:val="24"/>
        </w:rPr>
        <w:t xml:space="preserve">, от 07.02.2023 </w:t>
      </w:r>
      <w:r>
        <w:rPr>
          <w:sz w:val="24"/>
        </w:rPr>
        <w:t xml:space="preserve">N 15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3 - 4. Утратили силу. - </w:t>
      </w:r>
      <w:r>
        <w:rPr>
          <w:sz w:val="24"/>
        </w:rPr>
        <w:t xml:space="preserve">Решение</w:t>
      </w:r>
      <w:r>
        <w:rPr>
          <w:sz w:val="24"/>
        </w:rPr>
        <w:t xml:space="preserve"> Коллегии Евразийской экономической комиссии от 04.09.2017 N 114.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Заключение (разрешительный документ) может оформляться на бланке, имеющем степени защиты, в случае если это предусмотрено законодательством государств - членов Союза (далее государства-члены).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Заключение (разрешительный документ) может применяться в форме электронного документа в случаях и в порядке, предусмотренных законодательством государств-членов.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Порядок рассмотрения заявлений о получении заключения (разрешительного документа) и порядок его выдачи определяются органом государственной власти государства-члена, осуществляющим его выдачу, либо органом государственной власти, к полномочиям которого отнесены функции по регулированию в соответствующих сферах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Срок действия заключения (разрешительного документа) продлению не подлежит, в случае необходимости выдается новое заключение (разрешительный документ).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Установить, что 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государства-члена, согласование заявления о выдаче лицензии может осуществляться по форме, указанной в </w:t>
      </w:r>
      <w:hyperlink w:history="0" w:anchor="P16" w:tooltip="1. Утвердить прилагаемые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Настоящее Решение вступает в силу по истечении тридцати дней после его официальной публикации.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В.Б.ХРИСТЕНКО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Решением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от 16 мая 2012 г. N 45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решения</w:t>
            </w:r>
            <w:r>
              <w:rPr>
                <w:sz w:val="24"/>
                <w:color w:val="392c69"/>
              </w:rPr>
              <w:t xml:space="preserve">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04.09.2017 N 114)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Данная форма также применяется в качестве единой формы заключения (разрешительного документа), на основании которого осуществляется трансграничное перемещение опасных отходов по таможенной территории ЕАЭС (</w:t>
            </w:r>
            <w:r>
              <w:rPr>
                <w:sz w:val="24"/>
                <w:color w:val="392c69"/>
              </w:rPr>
              <w:t xml:space="preserve">Решение</w:t>
            </w:r>
            <w:r>
              <w:rPr>
                <w:sz w:val="24"/>
                <w:color w:val="392c69"/>
              </w:rPr>
              <w:t xml:space="preserve"> Коллегии ЕЭК от 18.08.2020 N 101).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1" w:name="P51"/>
    <w:bookmarkEnd w:id="51"/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ЕДИНАЯ ФОРМА</w:t>
      </w:r>
    </w:p>
    <w:p>
      <w:pPr>
        <w:pStyle w:val="1"/>
        <w:jc w:val="both"/>
      </w:pPr>
      <w:r>
        <w:rPr>
          <w:sz w:val="20"/>
        </w:rPr>
        <w:t xml:space="preserve">           ЗАКЛЮЧЕНИЯ (РАЗРЕШИТЕЛЬНОГО ДОКУМЕНТА) НА ВВОЗ, ВЫВОЗ</w:t>
      </w:r>
    </w:p>
    <w:p>
      <w:pPr>
        <w:pStyle w:val="1"/>
        <w:jc w:val="both"/>
      </w:pPr>
      <w:r>
        <w:rPr>
          <w:sz w:val="20"/>
        </w:rPr>
        <w:t xml:space="preserve">         И ТРАНЗИТ ОТДЕЛЬНЫХ ТОВАРОВ, ВКЛЮЧЕННЫХ В ЕДИНЫЙ ПЕРЕЧЕНЬ</w:t>
      </w:r>
    </w:p>
    <w:p>
      <w:pPr>
        <w:pStyle w:val="1"/>
        <w:jc w:val="both"/>
      </w:pPr>
      <w:r>
        <w:rPr>
          <w:sz w:val="20"/>
        </w:rPr>
        <w:t xml:space="preserve">              ТОВАРОВ, К КОТОРЫМ ПРИМЕНЯЮТСЯ МЕРЫ НЕТАРИФНОГО</w:t>
      </w:r>
    </w:p>
    <w:p>
      <w:pPr>
        <w:pStyle w:val="1"/>
        <w:jc w:val="both"/>
      </w:pPr>
      <w:r>
        <w:rPr>
          <w:sz w:val="20"/>
        </w:rPr>
        <w:t xml:space="preserve">               РЕГУЛИРОВАНИЯ В ТОРГОВЛЕ С ТРЕТЬИМИ СТРАНАМИ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ЗАКЛЮЧЕНИЕ</w:t>
      </w:r>
    </w:p>
    <w:p>
      <w:pPr>
        <w:pStyle w:val="1"/>
        <w:jc w:val="both"/>
      </w:pPr>
      <w:r>
        <w:rPr>
          <w:sz w:val="20"/>
        </w:rPr>
        <w:t xml:space="preserve">                         (разрешительный документ)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N __________/201 /______</w:t>
      </w:r>
    </w:p>
    <w:p>
      <w:pPr>
        <w:pStyle w:val="1"/>
        <w:jc w:val="both"/>
      </w:pPr>
      <w:r>
        <w:rPr>
          <w:sz w:val="20"/>
        </w:rPr>
      </w:r>
    </w:p>
    <w:bookmarkStart w:id="62" w:name="P62"/>
    <w:bookmarkEnd w:id="62"/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органа государственной власти государства - члена</w:t>
      </w:r>
    </w:p>
    <w:p>
      <w:pPr>
        <w:pStyle w:val="1"/>
        <w:jc w:val="both"/>
      </w:pPr>
      <w:r>
        <w:rPr>
          <w:sz w:val="20"/>
        </w:rPr>
        <w:t xml:space="preserve">          Евразийского экономического союза, выдавшего заключение)</w:t>
      </w:r>
    </w:p>
    <w:bookmarkStart w:id="65" w:name="P65"/>
    <w:bookmarkEnd w:id="65"/>
    <w:p>
      <w:pPr>
        <w:pStyle w:val="1"/>
        <w:jc w:val="both"/>
      </w:pPr>
      <w:r>
        <w:rPr>
          <w:sz w:val="20"/>
        </w:rPr>
        <w:t xml:space="preserve">Выдано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(Название организации, юридический адрес, страна/для физических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лиц Ф.И.О.)</w:t>
      </w:r>
    </w:p>
    <w:bookmarkStart w:id="69" w:name="P69"/>
    <w:bookmarkEnd w:id="69"/>
    <w:p>
      <w:pPr>
        <w:pStyle w:val="1"/>
        <w:jc w:val="both"/>
      </w:pPr>
      <w:r>
        <w:rPr>
          <w:sz w:val="20"/>
        </w:rPr>
        <w:t xml:space="preserve">Вид перемещения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(Вид перемещения)</w:t>
      </w:r>
    </w:p>
    <w:p>
      <w:pPr>
        <w:pStyle w:val="1"/>
        <w:jc w:val="both"/>
      </w:pPr>
      <w:r>
        <w:rPr>
          <w:sz w:val="20"/>
        </w:rPr>
      </w:r>
    </w:p>
    <w:bookmarkStart w:id="72" w:name="P72"/>
    <w:bookmarkEnd w:id="72"/>
    <w:p>
      <w:pPr>
        <w:pStyle w:val="1"/>
        <w:jc w:val="both"/>
      </w:pPr>
      <w:r>
        <w:rPr>
          <w:sz w:val="20"/>
        </w:rPr>
        <w:t xml:space="preserve">________________________________│            │_____________________________</w:t>
      </w:r>
    </w:p>
    <w:p>
      <w:pPr>
        <w:pStyle w:val="1"/>
        <w:jc w:val="both"/>
      </w:pPr>
      <w:r>
        <w:rPr>
          <w:sz w:val="20"/>
        </w:rPr>
        <w:t xml:space="preserve">   (Раздел единого перечня)                        (Код </w:t>
      </w:r>
      <w:r>
        <w:rPr>
          <w:sz w:val="20"/>
        </w:rPr>
        <w:t xml:space="preserve">ТН ВЭД ЕАЭС</w:t>
      </w:r>
      <w:r>
        <w:rPr>
          <w:sz w:val="20"/>
        </w:rPr>
        <w:t xml:space="preserve"> </w:t>
      </w:r>
      <w:hyperlink w:history="0" w:anchor="P106" w:tooltip="&lt;*&gt; Строки заполняются с учетом требований к категориям товаров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2154"/>
        <w:gridCol w:w="3458"/>
      </w:tblGrid>
      <w:tr>
        <w:tc>
          <w:tcPr>
            <w:tcW w:w="3458" w:type="dxa"/>
          </w:tcPr>
          <w:bookmarkStart w:id="75" w:name="P75"/>
          <w:bookmarkEnd w:id="75"/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товара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80" w:name="P80"/>
    <w:bookmarkEnd w:id="80"/>
    <w:p>
      <w:pPr>
        <w:pStyle w:val="1"/>
        <w:jc w:val="both"/>
      </w:pPr>
      <w:r>
        <w:rPr>
          <w:sz w:val="20"/>
        </w:rPr>
        <w:t xml:space="preserve">Получатель/отправитель </w:t>
      </w:r>
      <w:hyperlink w:history="0" w:anchor="P106" w:tooltip="&lt;*&gt; Строки заполняются с учетом требований к категориям товаров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(Название, юридический адрес, страна)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bookmarkStart w:id="83" w:name="P83"/>
    <w:bookmarkEnd w:id="83"/>
    <w:p>
      <w:pPr>
        <w:pStyle w:val="1"/>
        <w:jc w:val="both"/>
      </w:pPr>
      <w:r>
        <w:rPr>
          <w:sz w:val="20"/>
        </w:rPr>
        <w:t xml:space="preserve">Страна назначения/отправления </w:t>
      </w:r>
      <w:hyperlink w:history="0" w:anchor="P106" w:tooltip="&lt;*&gt; Строки заполняются с учетом требований к категориям товаров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_________________________________________</w:t>
      </w:r>
    </w:p>
    <w:bookmarkStart w:id="84" w:name="P84"/>
    <w:bookmarkEnd w:id="84"/>
    <w:p>
      <w:pPr>
        <w:pStyle w:val="1"/>
        <w:jc w:val="both"/>
      </w:pPr>
      <w:r>
        <w:rPr>
          <w:sz w:val="20"/>
        </w:rPr>
        <w:t xml:space="preserve">Цель ввоза (вывоза) _______________________________________________________</w:t>
      </w:r>
    </w:p>
    <w:bookmarkStart w:id="85" w:name="P85"/>
    <w:bookmarkEnd w:id="85"/>
    <w:p>
      <w:pPr>
        <w:pStyle w:val="1"/>
        <w:jc w:val="both"/>
      </w:pPr>
      <w:r>
        <w:rPr>
          <w:sz w:val="20"/>
        </w:rPr>
        <w:t xml:space="preserve">Срок временного ввоза (вывоза) ____________________________________________</w:t>
      </w:r>
    </w:p>
    <w:bookmarkStart w:id="86" w:name="P86"/>
    <w:bookmarkEnd w:id="86"/>
    <w:p>
      <w:pPr>
        <w:pStyle w:val="1"/>
        <w:jc w:val="both"/>
      </w:pPr>
      <w:r>
        <w:rPr>
          <w:sz w:val="20"/>
        </w:rPr>
        <w:t xml:space="preserve">Основание: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bookmarkStart w:id="89" w:name="P89"/>
    <w:bookmarkEnd w:id="89"/>
    <w:p>
      <w:pPr>
        <w:pStyle w:val="1"/>
        <w:jc w:val="both"/>
      </w:pPr>
      <w:r>
        <w:rPr>
          <w:sz w:val="20"/>
        </w:rPr>
        <w:t xml:space="preserve">Дополнительная информация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bookmarkStart w:id="91" w:name="P91"/>
    <w:bookmarkEnd w:id="91"/>
    <w:p>
      <w:pPr>
        <w:pStyle w:val="1"/>
        <w:jc w:val="both"/>
      </w:pPr>
      <w:r>
        <w:rPr>
          <w:sz w:val="20"/>
        </w:rPr>
        <w:t xml:space="preserve">Страна транзита </w:t>
      </w:r>
      <w:hyperlink w:history="0" w:anchor="P106" w:tooltip="&lt;*&gt; Строки заполняются с учетом требований к категориям товаров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(Транзит по территории)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Подпись ____________ Дата _____________</w:t>
      </w:r>
    </w:p>
    <w:p>
      <w:pPr>
        <w:pStyle w:val="1"/>
        <w:jc w:val="both"/>
      </w:pPr>
      <w:r>
        <w:rPr>
          <w:sz w:val="20"/>
        </w:rPr>
      </w:r>
    </w:p>
    <w:bookmarkStart w:id="97" w:name="P97"/>
    <w:bookmarkEnd w:id="97"/>
    <w:p>
      <w:pPr>
        <w:pStyle w:val="1"/>
        <w:jc w:val="both"/>
      </w:pPr>
      <w:r>
        <w:rPr>
          <w:sz w:val="20"/>
        </w:rPr>
        <w:t xml:space="preserve">Заключение действительно по 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МП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(Должность)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Строки заполняются с учетом требований к категориям товаров.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Решением Коллегии</w:t>
      </w:r>
    </w:p>
    <w:p>
      <w:pPr>
        <w:pStyle w:val="0"/>
        <w:jc w:val="right"/>
      </w:pPr>
      <w:r>
        <w:rPr>
          <w:sz w:val="24"/>
        </w:rPr>
        <w:t xml:space="preserve">Евразийской экономической комиссии</w:t>
      </w:r>
    </w:p>
    <w:p>
      <w:pPr>
        <w:pStyle w:val="0"/>
        <w:jc w:val="right"/>
      </w:pPr>
      <w:r>
        <w:rPr>
          <w:sz w:val="24"/>
        </w:rPr>
        <w:t xml:space="preserve">от 16 мая 2012 г. N 45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7" w:name="P117"/>
    <w:bookmarkEnd w:id="117"/>
    <w:p>
      <w:pPr>
        <w:pStyle w:val="2"/>
        <w:jc w:val="center"/>
      </w:pPr>
      <w:r>
        <w:rPr>
          <w:sz w:val="24"/>
        </w:rPr>
        <w:t xml:space="preserve">МЕТОДИЧЕСКИЕ УКАЗАНИЯ</w:t>
      </w:r>
    </w:p>
    <w:p>
      <w:pPr>
        <w:pStyle w:val="2"/>
        <w:jc w:val="center"/>
      </w:pPr>
      <w:r>
        <w:rPr>
          <w:sz w:val="24"/>
        </w:rPr>
        <w:t xml:space="preserve">ПО ЗАПОЛНЕНИЮ ЕДИНОЙ ФОРМЫ ЗАКЛЮЧЕНИЯ</w:t>
      </w:r>
    </w:p>
    <w:p>
      <w:pPr>
        <w:pStyle w:val="2"/>
        <w:jc w:val="center"/>
      </w:pPr>
      <w:r>
        <w:rPr>
          <w:sz w:val="24"/>
        </w:rPr>
        <w:t xml:space="preserve">(РАЗРЕШИТЕЛЬНОГО ДОКУМЕНТА) НА ВВОЗ, ВЫВОЗ И ТРАНЗИТ</w:t>
      </w:r>
    </w:p>
    <w:p>
      <w:pPr>
        <w:pStyle w:val="2"/>
        <w:jc w:val="center"/>
      </w:pPr>
      <w:r>
        <w:rPr>
          <w:sz w:val="24"/>
        </w:rPr>
        <w:t xml:space="preserve">ОТДЕЛЬНЫХ ТОВАРОВ, ВКЛЮЧЕННЫХ В ЕДИНЫЙ ПЕРЕЧЕНЬ ТОВАРОВ,</w:t>
      </w:r>
    </w:p>
    <w:p>
      <w:pPr>
        <w:pStyle w:val="2"/>
        <w:jc w:val="center"/>
      </w:pPr>
      <w:r>
        <w:rPr>
          <w:sz w:val="24"/>
        </w:rPr>
        <w:t xml:space="preserve">К КОТОРЫМ ПРИМЕНЯЮТСЯ МЕРЫ НЕТАРИФНОГО РЕГУЛИРОВАНИЯ</w:t>
      </w:r>
    </w:p>
    <w:p>
      <w:pPr>
        <w:pStyle w:val="2"/>
        <w:jc w:val="center"/>
      </w:pPr>
      <w:r>
        <w:rPr>
          <w:sz w:val="24"/>
        </w:rPr>
        <w:t xml:space="preserve">В ТОРГОВЛЕ С ТРЕТЬИМИ СТРАНАМИ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04.09.2017 </w:t>
            </w:r>
            <w:r>
              <w:rPr>
                <w:sz w:val="24"/>
                <w:color w:val="392c69"/>
              </w:rPr>
              <w:t xml:space="preserve">N 114</w:t>
            </w:r>
            <w:r>
              <w:rPr>
                <w:sz w:val="24"/>
                <w:color w:val="392c69"/>
              </w:rPr>
              <w:t xml:space="preserve">, от 07.02.2023 </w:t>
            </w:r>
            <w:r>
              <w:rPr>
                <w:sz w:val="24"/>
                <w:color w:val="392c69"/>
              </w:rPr>
              <w:t xml:space="preserve">N 15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методические указания определяют порядок заполнения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предусмотренный </w:t>
      </w:r>
      <w:r>
        <w:rPr>
          <w:sz w:val="24"/>
        </w:rPr>
        <w:t xml:space="preserve">пунктом 4</w:t>
      </w:r>
      <w:r>
        <w:rPr>
          <w:sz w:val="24"/>
        </w:rPr>
        <w:t xml:space="preserve"> Протокола о мерах нетарифного регулирования в отношении третьих стран (приложение N 7 к Договору о Евразийском экономическом союзе от 29 мая 2014 года), выдаваемого органами государственной власти государств - членов Евразийского экономического союза (далее соответственно - заключение (разрешительный документ), единый перечень, государства-члены).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51" w:tooltip="                               ЕДИНАЯ ФОРМА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(разрешительный документ) выдается на товар, классифицируемый одним кодом единой Товарной </w:t>
      </w:r>
      <w:r>
        <w:rPr>
          <w:sz w:val="24"/>
        </w:rPr>
        <w:t xml:space="preserve">номенклатуры</w:t>
      </w:r>
      <w:r>
        <w:rPr>
          <w:sz w:val="24"/>
        </w:rPr>
        <w:t xml:space="preserve"> внешнеэкономической деятельности Евразийского экономического союза (</w:t>
      </w:r>
      <w:r>
        <w:rPr>
          <w:sz w:val="24"/>
        </w:rPr>
        <w:t xml:space="preserve">ТН ВЭД ЕАЭС</w:t>
      </w:r>
      <w:r>
        <w:rPr>
          <w:sz w:val="24"/>
        </w:rPr>
        <w:t xml:space="preserve">), в зависимости от уровня детализации в соответствии с </w:t>
      </w:r>
      <w:r>
        <w:rPr>
          <w:sz w:val="24"/>
        </w:rPr>
        <w:t xml:space="preserve">единым перечнем</w:t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Внесение изменений в заключение (разрешительный документ)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необходимости изменения сведений в заключении (разрешительном документе) выдается новое заключение (разрешительный документ), в порядке, установленном настоящими Методическими указаниями с аннулированием ранее выданного заключения (разрешительного документа).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отсутствия данных в строке ставится прочерк. Прочерк представляет собой прямую линию, проведенную по всей длине строки.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Строки, помеченные символом &lt;*&gt;, заполняются с учетом требований к категориям перемещаемых товаров.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Название стран назначения, отправления, транзита указывается в соответствии с </w:t>
      </w:r>
      <w:r>
        <w:rPr>
          <w:sz w:val="24"/>
        </w:rPr>
        <w:t xml:space="preserve">классификатором</w:t>
      </w:r>
      <w:r>
        <w:rPr>
          <w:sz w:val="24"/>
        </w:rPr>
        <w:t xml:space="preserve"> стран мира, применяемым в соответствии с </w:t>
      </w:r>
      <w:r>
        <w:rPr>
          <w:sz w:val="24"/>
        </w:rPr>
        <w:t xml:space="preserve">Решением</w:t>
      </w:r>
      <w:r>
        <w:rPr>
          <w:sz w:val="24"/>
        </w:rPr>
        <w:t xml:space="preserve"> Комиссии Таможенного союза от 20 сентября 2010 года N 378, с учетом </w:t>
      </w:r>
      <w:hyperlink w:history="0" w:anchor="P156" w:tooltip="Если в договоре (контракте) предусмотрено несколько стран назначения (отправления), в строке делается запись &quot;В соответствии с условиями договора (контракта)&quot;. Если указанные страны относятся к странам Европейского союза, в строке делается запись &quot;Страны ЕС&quot;.">
        <w:r>
          <w:rPr>
            <w:sz w:val="24"/>
            <w:color w:val="0000ff"/>
          </w:rPr>
          <w:t xml:space="preserve">абзаца второго пункта 17</w:t>
        </w:r>
      </w:hyperlink>
      <w:r>
        <w:rPr>
          <w:sz w:val="24"/>
        </w:rPr>
        <w:t xml:space="preserve"> настоящих методических указаний.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07.02.2023 N 15)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Номер заключения (разрешительного документа) формируется с учетом двузначного кода альфа государства-члена (Республика Армения - AM, Республика Беларусь - BY, Республика Казахстан - KZ, Кыргызская Республика - KG, Российская Федерация - RU), цифрового значения года и порядкового номера, присваиваемого уполномоченным органом государственной власти государства-члена, выдающего заключение (разрешительный документ), в порядке возрастания. При смене года порядковый номер начинается с N 1.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соответствующей </w:t>
      </w:r>
      <w:hyperlink w:history="0" w:anchor="P62" w:tooltip="_________________________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в верхней части заключения указывается полное или краткое официально утвержденное наименование органа государственной власти, выдающего заключение.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</w:t>
      </w:r>
      <w:hyperlink w:history="0" w:anchor="P65" w:tooltip="Выдано __________________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"Выдано" указываются сведения о заявителе: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юридических лиц - полное официальное наименование и юридический адрес, для лиц Республики Армения - учетный номер налогоплательщика (УНН), для лиц Республики Беларусь - учетный номер плательщика (УНП), для лиц Республики Казахстан - бизнес-идентификационный номер (БИН), для лиц Кыргызской Республики - идентификационный налоговый номер (ИНН), для лиц Российской Федерации - идентификационный номер налогоплательщика (ИНН);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физических лиц и лиц, зарегистрированных в качестве субъектов предпринимательской деятельности, указываются фамилия, имя, отчество полностью в именительном падеже в соответствии с документом, удостоверяющим личность, паспортные данные (серия, номер, когда и кем выдан, личный номер (при его наличии), место жительства). Для лиц, зарегистрированных в качестве субъектов предпринимательской деятельности, также указывается УНН, УНП, БИН, ИНН (соответственно).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</w:t>
      </w:r>
      <w:hyperlink w:history="0" w:anchor="P69" w:tooltip="Вид перемещения _________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"Вид перемещения" указывается вид перемещения товара: ввоз, вывоз, временный ввоз, временный вывоз, транзит.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 </w:t>
      </w:r>
      <w:hyperlink w:history="0" w:anchor="P72" w:tooltip="________________________________│            │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"Раздел единого перечня" указывается числовое значение раздела единого перечня.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</w:t>
      </w:r>
      <w:hyperlink w:history="0" w:anchor="P72" w:tooltip="________________________________│            │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"Код </w:t>
      </w:r>
      <w:r>
        <w:rPr>
          <w:sz w:val="24"/>
        </w:rPr>
        <w:t xml:space="preserve">ТН ВЭД ЕАЭС</w:t>
      </w:r>
      <w:r>
        <w:rPr>
          <w:sz w:val="24"/>
        </w:rPr>
        <w:t xml:space="preserve"> &lt;*&gt;" указывается классификационный код </w:t>
      </w:r>
      <w:r>
        <w:rPr>
          <w:sz w:val="24"/>
        </w:rPr>
        <w:t xml:space="preserve">ТН ВЭД ЕАЭС</w:t>
      </w:r>
      <w:r>
        <w:rPr>
          <w:sz w:val="24"/>
        </w:rPr>
        <w:t xml:space="preserve"> перемещаемого товара.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</w:t>
      </w:r>
      <w:hyperlink w:history="0" w:anchor="P75" w:tooltip="Наименование товара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"Наименование товара" указывается наименование перемещаемого товара (торговое, коммерческое или иное традиционное наименование), позволяющее произвести идентификацию товара и его отнесение к одному десятизначному классификационному коду по </w:t>
      </w:r>
      <w:r>
        <w:rPr>
          <w:sz w:val="24"/>
        </w:rPr>
        <w:t xml:space="preserve">ТН ВЭД ЕАЭС</w:t>
      </w:r>
      <w:r>
        <w:rPr>
          <w:sz w:val="24"/>
        </w:rPr>
        <w:t xml:space="preserve">, с указанием его количества в единицах измерения, предусмотренных для данной категории товара.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случае если вся информация о товаре не помещается в поле "Наименование товара", она может быть размещена в соответствующем приложении к заключению (разрешительному документу). При этом в указанной строке делается запись "(см. приложение на ___ листах)".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</w:t>
      </w:r>
      <w:hyperlink w:history="0" w:anchor="P80" w:tooltip="Получатель/отправитель &lt;*&gt; 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"Получатель/Отправитель &lt;*&gt;" указывается полное официальное наименование и полный адрес иностранного партнера/партнера. При этом в качестве получателя указывается иностранный партнер/партнер, получающий от заявителя права на товар, а в качестве отправителя - иностранный партнер/партнер, передающий такие права заявителю. Данная </w:t>
      </w:r>
      <w:hyperlink w:history="0" w:anchor="P80" w:tooltip="Получатель/отправитель &lt;*&gt; ________________________________________________">
        <w:r>
          <w:rPr>
            <w:sz w:val="24"/>
            <w:color w:val="0000ff"/>
          </w:rPr>
          <w:t xml:space="preserve">строка</w:t>
        </w:r>
      </w:hyperlink>
      <w:r>
        <w:rPr>
          <w:sz w:val="24"/>
        </w:rPr>
        <w:t xml:space="preserve"> заполняется по усмотрению органа государственной власти государства-члена, выдающего заключение, с учетом требований к категории перемещаемого товара.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</w:t>
      </w:r>
      <w:hyperlink w:history="0" w:anchor="P83" w:tooltip="Страна назначения/отправления &lt;*&gt; 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"Страна назначения/отправления &lt;*&gt;" указывается название страны, являющейся конечным пунктом назначения/отправления, на который оформлено заключение (разрешительный документ).</w:t>
      </w:r>
    </w:p>
    <w:bookmarkStart w:id="156" w:name="P156"/>
    <w:bookmarkEnd w:id="1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договоре (контракте) предусмотрено несколько стран назначения (отправления), в </w:t>
      </w:r>
      <w:hyperlink w:history="0" w:anchor="P83" w:tooltip="Страна назначения/отправления &lt;*&gt; 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делается запись "В соответствии с условиями договора (контракта)". Если указанные страны относятся к странам Европейского союза, в </w:t>
      </w:r>
      <w:hyperlink w:history="0" w:anchor="P83" w:tooltip="Страна назначения/отправления &lt;*&gt; 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делается запись "Страны ЕС".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решением</w:t>
      </w:r>
      <w:r>
        <w:rPr>
          <w:sz w:val="24"/>
        </w:rPr>
        <w:t xml:space="preserve"> Коллегии Евразийской экономической комиссии от 07.02.2023 N 15)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</w:t>
      </w:r>
      <w:hyperlink w:history="0" w:anchor="P84" w:tooltip="Цель ввоза (вывоза) _____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"Цель ввоза /вывоза" указывается назначение ввоза, вывоза, временного ввоза, временного вывоза товаров.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 </w:t>
      </w:r>
      <w:hyperlink w:history="0" w:anchor="P85" w:tooltip="Срок временного ввоза (вывоза) 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"Срок временного ввоза (вывоза)" указывается дата завершения действия обязательств по временному ввозу или временному вывозу товаров.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</w:t>
      </w:r>
      <w:hyperlink w:history="0" w:anchor="P86" w:tooltip="Основание: ______________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"Основание" указываются документы, являющиеся основанием для выдачи заключения (разрешительного документа).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</w:t>
      </w:r>
      <w:hyperlink w:history="0" w:anchor="P89" w:tooltip="Дополнительная информация 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"Дополнительная информация" указываются иные документы, на основании которых было выдано заключение (разрешительный документ), дополнительные сведения, уточняющие информацию других строк заключения (разрешительного документа), в случае необходимости, реквизиты ранее выданного заключения (разрешительного документа), а также информация о стоимости товара и прилагаемых документах, в том числе о фотографических изображениях товара.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</w:t>
      </w:r>
      <w:hyperlink w:history="0" w:anchor="P91" w:tooltip="Страна транзита &lt;*&gt; _____________________________________________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"Страна транзита &lt;*&gt;" указывается название государства-члена, по территории которого будет осуществляться транзит.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</w:t>
      </w:r>
      <w:hyperlink w:history="0" w:anchor="P97" w:tooltip="Заключение действительно по __________">
        <w:r>
          <w:rPr>
            <w:sz w:val="24"/>
            <w:color w:val="0000ff"/>
          </w:rPr>
          <w:t xml:space="preserve">строке</w:t>
        </w:r>
      </w:hyperlink>
      <w:r>
        <w:rPr>
          <w:sz w:val="24"/>
        </w:rPr>
        <w:t xml:space="preserve"> "Заключение действительно по" указывается дата окончания действия заключения (разрешительного документа).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строке "Подпись" проставляется личная подпись должностного лица органа государственной власти государства-члена, уполномоченного на подписание данного документа.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строке "Дата" указывается дата подписания заключения (разрешительного документа) должностным лицом органа государственной власти государства-члена, выдающего заключение (разрешительный документ).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В строке "Ф.И.О. Должность" указывается фамилия, инициалы, должность лица органа государственной власти государства-члена, подписавшего заключение (разрешительный документ).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Подпись должностного лица, подписавшего заключение (разрешительный документ), заверяется печатью органа государственной власти государства-члена, выдавшего заключение (разрешительный документ).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Коллегии Евразийской экономической комиссии от 04.09.2017 N 114)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Коллегии Евразийской экономической комиссии от 16.05.2012 N 45</w:t>
            <w:br/>
            <w:t>(ред. от 07.02.2023)</w:t>
            <w:br/>
            <w:t>"О единой форме заключения 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Коллегии Евразийской экономической комиссии от 16.05.2012 N 45
(ред. от 07.02.2023)
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
(вместе с "Методическими указаниями по заполнению единой формы заключения (разрешительного документа) на ввоз, вывоз и транзит отдельных товаров, включенны</dc:title>
  <dcterms:created xsi:type="dcterms:W3CDTF">2026-04-13T08:55:05Z</dcterms:created>
</cp:coreProperties>
</file>