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1B" w:rsidRDefault="0036771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771B" w:rsidRDefault="0036771B">
      <w:pPr>
        <w:pStyle w:val="ConsPlusNormal"/>
        <w:jc w:val="both"/>
        <w:outlineLvl w:val="0"/>
      </w:pPr>
    </w:p>
    <w:p w:rsidR="0036771B" w:rsidRDefault="003677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771B" w:rsidRDefault="0036771B">
      <w:pPr>
        <w:pStyle w:val="ConsPlusTitle"/>
        <w:jc w:val="center"/>
      </w:pPr>
    </w:p>
    <w:p w:rsidR="0036771B" w:rsidRDefault="0036771B">
      <w:pPr>
        <w:pStyle w:val="ConsPlusTitle"/>
        <w:jc w:val="center"/>
      </w:pPr>
      <w:r>
        <w:t>ПОСТАНОВЛЕНИЕ</w:t>
      </w:r>
    </w:p>
    <w:p w:rsidR="0036771B" w:rsidRDefault="0036771B">
      <w:pPr>
        <w:pStyle w:val="ConsPlusTitle"/>
        <w:jc w:val="center"/>
      </w:pPr>
      <w:r>
        <w:t>от 28 сентября 2015 г. N 1029</w:t>
      </w:r>
    </w:p>
    <w:p w:rsidR="0036771B" w:rsidRDefault="0036771B">
      <w:pPr>
        <w:pStyle w:val="ConsPlusTitle"/>
        <w:jc w:val="center"/>
      </w:pPr>
    </w:p>
    <w:p w:rsidR="0036771B" w:rsidRDefault="0036771B">
      <w:pPr>
        <w:pStyle w:val="ConsPlusTitle"/>
        <w:jc w:val="center"/>
      </w:pPr>
      <w:r>
        <w:t>ОБ УТВЕРЖДЕНИИ КРИТЕРИЕВ</w:t>
      </w:r>
    </w:p>
    <w:p w:rsidR="0036771B" w:rsidRDefault="0036771B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36771B" w:rsidRDefault="0036771B">
      <w:pPr>
        <w:pStyle w:val="ConsPlusTitle"/>
        <w:jc w:val="center"/>
      </w:pPr>
      <w:r>
        <w:t xml:space="preserve">НА ОКРУЖАЮЩУЮ СРЕДУ, К ОБЪЕКТАМ I, II, III </w:t>
      </w:r>
      <w:proofErr w:type="gramStart"/>
      <w:r>
        <w:t>И</w:t>
      </w:r>
      <w:proofErr w:type="gramEnd"/>
      <w:r>
        <w:t xml:space="preserve"> IV КАТЕГОРИЙ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категорий.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jc w:val="right"/>
      </w:pPr>
      <w:r>
        <w:t>Председатель Правительства</w:t>
      </w:r>
    </w:p>
    <w:p w:rsidR="0036771B" w:rsidRDefault="0036771B">
      <w:pPr>
        <w:pStyle w:val="ConsPlusNormal"/>
        <w:jc w:val="right"/>
      </w:pPr>
      <w:r>
        <w:t>Российской Федерации</w:t>
      </w:r>
    </w:p>
    <w:p w:rsidR="0036771B" w:rsidRDefault="0036771B">
      <w:pPr>
        <w:pStyle w:val="ConsPlusNormal"/>
        <w:jc w:val="right"/>
      </w:pPr>
      <w:r>
        <w:t>Д.МЕДВЕДЕВ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jc w:val="right"/>
        <w:outlineLvl w:val="0"/>
      </w:pPr>
      <w:r>
        <w:t>Утверждены</w:t>
      </w:r>
    </w:p>
    <w:p w:rsidR="0036771B" w:rsidRDefault="0036771B">
      <w:pPr>
        <w:pStyle w:val="ConsPlusNormal"/>
        <w:jc w:val="right"/>
      </w:pPr>
      <w:r>
        <w:t>постановлением Правительства</w:t>
      </w:r>
    </w:p>
    <w:p w:rsidR="0036771B" w:rsidRDefault="0036771B">
      <w:pPr>
        <w:pStyle w:val="ConsPlusNormal"/>
        <w:jc w:val="right"/>
      </w:pPr>
      <w:r>
        <w:t>Российской Федерации</w:t>
      </w:r>
    </w:p>
    <w:p w:rsidR="0036771B" w:rsidRDefault="0036771B">
      <w:pPr>
        <w:pStyle w:val="ConsPlusNormal"/>
        <w:jc w:val="right"/>
      </w:pPr>
      <w:r>
        <w:t>от 28 сентября 2015 г. N 1029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Title"/>
        <w:jc w:val="center"/>
      </w:pPr>
      <w:bookmarkStart w:id="0" w:name="P26"/>
      <w:bookmarkEnd w:id="0"/>
      <w:r>
        <w:t>КРИТЕРИИ</w:t>
      </w:r>
    </w:p>
    <w:p w:rsidR="0036771B" w:rsidRDefault="0036771B">
      <w:pPr>
        <w:pStyle w:val="ConsPlusTitle"/>
        <w:jc w:val="center"/>
      </w:pPr>
      <w:r>
        <w:t>ОТНЕСЕНИЯ ОБЪЕКТОВ, ОКАЗЫВАЮЩИХ НЕГАТИВНОЕ ВОЗДЕЙСТВИЕ</w:t>
      </w:r>
    </w:p>
    <w:p w:rsidR="0036771B" w:rsidRDefault="0036771B">
      <w:pPr>
        <w:pStyle w:val="ConsPlusTitle"/>
        <w:jc w:val="center"/>
      </w:pPr>
      <w:r>
        <w:t xml:space="preserve">НА ОКРУЖАЮЩУЮ СРЕДУ, К ОБЪЕКТАМ I, II, III </w:t>
      </w:r>
      <w:proofErr w:type="gramStart"/>
      <w:r>
        <w:t>И</w:t>
      </w:r>
      <w:proofErr w:type="gramEnd"/>
      <w:r>
        <w:t xml:space="preserve"> IV КАТЕГОРИЙ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jc w:val="center"/>
        <w:outlineLvl w:val="1"/>
      </w:pPr>
      <w:bookmarkStart w:id="1" w:name="P30"/>
      <w:bookmarkEnd w:id="1"/>
      <w:r>
        <w:t>I. Критерии отнесения объектов, оказывающих значительное</w:t>
      </w:r>
    </w:p>
    <w:p w:rsidR="0036771B" w:rsidRDefault="0036771B">
      <w:pPr>
        <w:pStyle w:val="ConsPlusNormal"/>
        <w:jc w:val="center"/>
      </w:pPr>
      <w:r>
        <w:t>негативное воздействие на окружающую среду и относящихся</w:t>
      </w:r>
    </w:p>
    <w:p w:rsidR="0036771B" w:rsidRDefault="0036771B">
      <w:pPr>
        <w:pStyle w:val="ConsPlusNormal"/>
        <w:jc w:val="center"/>
      </w:pPr>
      <w:r>
        <w:t>к областям применения наилучших доступных технологий,</w:t>
      </w:r>
    </w:p>
    <w:p w:rsidR="0036771B" w:rsidRDefault="0036771B">
      <w:pPr>
        <w:pStyle w:val="ConsPlusNormal"/>
        <w:jc w:val="center"/>
      </w:pPr>
      <w:r>
        <w:t>к объектам I категории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  <w:r>
        <w:t>1. Осуществление хозяйственной и (или) иной деятельности: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а) по производству кокса;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б) по добыче сырой нефти и природного газа, включая переработку природного газа;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в) по производству нефтепродуктов;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г) по добыче и обогащению железных руд;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д) по добыче и подготовке руд цветных металлов - алюминия (боксита), меди, свинца, цинка, олова, марганца, хрома, никеля, кобальта, молибдена, тантала, ванадия, а также руд драгоценных металлов (золота, серебра, платины), за исключением руд и песков драгоценных металлов, оловянных руд, титановых руд, хромовых руд на рассыпных месторождениях;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е) по обеспечению электрической энергией, газом и паром с использованием оборудования </w:t>
      </w:r>
      <w:r>
        <w:lastRenderedPageBreak/>
        <w:t>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ж) по металлургическому производству с использованием оборудования: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2,5 тонны в час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20 тонн нерафинированной стали в час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нанесения защитных распыленных металлических покрытий (с подачей 2 тонн нерафинированной стали в час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литейного производства черных металлов (с проектной производительностью 20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производства цветных металлов из руды, концентратов или вторичного сырья (с помощью металлургических, химических или электролитических процессов);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4 тонны в сутки и более для свинца и кадмия или 20 тонн в сутки и более для других металлов);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производства ферросплавов;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з) по производству следующей неметаллической минеральной продукции: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стекло и изделия из стекла, включая стекловолокно (с проектной производительностью 20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1 млн. штук в год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75 тонн в сутки и более и (или) с использованием обжиговых печей с плотностью садки на одну печь, превышающей 300 кг на 1 куб. метр);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цементный клинкер во вращающихся печах или в других печах (с проектной мощностью 500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известь (негашеная, гашеная) при наличии печей (с проектной мощностью 50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и) по производству химических веществ и химических продуктов следующих основных органических химических веществ: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простые углеводороды (линейные или циклические, насыщенные или ненасыщенные, алифатические или ароматические);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кислородсодержащие углеводороды - спирты, альдегиды, кетоны, карбоновые кислоты, сложные эфиры, ацетаты, простые эфиры, пероксиды, эпоксидные смолы;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серосодержащие углеводороды;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lastRenderedPageBreak/>
        <w:t xml:space="preserve">азотсодержащие углеводороды - амиды, азотистые соединения, </w:t>
      </w:r>
      <w:proofErr w:type="spellStart"/>
      <w:r>
        <w:t>нитросоединения</w:t>
      </w:r>
      <w:proofErr w:type="spellEnd"/>
      <w:r>
        <w:t xml:space="preserve"> или нитратные соединения, нитрилы, </w:t>
      </w:r>
      <w:proofErr w:type="spellStart"/>
      <w:r>
        <w:t>цианаты</w:t>
      </w:r>
      <w:proofErr w:type="spellEnd"/>
      <w:r>
        <w:t xml:space="preserve">, </w:t>
      </w:r>
      <w:proofErr w:type="spellStart"/>
      <w:r>
        <w:t>изоцианаты</w:t>
      </w:r>
      <w:proofErr w:type="spellEnd"/>
      <w:r>
        <w:t>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фосфорсодержащие углеводороды;</w:t>
      </w:r>
    </w:p>
    <w:p w:rsidR="0036771B" w:rsidRDefault="0036771B">
      <w:pPr>
        <w:pStyle w:val="ConsPlusNormal"/>
        <w:spacing w:before="220"/>
        <w:ind w:firstLine="540"/>
        <w:jc w:val="both"/>
      </w:pPr>
      <w:proofErr w:type="spellStart"/>
      <w:r>
        <w:t>галогенированные</w:t>
      </w:r>
      <w:proofErr w:type="spellEnd"/>
      <w:r>
        <w:t xml:space="preserve"> углеводороды;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полимеры, химические синтетические волокна и нити на основе целлюлозы;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синтетический каучук;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синтетические красители и пигменты;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поверхностно-активные вещества;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к) по производству химических веществ и химических продуктов следующих неорганических веществ: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газы - аммиак, хлор или хлористый водород, фтор или фтористый водород, оксиды углерода, соединения серы, оксиды азота, диоксид серы, </w:t>
      </w:r>
      <w:proofErr w:type="spellStart"/>
      <w:r>
        <w:t>карбонилхлорид</w:t>
      </w:r>
      <w:proofErr w:type="spellEnd"/>
      <w:r>
        <w:t xml:space="preserve"> (фосген);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кислоты - хромовая кислота, фтористоводородная (плавиковая) кислота, фосфорная кислота, азотная кислота, соляная кислота, серная кислота, олеум, сернистая кислота;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основания - гидроксид аммония, гидроксид калия, гидроксид натрия;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соли - хлорид аммония, хлорат калия, карбонат калия, карбонат натрия, </w:t>
      </w:r>
      <w:proofErr w:type="spellStart"/>
      <w:r>
        <w:t>перборат</w:t>
      </w:r>
      <w:proofErr w:type="spellEnd"/>
      <w:r>
        <w:t>, нитрат серебра;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неметаллы, оксиды металлов или другие неорганические соединения - карбид кальция, кремний, карбид кремния;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специальные неорганические химикаты - цианид натрия, цианид калия;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оксид магния (с проектной производительностью 50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л) по производству пестицидов и прочих агрохимических продуктов в части, касающейся производства минеральных удобрений;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м) по производству фармацевтических субстанций;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н) по обработке и утилизации отходов в части, касающейся обезвреживания отходов производства и потребления с применением оборудования и (или) установок: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по обезвреживанию отходов производства и потребления I - III классов опасности, включая пестициды и </w:t>
      </w:r>
      <w:proofErr w:type="spellStart"/>
      <w:r>
        <w:t>агрохимикаты</w:t>
      </w:r>
      <w:proofErr w:type="spellEnd"/>
      <w:r>
        <w:t>, пришедшие в негодность и (или) запрещенные к применению;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по обезвреживанию отходов производства и потребления IV и V классов опасности (с проектной мощностью 3 тонны в час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о) по обработке и утилизации отходов в части, касающейся обеззараживания и (или) обезвреживания биологических и медицинских отходов (с проектной мощностью 10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п) по захоронению следующих отходов производства и потребления: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отходы I - III классов опасности;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lastRenderedPageBreak/>
        <w:t>отходы IV и V классов опасности, включая твердые коммунальные отходы (20 тыс. тонн в год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р) по сбору и обработке сточных вод в части, касающейся очистки сточных вод централизованных систем водоотведения (канализации) (с объемом 20 тыс. куб. метров в сутки отводимых сточных вод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с) по производству целлюлозы и древесной массы;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т) по производству бумаги и картона (с проектной производительностью 20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у)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10 тонн обработанного сырья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ф) по производству кожи и изделий из кожи с использованием оборудования для дубления, крашения, выделки шкур и кож (с проектной мощностью 12 тонн готовой продукции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х) по производству следующих пищевых продуктов: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мясо и мясопродукты (с проектной производительностью 50 тонн готовой продукции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растительные и </w:t>
      </w:r>
      <w:proofErr w:type="gramStart"/>
      <w:r>
        <w:t>животные масла</w:t>
      </w:r>
      <w:proofErr w:type="gramEnd"/>
      <w:r>
        <w:t xml:space="preserve"> и жиры (с проектной производительностью 75 тонн готовой продукции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продукция из картофеля, фруктов и овощей (с проектной производительностью 300 тонн готовой продукции в сутки (среднеквартальный показатель)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молочная продукция (с проектной мощностью 200 тонн перерабатываемого молока в сутки (среднегодовой показатель)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ц) по разведению сельскохозяйственной птицы (с проектной мощностью 40 тыс. </w:t>
      </w:r>
      <w:proofErr w:type="spellStart"/>
      <w:r>
        <w:t>птицемест</w:t>
      </w:r>
      <w:proofErr w:type="spellEnd"/>
      <w:r>
        <w:t xml:space="preserve">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ч) по выращиванию и разведению свиней (с проектной мощностью 2000 мест и более), свиноматок (с проектной мощностью 750 мест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ш) по переработке и консервированию мяса в части, касающейся выполнения работ по убою животных на мясокомбинатах, мясохладобойнях;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щ) по добыче угля, включая добычу и обогащение каменного угля, антрацита и бурого угля (лигнита);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ы) связанной с обрабатывающим производством, на котором выполняются работы: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30 куб. метров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200 тонн в год и более).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jc w:val="center"/>
        <w:outlineLvl w:val="1"/>
      </w:pPr>
      <w:bookmarkStart w:id="2" w:name="P102"/>
      <w:bookmarkEnd w:id="2"/>
      <w:r>
        <w:t>II. Критерии отнесения объектов, оказывающих умеренное</w:t>
      </w:r>
    </w:p>
    <w:p w:rsidR="0036771B" w:rsidRDefault="0036771B">
      <w:pPr>
        <w:pStyle w:val="ConsPlusNormal"/>
        <w:jc w:val="center"/>
      </w:pPr>
      <w:r>
        <w:lastRenderedPageBreak/>
        <w:t>негативное воздействие на окружающую среду, к объектам</w:t>
      </w:r>
    </w:p>
    <w:p w:rsidR="0036771B" w:rsidRDefault="0036771B">
      <w:pPr>
        <w:pStyle w:val="ConsPlusNormal"/>
        <w:jc w:val="center"/>
      </w:pPr>
      <w:r>
        <w:t>II категории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  <w:r>
        <w:t>2. Осуществление хозяйственной и (или) иной деятельности: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а) по обеспечению электрической энергией, газом и паром с использованием оборудования (с установленной электрической мощностью менее 250 МВт при потреблении в качестве основного твердого и (или) жидкого топлива или с установленной электрической мощностью менее 500 МВт при потреблении в качестве основного газообразного топлива);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б) по добыче и подготовке руд и песков драгоценных металлов, оловянных руд, титановых руд, хромовых руд на рассыпных месторождениях;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в) по металлургическому производству с использованием оборудования: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обработки черных металлов с использованием станов горячей прокатки (с проектной производительностью менее 20 тонн нерафинированной стали в час);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нанесения защитных распыленных металлических покрытий (с подачей менее 2 тонн нерафинированной стали в час);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литейного производства черных металлов (с проектной производительностью менее 20 тонн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для плавки, включая легирование, рафинирование, и разливки цветных металлов (с проектной производительностью (плавки) менее 4 тонн в сутки для свинца и кадмия или менее 20 тонн в сутки для других металлов);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г) по производству следующей неметаллической минеральной продукции: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стекло и изделия из стекла, включая стекловолокно (с проектной производительностью менее 20 тонн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огнеупорные керамические изделия и строительные керамические материалы (с проектной мощностью менее 1 млн. штук в год);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керамические или фарфоровые изделия, кроме огнеупорных керамических изделий и строительных керамических материалов (с проектной мощностью менее 75 тонн в сутки и (или) с использованием обжиговых печей с плотностью садки на одну печь, не превышающей 300 кг на 1 куб. метр);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цементный клинкер во вращающихся печах или в других печах (с проектной мощностью менее 500 тонн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известь (негашеная, гашеная) при наличии печей (с проектной мощностью менее 50 тонн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д) по производству оксида магния (с проектной производительностью менее 50 тонн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е) по сбору и обработке сточных вод в части, касающейся очистки сточных вод централизованных систем водоотведения (канализации) (с объемом менее 20 тыс. куб. метров отводимых сточных вод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ж) по производству бумаги и картона (с проектной производительностью менее 20 тонн в </w:t>
      </w:r>
      <w:r>
        <w:lastRenderedPageBreak/>
        <w:t>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з) по производству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 (с проектной производительностью менее 10 тонн обработанного сырья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и) по производству кожи и изделий из кожи с использованием оборудования для дубления, крашения, выделки шкур и кож (с проектной мощностью менее 12 тонн готовой продукции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к) по производству следующих пищевых продуктов: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мясо и мясопродукты (с проектной производительностью менее 50 тонн готовой продукции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растительные и </w:t>
      </w:r>
      <w:proofErr w:type="gramStart"/>
      <w:r>
        <w:t>животные масла</w:t>
      </w:r>
      <w:proofErr w:type="gramEnd"/>
      <w:r>
        <w:t xml:space="preserve"> и жиры (с проектной производительностью менее 75 тонн готовой продукции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продукция из картофеля, фруктов и овощей (с проектной производительностью менее 300 тонн готовой продукции в сутки (среднеквартальный показатель);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молочная продукция (с проектной мощностью менее 200 тонн перерабатываемого молока в сутки (среднегодовой показатель);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л) по разведению сельскохозяйственной птицы (с проектной мощностью менее 40 тыс. </w:t>
      </w:r>
      <w:proofErr w:type="spellStart"/>
      <w:r>
        <w:t>птицемест</w:t>
      </w:r>
      <w:proofErr w:type="spellEnd"/>
      <w:r>
        <w:t>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м) по выращиванию и разведению свиней (с проектной мощностью менее 2000 мест), свиноматок (с проектной мощностью менее 750 мест);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н) связанной с обрабатывающим производством, на котором выполняются работы: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по поверхностной обработке металлов и пластических материалов (с использованием электролитических или химических процессов в технологических ваннах суммарным объемом менее 30 куб. метров);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по обработке поверхностей, предметов или продукции (с использованием органических растворителей, проектное потребление которых составляет менее 200 тонн в год);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о) по эксплуатации ядерных установок, в том числе атомных станций (за исключением исследовательских ядерных установок нулевой мощности);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п) по добыче урановой и ториевой руд, обогащению урановых и ториевых руд, производству ядерного топлива;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р) по эксплуатации: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радиационных источников (за исключением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с) по транспортированию по трубопроводам газа, продуктов переработки газа, нефти и нефтепродуктов с использованием магистральных трубопроводов;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lastRenderedPageBreak/>
        <w:t>т) по производству искусственного графита;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у) по производству газа путем газификации и (или) сжижения: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углей, включая антрацит, каменный уголь, бурый уголь (лигнит);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других твердых топлив (на установках номинальной проектной мощностью 20 МВт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ф) по производству сырой нефти из горючих (битуминозных) сланцев и песка;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х) по производству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ц) по складированию и хранению: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нефти и продуктов ее переработки (с проектной вместимостью 200 тыс. тонн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пестицидов и </w:t>
      </w:r>
      <w:proofErr w:type="spellStart"/>
      <w:r>
        <w:t>агрохимикатов</w:t>
      </w:r>
      <w:proofErr w:type="spellEnd"/>
      <w:r>
        <w:t xml:space="preserve"> (с проектной вместимостью 50 тонн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ч) по сбору, обработке и утилизации отходов в части, касающейся: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хранения отходов производства и потребления I - III классов опасности;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хранения отходов производства и потребления IV и V классов опасности (50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обезвреживания отходов производства и потребления IV и V классов опасности (с проектной мощностью менее 3 тонн в час);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обеззараживания и (или) обезвреживания биологических и медицинских отходов (с проектной мощностью менее 10 тонн в сутки);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захоронения отходов производства и потребления IV и V классов опасности, включая твердые коммунальные отходы (менее 20 тыс. тонн в год);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ш) по производству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млн. штук в год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щ) по разведению крупного рогатого скота (с проектной мощностью 400 мест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ы) по производству неметаллической минеральной продукции с использованием оборудования для расплава минеральных веществ, включая производство минеральных волокон (с проектным объемом плавки 20 тонн в сутки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э) по хранению и (или) уничтожению химического оружия.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3. Объект является: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а) портом, расположенным на внутренних водных путях Российской Федерации (допускающим проход судов водоизмещением 1350 тонн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б) морским портом;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в) объектом, предназначенным для приема, отправки воздушных судов и обслуживания воздушных перевозок (при наличии взлетно-посадочной полосы длиной 2100 метров и более);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г) объектом инфраструктуры железнодорожного транспорта.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jc w:val="center"/>
        <w:outlineLvl w:val="1"/>
      </w:pPr>
      <w:r>
        <w:t>III. Критерии отнесения объектов, оказывающих</w:t>
      </w:r>
    </w:p>
    <w:p w:rsidR="0036771B" w:rsidRDefault="0036771B">
      <w:pPr>
        <w:pStyle w:val="ConsPlusNormal"/>
        <w:jc w:val="center"/>
      </w:pPr>
      <w:r>
        <w:t>незначительное негативное воздействие на окружающую среду,</w:t>
      </w:r>
    </w:p>
    <w:p w:rsidR="0036771B" w:rsidRDefault="0036771B">
      <w:pPr>
        <w:pStyle w:val="ConsPlusNormal"/>
        <w:jc w:val="center"/>
      </w:pPr>
      <w:r>
        <w:t>к объектам III категории</w:t>
      </w:r>
    </w:p>
    <w:p w:rsidR="0036771B" w:rsidRDefault="0036771B">
      <w:pPr>
        <w:pStyle w:val="ConsPlusNormal"/>
        <w:jc w:val="center"/>
      </w:pPr>
    </w:p>
    <w:p w:rsidR="0036771B" w:rsidRDefault="0036771B">
      <w:pPr>
        <w:pStyle w:val="ConsPlusNormal"/>
        <w:ind w:firstLine="540"/>
        <w:jc w:val="both"/>
      </w:pPr>
      <w:r>
        <w:t xml:space="preserve">4. Эксплуатация исследовательских ядерных установок нулевой мощности, радиационных источников, содержащих в своем составе только </w:t>
      </w:r>
      <w:proofErr w:type="spellStart"/>
      <w:r>
        <w:t>радионуклидные</w:t>
      </w:r>
      <w:proofErr w:type="spellEnd"/>
      <w:r>
        <w:t xml:space="preserve"> источники четвертой и пятой категорий.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5. Осуществление хозяйственной и (или) иной деятельности, не указанной в </w:t>
      </w:r>
      <w:hyperlink w:anchor="P30" w:history="1">
        <w:r>
          <w:rPr>
            <w:color w:val="0000FF"/>
          </w:rPr>
          <w:t>I</w:t>
        </w:r>
      </w:hyperlink>
      <w:r>
        <w:t xml:space="preserve">, </w:t>
      </w:r>
      <w:hyperlink w:anchor="P102" w:history="1">
        <w:r>
          <w:rPr>
            <w:color w:val="0000FF"/>
          </w:rPr>
          <w:t>II</w:t>
        </w:r>
      </w:hyperlink>
      <w:r>
        <w:t xml:space="preserve"> и </w:t>
      </w:r>
      <w:hyperlink w:anchor="P174" w:history="1">
        <w:r>
          <w:rPr>
            <w:color w:val="0000FF"/>
          </w:rPr>
          <w:t>IV разделах</w:t>
        </w:r>
      </w:hyperlink>
      <w:r>
        <w:t xml:space="preserve"> настоящего документа и не соответствующей уровням воздействия на окружающую среду, определенным в </w:t>
      </w:r>
      <w:hyperlink w:anchor="P174" w:history="1">
        <w:r>
          <w:rPr>
            <w:color w:val="0000FF"/>
          </w:rPr>
          <w:t>IV разделе</w:t>
        </w:r>
      </w:hyperlink>
      <w:r>
        <w:t xml:space="preserve"> настоящего документа.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jc w:val="center"/>
        <w:outlineLvl w:val="1"/>
      </w:pPr>
      <w:bookmarkStart w:id="3" w:name="P174"/>
      <w:bookmarkEnd w:id="3"/>
      <w:r>
        <w:t>IV. Критерии отнесения объектов, оказывающих негативное</w:t>
      </w:r>
    </w:p>
    <w:p w:rsidR="0036771B" w:rsidRDefault="0036771B">
      <w:pPr>
        <w:pStyle w:val="ConsPlusNormal"/>
        <w:jc w:val="center"/>
      </w:pPr>
      <w:r>
        <w:t>воздействие на окружающую среду, к объектам IV категории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  <w:bookmarkStart w:id="4" w:name="P177"/>
      <w:bookmarkEnd w:id="4"/>
      <w:r>
        <w:t>6. Наличие одновременно следующих критериев: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>а) наличие на объекте стационарных источников загрязнения окружающей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веществ;</w:t>
      </w:r>
    </w:p>
    <w:p w:rsidR="0036771B" w:rsidRDefault="0036771B">
      <w:pPr>
        <w:pStyle w:val="ConsPlusNormal"/>
        <w:spacing w:before="220"/>
        <w:ind w:firstLine="540"/>
        <w:jc w:val="both"/>
      </w:pPr>
      <w:bookmarkStart w:id="5" w:name="P179"/>
      <w:bookmarkEnd w:id="5"/>
      <w:r>
        <w:t>б)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среду.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7. Осуществление на объекте деятельности по обеспечению электрической энергией, газом и паром (с использованием оборудования с проектной тепловой мощностью менее 2 Гкал/час при потреблении газообразного топлива) при условии соответствия такого объекта критериям, предусмотренным </w:t>
      </w:r>
      <w:hyperlink w:anchor="P179" w:history="1">
        <w:r>
          <w:rPr>
            <w:color w:val="0000FF"/>
          </w:rPr>
          <w:t>подпунктом "б" пункта 6</w:t>
        </w:r>
      </w:hyperlink>
      <w:r>
        <w:t xml:space="preserve"> настоящего документа.</w:t>
      </w:r>
    </w:p>
    <w:p w:rsidR="0036771B" w:rsidRDefault="0036771B">
      <w:pPr>
        <w:pStyle w:val="ConsPlusNormal"/>
        <w:spacing w:before="220"/>
        <w:ind w:firstLine="540"/>
        <w:jc w:val="both"/>
      </w:pPr>
      <w:r>
        <w:t xml:space="preserve">8. Использование на объекте оборудования исключительно для исследований, разработок и испытаний новой продукции и процессов (предприятия опытного производства, научно-исследовательские институты, опытно-конструкторские бюро) при условии соответствия такого объекта критериям, предусмотренным </w:t>
      </w:r>
      <w:hyperlink w:anchor="P177" w:history="1">
        <w:r>
          <w:rPr>
            <w:color w:val="0000FF"/>
          </w:rPr>
          <w:t>пунктом 6</w:t>
        </w:r>
      </w:hyperlink>
      <w:r>
        <w:t xml:space="preserve"> настоящего документа.</w:t>
      </w: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ind w:firstLine="540"/>
        <w:jc w:val="both"/>
      </w:pPr>
    </w:p>
    <w:p w:rsidR="0036771B" w:rsidRDefault="00367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9C2" w:rsidRDefault="005C49C2">
      <w:bookmarkStart w:id="6" w:name="_GoBack"/>
      <w:bookmarkEnd w:id="6"/>
    </w:p>
    <w:sectPr w:rsidR="005C49C2" w:rsidSect="0036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1B"/>
    <w:rsid w:val="0036771B"/>
    <w:rsid w:val="005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3A1-2BE1-4FC2-83E8-920E6CF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User056-8</dc:creator>
  <cp:keywords/>
  <dc:description/>
  <cp:lastModifiedBy>User056-8</cp:lastModifiedBy>
  <cp:revision>1</cp:revision>
  <dcterms:created xsi:type="dcterms:W3CDTF">2020-04-09T05:47:00Z</dcterms:created>
  <dcterms:modified xsi:type="dcterms:W3CDTF">2020-04-09T05:50:00Z</dcterms:modified>
</cp:coreProperties>
</file>