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2"/>
        <w:gridCol w:w="2138"/>
        <w:gridCol w:w="6237"/>
        <w:gridCol w:w="6095"/>
      </w:tblGrid>
      <w:tr w:rsidR="0029437E" w:rsidRPr="00ED4311" w:rsidTr="00C63F2F">
        <w:tc>
          <w:tcPr>
            <w:tcW w:w="522" w:type="dxa"/>
          </w:tcPr>
          <w:p w:rsidR="0029437E" w:rsidRPr="00ED4311" w:rsidRDefault="002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8" w:type="dxa"/>
          </w:tcPr>
          <w:p w:rsidR="0029437E" w:rsidRPr="00ED4311" w:rsidRDefault="00E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37E" w:rsidRPr="00ED4311">
              <w:rPr>
                <w:rFonts w:ascii="Times New Roman" w:hAnsi="Times New Roman" w:cs="Times New Roman"/>
                <w:sz w:val="24"/>
                <w:szCs w:val="24"/>
              </w:rPr>
              <w:t>т кого</w:t>
            </w:r>
          </w:p>
        </w:tc>
        <w:tc>
          <w:tcPr>
            <w:tcW w:w="6237" w:type="dxa"/>
          </w:tcPr>
          <w:p w:rsidR="0029437E" w:rsidRPr="00ED4311" w:rsidRDefault="002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95" w:type="dxa"/>
          </w:tcPr>
          <w:p w:rsidR="0029437E" w:rsidRPr="00ED4311" w:rsidRDefault="002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D70A7" w:rsidRPr="00ED4311" w:rsidTr="00C63F2F"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3D70A7" w:rsidRPr="001D0D6C" w:rsidRDefault="001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Ленинск-Кузнецкая</w:t>
            </w:r>
            <w:proofErr w:type="gramEnd"/>
            <w:r w:rsidRPr="001D0D6C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Электросеть»</w:t>
            </w:r>
          </w:p>
        </w:tc>
        <w:tc>
          <w:tcPr>
            <w:tcW w:w="6237" w:type="dxa"/>
          </w:tcPr>
          <w:p w:rsidR="003D70A7" w:rsidRDefault="001D0D6C" w:rsidP="005A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Разъяснение по плате за НВОС при передаче ТКО в 2018 году по договору размещения на полигоне  ООО «</w:t>
            </w:r>
            <w:proofErr w:type="spellStart"/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="0018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6095" w:type="dxa"/>
          </w:tcPr>
          <w:p w:rsidR="00646FD0" w:rsidRPr="00C63F2F" w:rsidRDefault="00646FD0" w:rsidP="00646F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ст. 16.1 </w:t>
            </w:r>
            <w:r w:rsidRPr="00C63F2F">
              <w:rPr>
                <w:rFonts w:ascii="Times New Roman" w:hAnsi="Times New Roman"/>
                <w:sz w:val="24"/>
                <w:szCs w:val="24"/>
              </w:rPr>
              <w:t>Федерального  закона №7-ФЗ «Об охране окружающей среды» от 10.01.2002 г. п</w:t>
            </w:r>
            <w:r w:rsidRPr="00C6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 хозяйственную и (или) иную деятельность, оказывающую негативное воздействие на окружающую среду (далее - лица, обязанные вносить плату), за исключением юридических лиц и индивидуальных предпринимателей, осуществляющих хозяйственную и</w:t>
            </w:r>
            <w:proofErr w:type="gramEnd"/>
            <w:r w:rsidRPr="00C6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(или) иную деятельность исключительно на объектах IV категории.</w:t>
            </w:r>
          </w:p>
          <w:p w:rsidR="00646FD0" w:rsidRPr="00C63F2F" w:rsidRDefault="00646FD0" w:rsidP="00646FD0">
            <w:pPr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C63F2F">
              <w:rPr>
                <w:rStyle w:val="blk"/>
                <w:rFonts w:ascii="Times New Roman" w:hAnsi="Times New Roman"/>
                <w:sz w:val="24"/>
                <w:szCs w:val="24"/>
              </w:rPr>
              <w:t>Плательщиками платы за негативное воздействие на окружающую среду при размещении отходов, за исключением твердых коммунальных отходов (далее – ТКО),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ТКО являются региональные операторы по обращению с ТКО, операторы по обращению с ТКО, осуществляющие деятельность по их размещению.</w:t>
            </w:r>
          </w:p>
          <w:p w:rsidR="00646FD0" w:rsidRPr="00C63F2F" w:rsidRDefault="00646FD0" w:rsidP="0064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2F">
              <w:rPr>
                <w:rFonts w:ascii="Times New Roman" w:hAnsi="Times New Roman" w:cs="Times New Roman"/>
                <w:sz w:val="24"/>
                <w:szCs w:val="24"/>
              </w:rPr>
              <w:t>Таким образом, исключение из лиц, обязанных вносить плату, составляют только лица, осуществляющее хозяйственную и (или) иную деятельность исключительно на объектах IV категории и имеющее соответствующее свидетельство о постановке на государственный учет как объекта, оказывающего негативное воздействие на окружающую среду, относящегося к IV категории. Такие лица не обязаны вносить плату за негативное воздействие на окружающую среду и представлять декларацию о плате.</w:t>
            </w:r>
          </w:p>
          <w:p w:rsidR="003D70A7" w:rsidRPr="00ED4311" w:rsidRDefault="00646FD0" w:rsidP="006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2F">
              <w:rPr>
                <w:rFonts w:ascii="Times New Roman" w:hAnsi="Times New Roman" w:cs="Times New Roman"/>
                <w:sz w:val="24"/>
                <w:szCs w:val="24"/>
              </w:rPr>
              <w:t>При этом хозяйствующий субъект  может являться плательщиком платы за негативное воздействие на окружающую среду в отношении  платы за размещение отходов, не относящихся к ТКО.</w:t>
            </w:r>
          </w:p>
        </w:tc>
      </w:tr>
      <w:tr w:rsidR="003D70A7" w:rsidRPr="00ED4311" w:rsidTr="00C63F2F"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8" w:type="dxa"/>
          </w:tcPr>
          <w:p w:rsidR="003D70A7" w:rsidRPr="001D0D6C" w:rsidRDefault="001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КАО «Азот»</w:t>
            </w:r>
          </w:p>
        </w:tc>
        <w:tc>
          <w:tcPr>
            <w:tcW w:w="6237" w:type="dxa"/>
          </w:tcPr>
          <w:p w:rsidR="003D70A7" w:rsidRDefault="001D0D6C" w:rsidP="00D97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ли порядок получения комплексного экологического разрешения для объектов 1 категории? </w:t>
            </w:r>
          </w:p>
        </w:tc>
        <w:tc>
          <w:tcPr>
            <w:tcW w:w="6095" w:type="dxa"/>
          </w:tcPr>
          <w:p w:rsidR="003D70A7" w:rsidRPr="00ED4311" w:rsidRDefault="00C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порядок получения комплексного экологического разрешения для объектов 1 категории</w:t>
            </w:r>
            <w:r w:rsidR="00126F0A">
              <w:rPr>
                <w:rFonts w:ascii="Times New Roman" w:hAnsi="Times New Roman" w:cs="Times New Roman"/>
                <w:sz w:val="24"/>
                <w:szCs w:val="24"/>
              </w:rPr>
              <w:t xml:space="preserve"> не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D6C" w:rsidRPr="00ED4311" w:rsidTr="00C63F2F">
        <w:tc>
          <w:tcPr>
            <w:tcW w:w="522" w:type="dxa"/>
          </w:tcPr>
          <w:p w:rsidR="001D0D6C" w:rsidRPr="00ED4311" w:rsidRDefault="001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1D0D6C" w:rsidRDefault="001D0D6C">
            <w:r w:rsidRPr="00432148">
              <w:rPr>
                <w:rFonts w:ascii="Times New Roman" w:hAnsi="Times New Roman" w:cs="Times New Roman"/>
                <w:sz w:val="24"/>
                <w:szCs w:val="24"/>
              </w:rPr>
              <w:t>КАО «Азот»</w:t>
            </w:r>
          </w:p>
        </w:tc>
        <w:tc>
          <w:tcPr>
            <w:tcW w:w="6237" w:type="dxa"/>
          </w:tcPr>
          <w:p w:rsidR="001D0D6C" w:rsidRDefault="001D0D6C" w:rsidP="00D97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Будет ли опре</w:t>
            </w:r>
            <w:r w:rsidR="0018541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лена форма сдачи статистической отчетности по атмосферному воздуху, в связи с выходом Приказа Рос</w:t>
            </w:r>
            <w:r w:rsidR="00762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тата № 473 от 01.08.2018 г. и отменой статформы 2-ТП воздух?</w:t>
            </w:r>
          </w:p>
        </w:tc>
        <w:tc>
          <w:tcPr>
            <w:tcW w:w="6095" w:type="dxa"/>
          </w:tcPr>
          <w:p w:rsidR="001D0D6C" w:rsidRPr="00ED4311" w:rsidRDefault="00C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форма сдачи статистической отчетности по атмосферному воздуху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определена.</w:t>
            </w:r>
          </w:p>
        </w:tc>
      </w:tr>
      <w:tr w:rsidR="001D0D6C" w:rsidRPr="00ED4311" w:rsidTr="00C63F2F">
        <w:tc>
          <w:tcPr>
            <w:tcW w:w="522" w:type="dxa"/>
          </w:tcPr>
          <w:p w:rsidR="001D0D6C" w:rsidRPr="00ED4311" w:rsidRDefault="001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1D0D6C" w:rsidRDefault="001D0D6C">
            <w:r w:rsidRPr="00432148">
              <w:rPr>
                <w:rFonts w:ascii="Times New Roman" w:hAnsi="Times New Roman" w:cs="Times New Roman"/>
                <w:sz w:val="24"/>
                <w:szCs w:val="24"/>
              </w:rPr>
              <w:t>КАО «Азот»</w:t>
            </w:r>
          </w:p>
        </w:tc>
        <w:tc>
          <w:tcPr>
            <w:tcW w:w="6237" w:type="dxa"/>
          </w:tcPr>
          <w:p w:rsidR="001D0D6C" w:rsidRPr="001D0D6C" w:rsidRDefault="001D0D6C" w:rsidP="005A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C">
              <w:rPr>
                <w:rFonts w:ascii="Times New Roman" w:hAnsi="Times New Roman" w:cs="Times New Roman"/>
                <w:sz w:val="24"/>
                <w:szCs w:val="24"/>
              </w:rPr>
              <w:t xml:space="preserve">Когда будет определен порядок возврата излишне уплаченных сумм платы за негативное воздействие </w:t>
            </w:r>
            <w:proofErr w:type="gramStart"/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D6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Pr="001D0D6C">
              <w:rPr>
                <w:rFonts w:ascii="Times New Roman" w:hAnsi="Times New Roman" w:cs="Times New Roman"/>
                <w:sz w:val="24"/>
                <w:szCs w:val="24"/>
              </w:rPr>
              <w:t xml:space="preserve"> среды (водный объект)</w:t>
            </w:r>
          </w:p>
        </w:tc>
        <w:tc>
          <w:tcPr>
            <w:tcW w:w="6095" w:type="dxa"/>
          </w:tcPr>
          <w:p w:rsidR="001D0D6C" w:rsidRPr="00ED4311" w:rsidRDefault="006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данный момент никаких сроков по принятию Порядка о возврате излишне уплаченных сумм платы за НВОС не установлено</w:t>
            </w:r>
            <w:r w:rsidR="00CA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7" w:rsidRPr="00ED4311" w:rsidTr="00C63F2F"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3D70A7" w:rsidRPr="00ED4311" w:rsidRDefault="005A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 </w:t>
            </w:r>
          </w:p>
        </w:tc>
        <w:tc>
          <w:tcPr>
            <w:tcW w:w="6237" w:type="dxa"/>
          </w:tcPr>
          <w:p w:rsidR="005A6B09" w:rsidRPr="005A6B09" w:rsidRDefault="005A6B09" w:rsidP="005A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В результате своей деятельности у угольных предприятий образовываются сточные воды в виде излияния подземных вод в карьерную выемку.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 этих карьерных вод уже из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начально не соответствует нормативным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ПДК</w:t>
            </w:r>
            <w:r w:rsidR="00CA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таким образом, у пред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приятия возникает обязанность очистить подземные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ряду показателей, к загряз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 xml:space="preserve">нению которых оно не имеет отношения. </w:t>
            </w:r>
            <w:proofErr w:type="gramStart"/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Очистка же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нормативных показателей с уче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том объемов ежегодного сброса (макс. объем сброса 12 млн. м3 в год) угледобывающего предприятия практически невозможна, как технологически, так и финансово, те методы очистки, которые существуют в настоящее время не рассчитаны на такие объемы сброса и при их внедрении предприятие станет просто не рентабельным, при этом 100% качество очистки не гарантировано.</w:t>
            </w:r>
            <w:proofErr w:type="gramEnd"/>
            <w:r w:rsidRPr="005A6B09"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вопрос, будут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пересматриваться нормативы ка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чества воды водных объектов для предприятий угольной промышленности либо пере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сматриваться сама система нормирования с учетом специфики предприятий различных регионов? До момента пока не изменилась система но</w:t>
            </w:r>
            <w:r w:rsidR="00797201">
              <w:rPr>
                <w:rFonts w:ascii="Times New Roman" w:hAnsi="Times New Roman" w:cs="Times New Roman"/>
                <w:sz w:val="24"/>
                <w:szCs w:val="24"/>
              </w:rPr>
              <w:t>рмирования, какие действия пред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принять угольным предприятиям? В существующих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еалиях, когда имеющиеся и строя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 xml:space="preserve">щиеся вновь очистные сооружения не позволяют достичь </w:t>
            </w:r>
            <w:r w:rsidRPr="005A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A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 xml:space="preserve"> а количество проверочных мероприятий только по данному вопросу за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превышает 20 единиц, предписа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ний и представлений 70 и соответственно штрафов порядка 1.5 млн. рублей.</w:t>
            </w:r>
          </w:p>
          <w:p w:rsidR="003D70A7" w:rsidRDefault="005A6B09" w:rsidP="005A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значительных изменений в действующем законодательстве и зачастую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ствием порядка и понимания природопользователей. возможно ли создание раздела на портале Росприроднадзора по КО</w:t>
            </w:r>
            <w:proofErr w:type="gramStart"/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де по мере появле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новых нормативных актов, ре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гламентов. либо писем, разъяснений Минприроды, Центрального Аппарата Росприроднадзора (включая вопросы получения комплексного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ологического разрешения, внедре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ния НДТ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нормирования сбросов и др.) будут выкладыва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указанные сведения для при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родопользователей? А так же рассмотреть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проведения обучающих семина</w:t>
            </w:r>
            <w:r w:rsidRPr="005A6B09">
              <w:rPr>
                <w:rFonts w:ascii="Times New Roman" w:hAnsi="Times New Roman" w:cs="Times New Roman"/>
                <w:sz w:val="24"/>
                <w:szCs w:val="24"/>
              </w:rPr>
              <w:t xml:space="preserve">ров сотрудниками Росприроднадзора по </w:t>
            </w:r>
            <w:proofErr w:type="gramStart"/>
            <w:r w:rsidRPr="005A6B0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A6B09">
              <w:rPr>
                <w:rFonts w:ascii="Times New Roman" w:hAnsi="Times New Roman" w:cs="Times New Roman"/>
                <w:sz w:val="24"/>
                <w:szCs w:val="24"/>
              </w:rPr>
              <w:t xml:space="preserve"> и Департамента природных ресурсов по КО по указанным вопросам.</w:t>
            </w:r>
          </w:p>
        </w:tc>
        <w:tc>
          <w:tcPr>
            <w:tcW w:w="6095" w:type="dxa"/>
          </w:tcPr>
          <w:p w:rsidR="00126F0A" w:rsidRDefault="00126F0A" w:rsidP="0012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изменении системы </w:t>
            </w:r>
            <w:r w:rsidR="00CA6B3F" w:rsidRPr="00CA6B3F">
              <w:rPr>
                <w:rFonts w:ascii="Times New Roman" w:hAnsi="Times New Roman" w:cs="Times New Roman"/>
                <w:sz w:val="24"/>
                <w:szCs w:val="24"/>
              </w:rPr>
              <w:t>нормирования с учетом специфики предприятий различных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 в Управление не поступали. Информация об изменениях в законодательстве в области охраны окружающей среды  публикуется на сайте Управления.  </w:t>
            </w:r>
          </w:p>
          <w:p w:rsidR="00126F0A" w:rsidRPr="00ED4311" w:rsidRDefault="000A09B9" w:rsidP="000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вопросы изменения законодательства обсуждаются Управлением</w:t>
            </w:r>
            <w:r w:rsidR="00454994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природопользователями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A09B9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0A09B9">
              <w:rPr>
                <w:rFonts w:ascii="Times New Roman" w:hAnsi="Times New Roman" w:cs="Times New Roman"/>
                <w:sz w:val="24"/>
                <w:szCs w:val="24"/>
              </w:rPr>
              <w:t>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A09B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4994">
              <w:rPr>
                <w:rFonts w:ascii="Times New Roman" w:hAnsi="Times New Roman" w:cs="Times New Roman"/>
                <w:sz w:val="24"/>
                <w:szCs w:val="24"/>
              </w:rPr>
              <w:t>, которые проводятся ежеквартально.</w:t>
            </w:r>
            <w:bookmarkStart w:id="0" w:name="_GoBack"/>
            <w:bookmarkEnd w:id="0"/>
          </w:p>
        </w:tc>
      </w:tr>
      <w:tr w:rsidR="003D70A7" w:rsidRPr="00ED4311" w:rsidTr="00C63F2F"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8" w:type="dxa"/>
          </w:tcPr>
          <w:p w:rsidR="003D70A7" w:rsidRPr="00ED4311" w:rsidRDefault="005A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</w:p>
        </w:tc>
        <w:tc>
          <w:tcPr>
            <w:tcW w:w="6237" w:type="dxa"/>
          </w:tcPr>
          <w:p w:rsidR="003D70A7" w:rsidRPr="00F85625" w:rsidRDefault="00F85625" w:rsidP="00F8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5">
              <w:rPr>
                <w:rFonts w:ascii="Times New Roman" w:hAnsi="Times New Roman" w:cs="Times New Roman"/>
                <w:sz w:val="24"/>
                <w:szCs w:val="24"/>
              </w:rPr>
              <w:t>Вопрос, про дублирующие проверки остается актуальным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сей день, когда на предприя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t xml:space="preserve">тии одновременно проводятся проверочные мероприятия несколькими государственными органами (Управление Росприроднадзора по </w:t>
            </w:r>
            <w:proofErr w:type="gramStart"/>
            <w:r w:rsidRPr="00F8562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85625">
              <w:rPr>
                <w:rFonts w:ascii="Times New Roman" w:hAnsi="Times New Roman" w:cs="Times New Roman"/>
                <w:sz w:val="24"/>
                <w:szCs w:val="24"/>
              </w:rPr>
              <w:t>, Департамент природных ресурсов по КО, районная прокуратура, природоохранная прокурат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Верхнеобское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Росрыболов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F85625">
              <w:rPr>
                <w:rFonts w:ascii="Times New Roman" w:hAnsi="Times New Roman" w:cs="Times New Roman"/>
                <w:sz w:val="24"/>
                <w:szCs w:val="24"/>
              </w:rPr>
              <w:t xml:space="preserve">) с проверкой одного и того же объекта, 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же выпуска сточных вод, за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t>прашивается идентичный пакет документов, возбужд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 дела по идентичным наруше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  <w:proofErr w:type="gramEnd"/>
            <w:r w:rsidRPr="00F8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5625">
              <w:rPr>
                <w:rFonts w:ascii="Times New Roman" w:hAnsi="Times New Roman" w:cs="Times New Roman"/>
                <w:sz w:val="24"/>
                <w:szCs w:val="24"/>
              </w:rPr>
              <w:t xml:space="preserve">Так как с одной стороны, угольный разрез, как объект негативного воздействия на окружающую среду I категории согласно Постановлении Правительства РФ от 28.08.2015 </w:t>
            </w:r>
            <w:r w:rsidRPr="00F8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t xml:space="preserve"> 903 подлежит федеральному надзору, с другой -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ст.24 Водного Кодекса, а так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t xml:space="preserve">же Постановлению Правительства РФ от 04.11.2006 </w:t>
            </w:r>
            <w:r w:rsidRPr="00F8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t xml:space="preserve"> 640 - региональному, в случае осу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ществления водопользования в отношении рек,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1 -го субъ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t>екта РФ.</w:t>
            </w:r>
            <w:proofErr w:type="gramEnd"/>
            <w:r w:rsidRPr="00F8562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на законодательном уровне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 четкое разграничение полно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t>мочий по надзору между федеральными и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органами исполнительной вла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t xml:space="preserve">сти. До решения вопроса на законодательном уровне, есть ли возможность проработать данный вопрос на уровне </w:t>
            </w:r>
            <w:r w:rsidRPr="00F8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взаимодействия?</w:t>
            </w:r>
          </w:p>
        </w:tc>
        <w:tc>
          <w:tcPr>
            <w:tcW w:w="6095" w:type="dxa"/>
          </w:tcPr>
          <w:p w:rsidR="003D70A7" w:rsidRPr="00ED4311" w:rsidRDefault="00E90343" w:rsidP="00E9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конкретизации полномочий нормативный акт находится в стадии разработки. В данном вопросе не пояснено в чем проявляется дублирование</w:t>
            </w:r>
            <w:r w:rsidR="00762F89">
              <w:rPr>
                <w:rFonts w:ascii="Times New Roman" w:hAnsi="Times New Roman" w:cs="Times New Roman"/>
                <w:sz w:val="24"/>
                <w:szCs w:val="24"/>
              </w:rPr>
              <w:t xml:space="preserve">. Пока решается вопрос на законодательном уровне, вопрос на уровне </w:t>
            </w:r>
            <w:r w:rsidR="00762F89" w:rsidRPr="00F85625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  <w:r w:rsidR="00762F89">
              <w:rPr>
                <w:rFonts w:ascii="Times New Roman" w:hAnsi="Times New Roman" w:cs="Times New Roman"/>
                <w:sz w:val="24"/>
                <w:szCs w:val="24"/>
              </w:rPr>
              <w:t xml:space="preserve"> есть, мы его проработали. На данный момент объекты. Относящиеся к федеральному уровню надзора проверяются непосредственно </w:t>
            </w:r>
            <w:proofErr w:type="gramStart"/>
            <w:r w:rsidR="00762F89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="00762F89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надзора, а водные объекты, которые поднадзорны региональному надзору проверяются регионом.</w:t>
            </w:r>
          </w:p>
        </w:tc>
      </w:tr>
      <w:tr w:rsidR="00A60C65" w:rsidRPr="00ED4311" w:rsidTr="00C63F2F">
        <w:tc>
          <w:tcPr>
            <w:tcW w:w="522" w:type="dxa"/>
          </w:tcPr>
          <w:p w:rsidR="00A60C65" w:rsidRPr="00ED4311" w:rsidRDefault="00A6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8" w:type="dxa"/>
          </w:tcPr>
          <w:p w:rsidR="00A60C65" w:rsidRDefault="006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60C65">
              <w:rPr>
                <w:rFonts w:ascii="Times New Roman" w:hAnsi="Times New Roman" w:cs="Times New Roman"/>
                <w:sz w:val="24"/>
                <w:szCs w:val="24"/>
              </w:rPr>
              <w:t>одоканал</w:t>
            </w:r>
          </w:p>
        </w:tc>
        <w:tc>
          <w:tcPr>
            <w:tcW w:w="6237" w:type="dxa"/>
          </w:tcPr>
          <w:p w:rsidR="00A60C65" w:rsidRPr="00762F89" w:rsidRDefault="00762F89" w:rsidP="00EC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объекты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 Должны предоставить декларацию о воздействии на окружающую среду должны по всему предприятию делать или только на объекты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категории?</w:t>
            </w:r>
            <w:r w:rsidR="00EC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EC6FEC" w:rsidRPr="00EC6FEC" w:rsidRDefault="00EC6FEC" w:rsidP="00C6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предоставляются в отношении каждого объекта отдельно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оответственно декларацию о воздействии на окружающую среду предоставляется на объекты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категории, на объекты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свои отчеты, и на объекты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(стат. формы). 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очнее см. в п.2 ст.31.2 Федерального закона №219-ФЗ.</w:t>
            </w:r>
          </w:p>
        </w:tc>
      </w:tr>
      <w:tr w:rsidR="00A60C65" w:rsidRPr="00ED4311" w:rsidTr="00C63F2F">
        <w:tc>
          <w:tcPr>
            <w:tcW w:w="522" w:type="dxa"/>
          </w:tcPr>
          <w:p w:rsidR="00A60C65" w:rsidRPr="00ED4311" w:rsidRDefault="00A6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A60C65" w:rsidRDefault="0090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</w:p>
        </w:tc>
        <w:tc>
          <w:tcPr>
            <w:tcW w:w="6237" w:type="dxa"/>
          </w:tcPr>
          <w:p w:rsidR="00A60C65" w:rsidRPr="00F85625" w:rsidRDefault="00EC6FEC" w:rsidP="00F8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заканчиваются</w:t>
            </w:r>
            <w:r w:rsidR="00906B62">
              <w:rPr>
                <w:rFonts w:ascii="Times New Roman" w:hAnsi="Times New Roman" w:cs="Times New Roman"/>
                <w:sz w:val="24"/>
                <w:szCs w:val="24"/>
              </w:rPr>
              <w:t xml:space="preserve"> в августе следующего года </w:t>
            </w:r>
            <w:proofErr w:type="spellStart"/>
            <w:r w:rsidR="00906B62">
              <w:rPr>
                <w:rFonts w:ascii="Times New Roman" w:hAnsi="Times New Roman" w:cs="Times New Roman"/>
                <w:sz w:val="24"/>
                <w:szCs w:val="24"/>
              </w:rPr>
              <w:t>НДСы</w:t>
            </w:r>
            <w:proofErr w:type="spellEnd"/>
            <w:r w:rsidR="00906B62">
              <w:rPr>
                <w:rFonts w:ascii="Times New Roman" w:hAnsi="Times New Roman" w:cs="Times New Roman"/>
                <w:sz w:val="24"/>
                <w:szCs w:val="24"/>
              </w:rPr>
              <w:t xml:space="preserve">. Надо ли их сейчас разрабатывать или ждать форму декларацию о воздействии? Проект ПДВ </w:t>
            </w:r>
            <w:proofErr w:type="gramStart"/>
            <w:r w:rsidR="00906B62">
              <w:rPr>
                <w:rFonts w:ascii="Times New Roman" w:hAnsi="Times New Roman" w:cs="Times New Roman"/>
                <w:sz w:val="24"/>
                <w:szCs w:val="24"/>
              </w:rPr>
              <w:t>заканчивается в конце следующего года у нас</w:t>
            </w:r>
            <w:proofErr w:type="gramEnd"/>
            <w:r w:rsidR="00906B62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разрабатываться на объект </w:t>
            </w:r>
            <w:r w:rsidR="00906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06B62" w:rsidRPr="0090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B62">
              <w:rPr>
                <w:rFonts w:ascii="Times New Roman" w:hAnsi="Times New Roman" w:cs="Times New Roman"/>
                <w:sz w:val="24"/>
                <w:szCs w:val="24"/>
              </w:rPr>
              <w:t>категории?</w:t>
            </w:r>
          </w:p>
        </w:tc>
        <w:tc>
          <w:tcPr>
            <w:tcW w:w="6095" w:type="dxa"/>
          </w:tcPr>
          <w:p w:rsidR="00A60C65" w:rsidRPr="00ED4311" w:rsidRDefault="00906B62" w:rsidP="00C6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изменением законодательства по охране атмосферного воздуха в Центральный Аппарат направлялись вопросы о четком разграничении предоставлении отчетности, ответы пока не поступили. Нормативные акты по нормированию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остаются в подвешенном состоянии. Как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известно мы опубликуем</w:t>
            </w:r>
            <w:proofErr w:type="gramEnd"/>
            <w:r w:rsidR="00C63F2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сайте.</w:t>
            </w:r>
          </w:p>
        </w:tc>
      </w:tr>
      <w:tr w:rsidR="00A60C65" w:rsidRPr="00ED4311" w:rsidTr="00C63F2F">
        <w:tc>
          <w:tcPr>
            <w:tcW w:w="522" w:type="dxa"/>
          </w:tcPr>
          <w:p w:rsidR="00A60C65" w:rsidRPr="00ED4311" w:rsidRDefault="00A6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A60C65" w:rsidRDefault="00A6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C65" w:rsidRPr="00906B62" w:rsidRDefault="00906B62" w:rsidP="00A6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выданы лимиты на обезвреживание отходов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мусор бытовых производственных отходов (ТКО). На юге Кузбасса избран региональный оператор. По требованиям федерального законодательства, мы обязаны заключить договор с рег. оператором на размещение отходов ТКО, но лимиты на обезвреживание. Как в этом плане действовать? Будем ли платить 5-ти кратный размер за размещение отходов на полигоне рег. </w:t>
            </w:r>
            <w:r w:rsidR="00A60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ператора и кто это будет оплачивать?</w:t>
            </w:r>
          </w:p>
        </w:tc>
        <w:tc>
          <w:tcPr>
            <w:tcW w:w="6095" w:type="dxa"/>
          </w:tcPr>
          <w:p w:rsidR="00A60C65" w:rsidRPr="00ED4311" w:rsidRDefault="00906B62" w:rsidP="00C6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касается передачи отходов ТКО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A60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существует 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касаемо отдельных случаев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вы сами имеете лицензию на обезвреживание (договор с организацией, которая имеет лицензию на обезвреживание)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случае в законодательстве ничего не сказано по этому поводу</w:t>
            </w:r>
            <w:r w:rsidR="00A6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07B" w:rsidRPr="004B207B">
              <w:rPr>
                <w:rFonts w:ascii="Times New Roman" w:hAnsi="Times New Roman" w:cs="Times New Roman"/>
                <w:sz w:val="24"/>
                <w:szCs w:val="24"/>
              </w:rPr>
              <w:t>Изначально нужно разделить понятия "отходы производства" и "твердые коммунальные отходы". Согласно ст. 1 ФЗ-89 "Об отходах производства и потребления"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</w:t>
            </w:r>
            <w:r w:rsidR="004B207B">
              <w:rPr>
                <w:rFonts w:ascii="Times New Roman" w:hAnsi="Times New Roman" w:cs="Times New Roman"/>
                <w:sz w:val="24"/>
                <w:szCs w:val="24"/>
              </w:rPr>
              <w:t>етворения личных и бытовых нужд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FEC" w:rsidRPr="00ED4311" w:rsidTr="00C63F2F">
        <w:tc>
          <w:tcPr>
            <w:tcW w:w="522" w:type="dxa"/>
          </w:tcPr>
          <w:p w:rsidR="00EC6FEC" w:rsidRDefault="00A6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EC6FEC" w:rsidRDefault="00EC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6FEC" w:rsidRPr="00F85625" w:rsidRDefault="00A60403" w:rsidP="00A6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нормативно-правовым актом утверждается обязанность хозяйствующим субъектом заполнять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чек-листы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EC6FEC" w:rsidRPr="00ED4311" w:rsidRDefault="00625C90" w:rsidP="00C6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проверочных листов регламентировано </w:t>
            </w:r>
            <w:r w:rsidRPr="00625C9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5C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05.06.2013 N 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25C90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25C90"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№ 447 </w:t>
            </w:r>
            <w:r w:rsidRPr="00625C9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форм проверочных листов). Госорганом чек-лист прикладывается к акту проверки. </w:t>
            </w:r>
            <w:proofErr w:type="spellStart"/>
            <w:r w:rsidR="00C63F2F">
              <w:rPr>
                <w:rFonts w:ascii="Times New Roman" w:hAnsi="Times New Roman" w:cs="Times New Roman"/>
                <w:sz w:val="24"/>
                <w:szCs w:val="24"/>
              </w:rPr>
              <w:t>Незаполнение</w:t>
            </w:r>
            <w:proofErr w:type="spellEnd"/>
            <w:r w:rsidR="00C63F2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листов </w:t>
            </w:r>
            <w:proofErr w:type="spellStart"/>
            <w:r w:rsidR="00C63F2F">
              <w:rPr>
                <w:rFonts w:ascii="Times New Roman" w:hAnsi="Times New Roman" w:cs="Times New Roman"/>
                <w:sz w:val="24"/>
                <w:szCs w:val="24"/>
              </w:rPr>
              <w:t>природопользователем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нарушаете закон, но в целях самопроверки и исполнения требований приказов Росприроднадзора это желательно.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если у организации нет ЭЦП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ва</w:t>
            </w:r>
            <w:r w:rsidR="006C7668">
              <w:rPr>
                <w:rFonts w:ascii="Times New Roman" w:hAnsi="Times New Roman" w:cs="Times New Roman"/>
                <w:sz w:val="24"/>
                <w:szCs w:val="24"/>
              </w:rPr>
              <w:t>риант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="006C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захо</w:t>
            </w:r>
            <w:r w:rsidR="004B207B">
              <w:rPr>
                <w:rFonts w:ascii="Times New Roman" w:hAnsi="Times New Roman" w:cs="Times New Roman"/>
                <w:sz w:val="24"/>
                <w:szCs w:val="24"/>
              </w:rPr>
              <w:t>дя в личный кабинет природопольз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ователя</w:t>
            </w:r>
            <w:r w:rsidR="00C6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406A" w:rsidRPr="00ED4311" w:rsidRDefault="0043406A">
      <w:pPr>
        <w:rPr>
          <w:rFonts w:ascii="Times New Roman" w:hAnsi="Times New Roman" w:cs="Times New Roman"/>
          <w:sz w:val="24"/>
          <w:szCs w:val="24"/>
        </w:rPr>
      </w:pPr>
    </w:p>
    <w:sectPr w:rsidR="0043406A" w:rsidRPr="00ED4311" w:rsidSect="00C63F2F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D7"/>
    <w:rsid w:val="00094310"/>
    <w:rsid w:val="000A09B9"/>
    <w:rsid w:val="000C2875"/>
    <w:rsid w:val="00126F0A"/>
    <w:rsid w:val="001759A1"/>
    <w:rsid w:val="00185412"/>
    <w:rsid w:val="001D0D6C"/>
    <w:rsid w:val="0029437E"/>
    <w:rsid w:val="002B01CA"/>
    <w:rsid w:val="002C2C9D"/>
    <w:rsid w:val="00375AE3"/>
    <w:rsid w:val="003C19B1"/>
    <w:rsid w:val="003D70A7"/>
    <w:rsid w:val="0043406A"/>
    <w:rsid w:val="00454994"/>
    <w:rsid w:val="004B207B"/>
    <w:rsid w:val="0055675D"/>
    <w:rsid w:val="005A6B09"/>
    <w:rsid w:val="005B722A"/>
    <w:rsid w:val="00625C90"/>
    <w:rsid w:val="00646FD0"/>
    <w:rsid w:val="006C7668"/>
    <w:rsid w:val="006D3B4E"/>
    <w:rsid w:val="006E3383"/>
    <w:rsid w:val="00712F96"/>
    <w:rsid w:val="00762F89"/>
    <w:rsid w:val="00797201"/>
    <w:rsid w:val="00822206"/>
    <w:rsid w:val="00843F72"/>
    <w:rsid w:val="00847781"/>
    <w:rsid w:val="008C429A"/>
    <w:rsid w:val="00906B62"/>
    <w:rsid w:val="00936326"/>
    <w:rsid w:val="00A41045"/>
    <w:rsid w:val="00A60403"/>
    <w:rsid w:val="00A60C65"/>
    <w:rsid w:val="00A909DB"/>
    <w:rsid w:val="00AA73AE"/>
    <w:rsid w:val="00B40357"/>
    <w:rsid w:val="00B500C6"/>
    <w:rsid w:val="00B51244"/>
    <w:rsid w:val="00B83268"/>
    <w:rsid w:val="00BB2F2F"/>
    <w:rsid w:val="00C63F2F"/>
    <w:rsid w:val="00CA6B3F"/>
    <w:rsid w:val="00D974AD"/>
    <w:rsid w:val="00DE3ED7"/>
    <w:rsid w:val="00E52F6C"/>
    <w:rsid w:val="00E90343"/>
    <w:rsid w:val="00EA37E1"/>
    <w:rsid w:val="00EC6FEC"/>
    <w:rsid w:val="00ED4311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9D"/>
    <w:rPr>
      <w:rFonts w:ascii="Tahoma" w:hAnsi="Tahoma" w:cs="Tahoma"/>
      <w:sz w:val="16"/>
      <w:szCs w:val="16"/>
    </w:rPr>
  </w:style>
  <w:style w:type="character" w:customStyle="1" w:styleId="blk">
    <w:name w:val="blk"/>
    <w:rsid w:val="00646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9D"/>
    <w:rPr>
      <w:rFonts w:ascii="Tahoma" w:hAnsi="Tahoma" w:cs="Tahoma"/>
      <w:sz w:val="16"/>
      <w:szCs w:val="16"/>
    </w:rPr>
  </w:style>
  <w:style w:type="character" w:customStyle="1" w:styleId="blk">
    <w:name w:val="blk"/>
    <w:rsid w:val="0064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User067-21</dc:creator>
  <cp:keywords/>
  <dc:description/>
  <cp:lastModifiedBy>чернятьева</cp:lastModifiedBy>
  <cp:revision>44</cp:revision>
  <cp:lastPrinted>2018-09-03T08:22:00Z</cp:lastPrinted>
  <dcterms:created xsi:type="dcterms:W3CDTF">2018-03-13T07:32:00Z</dcterms:created>
  <dcterms:modified xsi:type="dcterms:W3CDTF">2018-09-07T08:06:00Z</dcterms:modified>
</cp:coreProperties>
</file>