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главного специалиста-эксперта отдела государственного экологического надзора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старшей группе должностей гражданской службы категории «специалисты» (расположение рабочего места г. Магадан)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3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 специальностей и направлений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): </w:t>
      </w:r>
      <w:r>
        <w:rPr>
          <w:color w:val="000000" w:themeColor="text1"/>
          <w:sz w:val="24"/>
          <w:szCs w:val="24"/>
        </w:rPr>
        <w:t xml:space="preserve">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«Государственное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«Охрана окружающей среды и рациональное использование природных ресурсов», «Экология и природопользование», «Почвоведение», «Лесное дело», «Защита растений», «Лесное хо</w:t>
      </w:r>
      <w:r>
        <w:rPr>
          <w:color w:val="000000" w:themeColor="text1"/>
          <w:sz w:val="24"/>
          <w:szCs w:val="24"/>
        </w:rPr>
        <w:t xml:space="preserve">зяйство», «Биотехния», «Ветеринарно-санитарная экспертиза», «Химия», «Водные биоресурсы и аквакультура», «Агроинженерия», «Агрохимия и агропочвоведение», «Защита окружающей среды», «Природообустройство и водопользование», «Биоэкология», «Геоэкология», «Агр</w:t>
      </w:r>
      <w:r>
        <w:rPr>
          <w:color w:val="000000" w:themeColor="text1"/>
          <w:sz w:val="24"/>
          <w:szCs w:val="24"/>
        </w:rPr>
        <w:t xml:space="preserve">оэкология», «Инженерная защита окружающей среды», «Зоология», «Ботаника», «Биохимия», «Гидрология», «Водные ресурсы и водопользование», «Природоохранное обустройство территорий», «Лесоинженерное дело», «Комплексное использование и охрана водных ресурсов», </w:t>
      </w:r>
      <w:bookmarkStart w:id="0" w:name="undefined"/>
      <w:r>
        <w:rPr>
          <w:color w:val="000000" w:themeColor="text1"/>
          <w:sz w:val="24"/>
          <w:szCs w:val="24"/>
        </w:rPr>
        <w:t xml:space="preserve">«Подземная разработка месторождений полезных ископаемых</w:t>
      </w:r>
      <w:bookmarkEnd w:id="0"/>
      <w:r>
        <w:rPr>
          <w:color w:val="000000" w:themeColor="text1"/>
          <w:sz w:val="24"/>
          <w:szCs w:val="24"/>
        </w:rPr>
        <w:t xml:space="preserve">», «География», «Водоснабжение и водоотведение», «Зоотехния», «Ветеринария», </w:t>
      </w:r>
      <w:bookmarkStart w:id="0" w:name="undefined"/>
      <w:r>
        <w:rPr>
          <w:color w:val="000000" w:themeColor="text1"/>
          <w:sz w:val="24"/>
          <w:szCs w:val="24"/>
        </w:rPr>
        <w:t xml:space="preserve">«Экология», </w:t>
      </w:r>
      <w:bookmarkEnd w:id="0"/>
      <w:r>
        <w:rPr>
          <w:color w:val="000000" w:themeColor="text1"/>
          <w:sz w:val="24"/>
          <w:szCs w:val="24"/>
        </w:rPr>
        <w:t xml:space="preserve">«Лесоинженерное дело», «Технология лесозаготовок», «Зоология»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иные специальности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основ делопроизводства;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включающие в себя: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основные признаки электронных сооб</w:t>
      </w:r>
      <w:r>
        <w:rPr>
          <w:color w:val="000000" w:themeColor="text1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         № 190-ФЗ;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7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Лесного кодекса Российской Федерации от 04.12.2006 № 200-ФЗ;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Федерального закона от 24.04.1995 № 52-ФЗ «О животном мире»;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Федерального закона от 21.12.1994 № 68-ФЗ «О защите населения и территорий от чрезвычайных ситуаций природного и техногенного характера»;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Федерального закона от 24.07.2002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Федерального закона от 19.07.1997 № 109-ФЗ «О безопасном обращении с пестицидами и агрохимикатами»;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Федерального закона от 21.07.1997 № 117-ФЗ «О безопасности гидротехнических сооружений»;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 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Федерального закона от 17.12.1998 № 191-ФЗ «Об исключительной экономической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Федерального закона от 29.12.2014 № 473-ФЗ «О территориях опережающего социально-экономического развития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28) Федерального </w:t>
      </w:r>
      <w:hyperlink r:id="rId18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27.12.2018 № 498-ФЗ «Об ответственном обращении с животными и о внесении в отдельные законодательные акты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Постановления Пра</w:t>
      </w:r>
      <w:r>
        <w:rPr>
          <w:color w:val="000000" w:themeColor="text1"/>
          <w:sz w:val="24"/>
          <w:szCs w:val="24"/>
        </w:rPr>
        <w:t xml:space="preserve">вительства Российской Федерации от 16.04.2021    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Постановления Правительства Российской Федерации от 31.10.2013     № 978 «Об утверждении перечня особо ценных диких животных, водных биол</w:t>
      </w:r>
      <w:r>
        <w:rPr>
          <w:color w:val="000000" w:themeColor="text1"/>
          <w:sz w:val="24"/>
          <w:szCs w:val="24"/>
        </w:rPr>
        <w:t xml:space="preserve">огических ресурсов, растений и грибов, принадлежащих к видам, занесенным в Красную книгу Российской Федерации и (или) охраняемым международными договорами Российской Федерации, для целей статей 226.1, 258.1 и 260.1 Уголовного кодекса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Постановления Правительства Российской Федерации от 30.06.2021     № 1065 «О федеральном государственном охотничьем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Постановления Правительства Российской Федерации от 30.06.2021     № 1081 «О федеральном государственном земельном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Постановления Правительства Российской Федерации от 30.06.2021     № 1089 «О федеральном государственном контроле (надзоре) в области обращения с животными»;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Постановления Правительства Российской Федерации от 30.06.2021     № 1090 «О федеральном государственном контроле (надзоре) в области охраны и использования, особо охраняемых природных территорий»;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Постановления Правительства Российской Федерации от 30.06.2021    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Постановления Правительства Российской Федерации от 30.06.2021     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Постановления Правительства Российской Федерации от 30.06.2021     № 1098 «О федеральном государственном лесном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Постановления Правительства Российской Федерации от 31.10.2024     № 1459«Об утверждении Правил установления границ водоохранных зон и границ прибрежных защитных полос водных объектов»;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Постановления Правительства Российской Федерации от 31.12.2020    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40)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риказа Федеральной службы по надзору в сфере природопользования от 13.09.2022 № 401 «Об утверждении 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етодических рекомендаций по осуществлению мониторинга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ведения органами исполнительной власти субъектов Российской Федерации региональных государственных реестров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41) иные акты законодательства Российской Федерации, акты Президента Российской Федерации и </w:t>
      </w:r>
      <w:r>
        <w:rPr>
          <w:color w:val="000000" w:themeColor="text1"/>
          <w:sz w:val="24"/>
          <w:szCs w:val="24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методы использования программно-целевых методов управления в области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основные направления совершенствования нормативно-правовой базы, обеспечивающей эффективное развитие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процесс экологического сопровождения реализации государственных инфраструктурных проектов;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современное развитие системы особо охраняемых природных территорий;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технология обеспечения основной деятельности заповедников и национальных парков;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виды, формы, порядок представления разрешительной и иной документации в области охраны атмосферного воздуха;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понятие, цели и порядок организации земельного надзора;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понятие, цели и порядок организации государственного экологического надзора в области охраны атмосферного воздуха;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виды, особенности создания и применения карт, планов, пространственных данных и геоинформационных сервисов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научно-техническая документация и технико-экономические основы работ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научно-техническая документация в области стратегического и территориального планирования (развития)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основные закономерности функционирования и развития природных, природно-хозяйственных и социально-экономических территориальных систем района исследований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 отечественный и международный опыт реализации проектов социально-экономической и экологической направленности в сфере охраны окружающей среды на разных территориальных уровнях;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14) основы проектного менеджмента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15) методы проведения комплексной диагностики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стандартное программное обеспечение, используемое для подготовки документов по результатам комплексной географической оценки содержания работ и проектов в сфере охраны окружающей среды.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принципы, методы, технологии и механизмы осуществления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принципы защиты прав подконтрольных лиц;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виды, порядок организации и осуществления мероприятий по профилактике нарушения обязательных требований;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обязанности и ограничения при проведении мероприятий по контролю;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виды и основные характеристики мероприятий по контролю;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порядок организации и осуществления мероприятий по контролю без взаимодействия;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порядок организации и осуществления плановых проверок, формирования ежегодного плана проведения плановых проверок;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институт предварительной проверки жалобы и иной информации, поступившей в контрольно-надзорный орган;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основания проведения и особенности внеплановых проверок, согласование их проведения с органами прокуратуры;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порядок, этапы, инструменты организации и проведения проверки;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понятие единого реестра контрольных (надзорных) мероприятий, процедура его формирования;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меры, принимаемые по результатам проверки.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общие умения: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numPr>
          <w:ilvl w:val="1"/>
          <w:numId w:val="14"/>
        </w:numPr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1.3) коммуникативные умения;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1.4) управлять изменениями;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9" w:tooltip="&lt;div class=&quot;doc www&quot;&gt;&lt;span class=&quot;aligner&quot;&gt;&lt;div class=&quot;icon listDocWWW-16&quot;&gt;&lt;/div&gt;&lt;/span&gt;pravo.gov.ru&lt;/div&gt;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  <w:highlight w:val="none"/>
        </w:rPr>
        <w:t xml:space="preserve">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применять общие и специализированные методы географических исследований для оценки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комплексной географической оценки содержания работ и проектов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применять специализированное программное обеспечение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организация мероприятий по профилактике нарушения обязательных требований и мероприятий по контролю;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проведение мероприятий по профилактике нарушения обязательных требований;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проведение мероприятий по контролю без взаимодействия;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проведение плановых и внеплановых документарных (камеральных) проверок;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проведение плановых и внеплановых выездных проверок;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осуществление контроля исполнения предписаний и решений контрольно-надзорных органов;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подготовка проектов программ ревизий (проверок), докладов, информации, справок по результатам контрольных мероприятий.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прием и согласование документации, заявок, заявлений;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предоставление информации из реестров, баз данных, выдача справок, выписок, документов, разъяснений и сведений;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утверждение нормативов;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рассмотрение запросов, ходатайств, уведомлений, жалоб;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проведение экспертизы;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проведение консультаций.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обязанности </w:t>
      </w:r>
      <w:r>
        <w:rPr>
          <w:color w:val="000000" w:themeColor="text1"/>
          <w:sz w:val="24"/>
          <w:szCs w:val="24"/>
        </w:rPr>
        <w:t xml:space="preserve">Главного специалиста-эксперта,</w:t>
      </w:r>
      <w:r>
        <w:rPr>
          <w:color w:val="000000" w:themeColor="text1"/>
          <w:sz w:val="24"/>
          <w:szCs w:val="24"/>
        </w:rPr>
        <w:t xml:space="preserve"> 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а также ограничения, запреты и требования к служебному поведению, установлены статьями 15-18, 20, 20.1, 20.2, 20.3 Федерального закона от 27 июля 2004 г. № 79-ФЗ «О государственной гражданской службе Российской Федерации».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отдел государственного экологического надзора (далее – Отдел), Главный специалист-эксперт обязан: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соблюдать Конституц</w:t>
      </w:r>
      <w:r>
        <w:rPr>
          <w:color w:val="000000" w:themeColor="text1"/>
          <w:sz w:val="24"/>
          <w:szCs w:val="24"/>
        </w:rPr>
        <w:t xml:space="preserve">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tabs>
          <w:tab w:val="left" w:pos="13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соблюдать при исполнении должностных обязанностей права и законные интересы граждан и организаций;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поддерживать профессиональный уровень, необходимый для надлежащего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не разглашать сведения, составляющие г</w:t>
      </w:r>
      <w:r>
        <w:rPr>
          <w:color w:val="000000" w:themeColor="text1"/>
          <w:sz w:val="24"/>
          <w:szCs w:val="24"/>
        </w:rPr>
        <w:t xml:space="preserve">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беречь государственное имущество, в том числе предоставленное ему для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</w:t>
      </w:r>
      <w:r>
        <w:rPr>
          <w:color w:val="000000" w:themeColor="text1"/>
          <w:sz w:val="24"/>
          <w:szCs w:val="24"/>
        </w:rPr>
        <w:t xml:space="preserve">обязательствах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</w:t>
      </w:r>
      <w:r>
        <w:rPr>
          <w:color w:val="000000" w:themeColor="text1"/>
          <w:sz w:val="24"/>
          <w:szCs w:val="24"/>
        </w:rPr>
        <w:t xml:space="preserve">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</w:t>
      </w:r>
      <w:r>
        <w:rPr>
          <w:color w:val="000000" w:themeColor="text1"/>
          <w:sz w:val="24"/>
          <w:szCs w:val="24"/>
        </w:rPr>
        <w:t xml:space="preserve">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сообщать в письменной форм</w:t>
      </w:r>
      <w:r>
        <w:rPr>
          <w:color w:val="000000" w:themeColor="text1"/>
          <w:sz w:val="24"/>
          <w:szCs w:val="24"/>
        </w:rPr>
        <w:t xml:space="preserve">е представителю нанимателя о ставших ему известными изменениях сведений, содержащихся в анкете, предусмотренной статьей 20.3 Федерального закона о гражданской службе, за исключением сведений, изменение которых произошло по решению представителя нанимателя;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отказаться от исполнения данного, по мнению Гл</w:t>
      </w:r>
      <w:r>
        <w:rPr>
          <w:color w:val="000000" w:themeColor="text1"/>
          <w:sz w:val="24"/>
          <w:szCs w:val="24"/>
        </w:rPr>
        <w:t xml:space="preserve">авного специалиста-эксперта, неправомерного поручения, и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соблюдать служебный распорядок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Главный специалист-эксперт одновременно по должности является государственным инспектором Российской Федерации в области охраны окружающей среды Северо-Восточного межрегионального управления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4"/>
          <w:szCs w:val="24"/>
        </w:rPr>
        <w:t xml:space="preserve">17) в соответствии с возложенными на Отдел задачами осуществлять на территории Магаданской области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17.1) федеральный государственный 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numPr>
          <w:ilvl w:val="1"/>
          <w:numId w:val="17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земельный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numPr>
          <w:ilvl w:val="1"/>
          <w:numId w:val="17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лесной контроль (надзор) на земляхособо охраняемых природных территорий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numPr>
          <w:ilvl w:val="1"/>
          <w:numId w:val="17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</w:t>
      </w:r>
      <w:r>
        <w:rPr>
          <w:color w:val="000000" w:themeColor="text1"/>
          <w:sz w:val="24"/>
          <w:szCs w:val="24"/>
        </w:rPr>
        <w:t xml:space="preserve">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numPr>
          <w:ilvl w:val="1"/>
          <w:numId w:val="17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</w:t>
      </w:r>
      <w:r>
        <w:rPr>
          <w:color w:val="000000" w:themeColor="text1"/>
          <w:sz w:val="24"/>
          <w:szCs w:val="24"/>
        </w:rPr>
        <w:t xml:space="preserve">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17.6) федеральный государственный охотничий контроль (надзор) на особо охраняемых природных территориях федерального значения и в границах их охранных зон, управление которыми не осуществляется федеральными государственными бюджетными учреждениями;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numPr>
          <w:ilvl w:val="1"/>
          <w:numId w:val="18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используемых в условиях неволи, в то</w:t>
      </w:r>
      <w:r>
        <w:rPr>
          <w:color w:val="000000" w:themeColor="text1"/>
          <w:sz w:val="24"/>
          <w:szCs w:val="24"/>
        </w:rPr>
        <w:t xml:space="preserve">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животных в культурно-зрелищных целях);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8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rStyle w:val="1194"/>
          <w:color w:val="000000" w:themeColor="text1"/>
          <w:sz w:val="24"/>
          <w:szCs w:val="24"/>
        </w:rPr>
        <w:t xml:space="preserve">18) принимать участие в </w:t>
      </w:r>
      <w:r>
        <w:rPr>
          <w:color w:val="000000" w:themeColor="text1"/>
          <w:sz w:val="24"/>
          <w:szCs w:val="24"/>
        </w:rPr>
        <w:t xml:space="preserve">осуществлении контроля за эффективностью и качеством осуществления органами государственной власти Магаданской области переданных полномочий Российской Федерации в области во</w:t>
      </w:r>
      <w:r>
        <w:rPr>
          <w:color w:val="000000" w:themeColor="text1"/>
          <w:sz w:val="24"/>
          <w:szCs w:val="24"/>
        </w:rPr>
        <w:t xml:space="preserve">дных отношений, в области охраны и использования объектов животного мира, не отнесенных к водным биологическим ресурсам, в области охоты и сохранения охотничьих ресурсов, с правом направления обязательных для исполнения предписаний об устранении выявленных</w:t>
      </w:r>
      <w:r>
        <w:rPr>
          <w:color w:val="000000" w:themeColor="text1"/>
          <w:sz w:val="24"/>
          <w:szCs w:val="24"/>
          <w:lang w:bidi="ru-RU"/>
        </w:rPr>
        <w:t xml:space="preserve"> нарушений и представлений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19) о</w:t>
      </w:r>
      <w:r>
        <w:rPr>
          <w:rStyle w:val="1188"/>
          <w:color w:val="000000" w:themeColor="text1"/>
          <w:sz w:val="24"/>
          <w:szCs w:val="24"/>
        </w:rPr>
        <w:t xml:space="preserve">существлять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контроля;</w:t>
      </w:r>
      <w:r>
        <w:rPr>
          <w:rStyle w:val="1188"/>
          <w:color w:val="000000" w:themeColor="text1"/>
          <w:sz w:val="24"/>
          <w:szCs w:val="24"/>
        </w:rPr>
      </w:r>
      <w:r>
        <w:rPr>
          <w:rStyle w:val="1188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20)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принимать участие в подготовке и представлении в центральный аппарат Росприроднадзора предложений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20.</w:t>
      </w:r>
      <w:r>
        <w:rPr>
          <w:color w:val="000000" w:themeColor="text1"/>
          <w:sz w:val="24"/>
          <w:szCs w:val="24"/>
        </w:rPr>
        <w:t xml:space="preserve">1) решений о выдаче либо об отказе в выдаче разрешений на строительство, реконструкцию</w:t>
      </w:r>
      <w:r>
        <w:rPr>
          <w:color w:val="000000" w:themeColor="text1"/>
          <w:sz w:val="24"/>
          <w:szCs w:val="24"/>
        </w:rPr>
        <w:t xml:space="preserve">, проведение изыскательских работ для проектирования и ликвидацию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20.</w:t>
      </w:r>
      <w:r>
        <w:rPr>
          <w:color w:val="000000" w:themeColor="text1"/>
          <w:sz w:val="24"/>
          <w:szCs w:val="24"/>
        </w:rPr>
        <w:t xml:space="preserve">2) 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21) принимать участие в р</w:t>
      </w:r>
      <w:r>
        <w:rPr>
          <w:color w:val="000000" w:themeColor="text1"/>
          <w:sz w:val="24"/>
          <w:szCs w:val="24"/>
        </w:rPr>
        <w:t xml:space="preserve">ассмотрении для согласования Управлением проектов планов проведения плановых контрольных (надзорных) мероприятий на очередной календарный год в рамках муниципального земельного контроля;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22) п</w:t>
      </w:r>
      <w:r>
        <w:rPr>
          <w:rStyle w:val="1188"/>
          <w:color w:val="000000" w:themeColor="text1"/>
          <w:sz w:val="24"/>
          <w:szCs w:val="24"/>
        </w:rPr>
        <w:t xml:space="preserve">ринимать уведомления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сельскохозяйственного назначения, оборот которых регулируется </w:t>
      </w:r>
      <w:bookmarkStart w:id="0" w:name="undefined"/>
      <w:r>
        <w:rPr>
          <w:color w:val="000000" w:themeColor="text1"/>
          <w:sz w:val="24"/>
          <w:szCs w:val="24"/>
        </w:rPr>
        <w:t xml:space="preserve">Федеральным законом от 24.07.2002   № 101-ФЗ «Об обороте земель сельскохозяйственного назначения»</w:t>
      </w:r>
      <w:bookmarkEnd w:id="0"/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23) принимать участие в 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рассмотрении для согласования Управлением: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pStyle w:val="1238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rStyle w:val="1194"/>
          <w:color w:val="000000" w:themeColor="text1"/>
          <w:sz w:val="24"/>
          <w:szCs w:val="24"/>
        </w:rPr>
        <w:t xml:space="preserve">23</w:t>
      </w:r>
      <w:r>
        <w:rPr>
          <w:color w:val="000000" w:themeColor="text1"/>
          <w:sz w:val="24"/>
          <w:szCs w:val="24"/>
        </w:rPr>
        <w:t xml:space="preserve">.1) перечня мероприяти</w:t>
      </w:r>
      <w:r>
        <w:rPr>
          <w:color w:val="000000" w:themeColor="text1"/>
          <w:sz w:val="24"/>
          <w:szCs w:val="24"/>
        </w:rPr>
        <w:t xml:space="preserve">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представляемого для получения разрешения на строительство, реконструкцию, проведение изыскате</w:t>
      </w:r>
      <w:r>
        <w:rPr>
          <w:color w:val="000000" w:themeColor="text1"/>
          <w:sz w:val="24"/>
          <w:szCs w:val="24"/>
        </w:rPr>
        <w:t xml:space="preserve">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территории,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23.2)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границ охранных зон для гидроэнергетических объектов в акваториях в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одных объектов, включающих,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23.3) 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заявлений органов исполнительной власти субъектов Российской федерации об определении границ зон затопления, подтопления;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24) 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принимать участие в подготовке для направления в центральный аппарат Росприроднадзора мотивированных заключений о возможности согласования:</w:t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Style w:val="1192"/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24</w:t>
      </w:r>
      <w:r>
        <w:rPr>
          <w:color w:val="000000" w:themeColor="text1"/>
          <w:sz w:val="24"/>
          <w:szCs w:val="24"/>
        </w:rPr>
        <w:t xml:space="preserve">.1)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проектов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24.2) проектов правил использования для каждого из водохранилищ, включенных в перечень водохранилищ, утвержденный распоряжением Правительства Российской Федерации от 14.02.2009 № 197-р;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25) принимать участие в подготовке для направления в центральный аппарат Росприроднадзора сведений для предоставления в государственный водный реестр;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26) принимать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объектах;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27) принимать участие в </w:t>
      </w:r>
      <w:r>
        <w:rPr>
          <w:color w:val="000000" w:themeColor="text1"/>
          <w:sz w:val="24"/>
          <w:szCs w:val="24"/>
        </w:rPr>
        <w:t xml:space="preserve">подготовке для представления в центральный аппарат Росприроднадзора мотивированных заключений о возможности: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27.1) выдачи разрешений на добычу объектов животного и</w:t>
      </w:r>
      <w:r>
        <w:rPr>
          <w:color w:val="000000" w:themeColor="text1"/>
          <w:sz w:val="24"/>
          <w:szCs w:val="24"/>
        </w:rPr>
        <w:t xml:space="preserve"> растительного мира, включая водные биологические ресурсы, занесённых в Красную книгу Российской Федерации, а также объектов животного мира,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8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27.2) осуществления пользования видами животных в целях получения разрешений (распорядительных</w:t>
      </w:r>
      <w:r>
        <w:rPr>
          <w:color w:val="000000" w:themeColor="text1"/>
          <w:sz w:val="24"/>
          <w:szCs w:val="24"/>
        </w:rPr>
        <w:t xml:space="preserve"> лицензий) 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27.3) </w:t>
      </w:r>
      <w:r>
        <w:rPr>
          <w:color w:val="000000" w:themeColor="text1"/>
          <w:sz w:val="24"/>
          <w:szCs w:val="24"/>
        </w:rPr>
        <w:t xml:space="preserve">согласования установления органами государственной власти </w:t>
      </w:r>
      <w:r>
        <w:rPr>
          <w:rStyle w:val="1188"/>
          <w:color w:val="000000" w:themeColor="text1"/>
          <w:sz w:val="24"/>
          <w:szCs w:val="24"/>
        </w:rPr>
        <w:t xml:space="preserve">Магаданской области </w:t>
      </w:r>
      <w:r>
        <w:rPr>
          <w:color w:val="000000" w:themeColor="text1"/>
          <w:sz w:val="24"/>
          <w:szCs w:val="24"/>
        </w:rPr>
        <w:t xml:space="preserve">ограниче</w:t>
      </w:r>
      <w:r>
        <w:rPr>
          <w:color w:val="000000" w:themeColor="text1"/>
          <w:sz w:val="24"/>
          <w:szCs w:val="24"/>
        </w:rPr>
        <w:t xml:space="preserve">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</w:t>
      </w:r>
      <w:r>
        <w:rPr>
          <w:rStyle w:val="119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принимать участие в </w:t>
      </w:r>
      <w:r>
        <w:rPr>
          <w:color w:val="000000" w:themeColor="text1"/>
          <w:sz w:val="24"/>
          <w:szCs w:val="24"/>
        </w:rPr>
        <w:t xml:space="preserve">рассмотрении для согласования Управлением заявлений о выдаче лицензий на экспорт и (или) импорт товаров, а также в оформлении других р</w:t>
      </w:r>
      <w:r>
        <w:rPr>
          <w:color w:val="000000" w:themeColor="text1"/>
          <w:sz w:val="24"/>
          <w:szCs w:val="24"/>
        </w:rPr>
        <w:t xml:space="preserve">азрешительных документов в случае применения в отношении товаров запретов или ограничений в торговле с третьими странами на ввоз или вывоз государствами – членами Таможенного союза в рамках Евразийского экономического союза для морских и прочих водорослей;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осуществлять охрану водных биологических ресурсов, занесенных в Красную книгу Российской Федерации, за исключением водных биологических ресурсов,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участвовать в координации деятельности органов государственной власти Магаданской области в области охраны и использования животного мира в пределах своей компетенции;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осуществлять в пределах своей компетенции производство по делам об административных правонарушениях;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направлять через Управление</w:t>
      </w:r>
      <w:r>
        <w:rPr>
          <w:rStyle w:val="1188"/>
          <w:color w:val="000000" w:themeColor="text1"/>
          <w:sz w:val="24"/>
          <w:szCs w:val="24"/>
        </w:rPr>
        <w:t xml:space="preserve">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подведомственности;</w:t>
      </w:r>
      <w:r>
        <w:rPr>
          <w:rStyle w:val="1188"/>
          <w:color w:val="000000" w:themeColor="text1"/>
          <w:sz w:val="24"/>
          <w:szCs w:val="24"/>
        </w:rPr>
      </w:r>
      <w:r>
        <w:rPr>
          <w:rStyle w:val="1188"/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осуществля</w:t>
      </w:r>
      <w:r>
        <w:rPr>
          <w:color w:val="000000" w:themeColor="text1"/>
          <w:sz w:val="24"/>
          <w:szCs w:val="24"/>
        </w:rPr>
        <w:t xml:space="preserve">ть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производить расчет размера вреда, причиненного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35) осуществлять работу, проводить инструктаж с общественными инспекторами по охране окружающей среды, общественными инспекторами 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осуществлять ра</w:t>
      </w:r>
      <w:r>
        <w:rPr>
          <w:color w:val="000000" w:themeColor="text1"/>
          <w:sz w:val="24"/>
          <w:szCs w:val="24"/>
        </w:rPr>
        <w:t xml:space="preserve">ссмотрение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Отдела;</w:t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выдавать заключения органу, осуществляющего федеральный государственный экологический контроль (надзор), в отношении объекта капитального строительства;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осуществлять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подтверждения соответствия лицензиата лицензионным требованиям;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принимать участие в выполнении работ по формированию официальной статистической информации (осуществляет прием от юридических лиц годовой </w:t>
      </w:r>
      <w:hyperlink r:id="rId20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№ 2-ТП (рекультивация) «Сведения о рекультивации земель, снятии и использовании плодородного слоя почвы»;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41) участвовать в формировании Перечней объектов федерального государственного экологического, земельного контроля (надзора), отнесенных к определенной категории риска, поднадзорных Управлению и расположенных на территории Магаданской области,</w:t>
      </w:r>
      <w:r>
        <w:rPr>
          <w:color w:val="000000" w:themeColor="text1"/>
          <w:sz w:val="24"/>
          <w:szCs w:val="24"/>
        </w:rPr>
        <w:t xml:space="preserve"> а также в систематической актуализации Перечней и размещении актуализированной информации об объектах федерального государственного экологического контроля (надзора) в подсистеме «Перечень объектов контроля»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42) участвовать в отнесении объектов федерального государственного экологического, земельног</w:t>
      </w:r>
      <w:r>
        <w:rPr>
          <w:color w:val="000000" w:themeColor="text1"/>
          <w:sz w:val="24"/>
          <w:szCs w:val="24"/>
        </w:rPr>
        <w:t xml:space="preserve">о контроля (надзора), поднадзорных Управлению и расположенных на территории Магаданской области к определенной категории риска, а также в систематической актуализации категории риска объектов федерального государственного экологического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43) участвовать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44) рассматривать проектную документацию, предусмотренную </w:t>
      </w:r>
      <w:hyperlink r:id="rId21" w:tooltip="https://login.consultant.ru/link/?req=doc&amp;base=LAW&amp;n=471078" w:history="1">
        <w:r>
          <w:rPr>
            <w:rStyle w:val="927"/>
            <w:color w:val="000000" w:themeColor="text1"/>
            <w:sz w:val="24"/>
            <w:szCs w:val="24"/>
            <w:u w:val="none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«О недрах», в части технических и технологических решений по обеспечению требований в области охраны окружающей среды;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45) осуществлять полномочия общего характера: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сбор, </w:t>
      </w:r>
      <w:r>
        <w:rPr>
          <w:color w:val="000000" w:themeColor="text1"/>
          <w:sz w:val="24"/>
          <w:szCs w:val="24"/>
        </w:rPr>
        <w:t xml:space="preserve">обобщение и анализ информации о результатах контрольной и надзорной деятельности в области охраны окружающей среды на территории Магаданской области с представлением ее Управлению в составе, объеме и в сроки, устанавливаемые Росприроднадзором, Управлением;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работу в подсистемах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работы в КСВ, ЕРКНМ, ГИС ТОР КНД, ГИСП, в иных ФГИС в сфере деятельности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по ним решения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материалов и письменного мнения (при необходимости) по вопросам, отнесенным к компетенции Отдела, для направления в арбитражные суды, суды общей юрисдикции исков, заявлений, отзывов, возражений на заявления;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хранения в отдел информационно-аналитического, административно-хозяйственного обеспечения и делопроизводства;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проектов приказов, распоряжений, решений и иных документов Управления по вопросам, входящим в его компетенцию.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Главный</w:t>
      </w:r>
      <w:r>
        <w:rPr>
          <w:color w:val="000000" w:themeColor="text1"/>
          <w:sz w:val="24"/>
          <w:szCs w:val="24"/>
        </w:rPr>
        <w:t xml:space="preserve"> специалист-эксперт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исполняет иные обязанности,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предусмотренные </w:t>
      </w:r>
      <w:r>
        <w:rPr>
          <w:color w:val="000000" w:themeColor="text1"/>
          <w:sz w:val="24"/>
          <w:szCs w:val="24"/>
        </w:rPr>
        <w:t xml:space="preserve">законодательст</w:t>
      </w:r>
      <w:r>
        <w:rPr>
          <w:color w:val="000000" w:themeColor="text1"/>
          <w:sz w:val="24"/>
          <w:szCs w:val="24"/>
        </w:rPr>
        <w:t xml:space="preserve">вом Российской Федерации, приказами, </w:t>
      </w:r>
      <w:r>
        <w:rPr>
          <w:color w:val="000000" w:themeColor="text1"/>
          <w:sz w:val="24"/>
          <w:szCs w:val="24"/>
        </w:rPr>
        <w:t xml:space="preserve">распоряжениями и поручениями </w:t>
      </w:r>
      <w:r>
        <w:rPr>
          <w:color w:val="000000" w:themeColor="text1"/>
          <w:sz w:val="24"/>
          <w:szCs w:val="24"/>
        </w:rPr>
        <w:t xml:space="preserve">начальника О</w:t>
      </w:r>
      <w:r>
        <w:rPr>
          <w:color w:val="000000" w:themeColor="text1"/>
          <w:sz w:val="24"/>
          <w:szCs w:val="24"/>
        </w:rPr>
        <w:t xml:space="preserve">тдела,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заместителя руководителя Управления, </w:t>
      </w:r>
      <w:r>
        <w:rPr>
          <w:color w:val="000000" w:themeColor="text1"/>
          <w:sz w:val="24"/>
          <w:szCs w:val="24"/>
        </w:rPr>
        <w:t xml:space="preserve">руководителя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62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104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Style w:val="1235"/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со статьей 2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 случае непроведения конкурса 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на бесконкурсной основе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необходимо использовать тестирование и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45"/>
        <w:ind w:firstLine="567"/>
        <w:jc w:val="both"/>
        <w:rPr>
          <w:b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Пройти предварительный квалификационный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hyperlink r:id="rId22" w:tooltip="https://mintrud.gov.ru/testing/default/index" w:history="1">
        <w:r>
          <w:rPr>
            <w:rStyle w:val="118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https://mintrud.gov.ru/testing/default/index</w:t>
        </w:r>
        <w:r>
          <w:rPr>
            <w:rStyle w:val="1187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Перечень документов для рассмотрения кандидата на должность: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Гражданин Российской Федерации представляет: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а) личное заявление;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в) копию паспорта или заменяющего его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, и (или) сведения о трудовой деятель</w:t>
      </w:r>
      <w:r>
        <w:rPr>
          <w:rFonts w:ascii="Times New Roman" w:hAnsi="Times New Roman" w:eastAsia="Times New Roman" w:cs="Times New Roman"/>
          <w:sz w:val="24"/>
        </w:rPr>
        <w:t xml:space="preserve">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заверенные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д) </w:t>
      </w:r>
      <w:r>
        <w:rPr>
          <w:rFonts w:ascii="Times New Roman" w:hAnsi="Times New Roman" w:eastAsia="Times New Roman" w:cs="Times New Roman"/>
          <w:sz w:val="24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е) </w:t>
      </w:r>
      <w:r>
        <w:rPr>
          <w:rFonts w:ascii="Times New Roman" w:hAnsi="Times New Roman" w:eastAsia="Times New Roman" w:cs="Times New Roman"/>
          <w:sz w:val="24"/>
        </w:rPr>
        <w:t xml:space="preserve">иные документы, предусмотренные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</w:rPr>
        <w:t xml:space="preserve">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 Управления подает заявление на имя представителя нанимателя.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служащий, замещающий должность государственной гражданской службы в ином государственном органе, представляет в Управление</w:t>
      </w:r>
      <w:r>
        <w:rPr>
          <w:rFonts w:ascii="Times New Roman" w:hAnsi="Times New Roman" w:eastAsia="Times New Roman" w:cs="Times New Roman"/>
          <w:sz w:val="24"/>
        </w:rPr>
        <w:t xml:space="preserve"> заявление на имя представителя нанимателя и заполненную, подписанную им и заверенную кадровым подразделением государственного органа, в котором гражданский служащий замещает должность гражданской службы,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</w:t>
      </w:r>
      <w:r>
        <w:rPr>
          <w:rFonts w:ascii="Times New Roman" w:hAnsi="Times New Roman" w:eastAsia="Times New Roman" w:cs="Times New Roman"/>
          <w:sz w:val="24"/>
        </w:rPr>
        <w:t xml:space="preserve">, с фотографией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Место и время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приема документов: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кументы представляются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pStyle w:val="1231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лично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Управления по адресу г. Магадан, ул. Пролетарская, д. 11, этаж 4, кабинет 408,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1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посредством направления по почте </w:t>
      </w:r>
      <w:r>
        <w:rPr>
          <w:b/>
          <w:bCs/>
          <w:sz w:val="24"/>
        </w:rPr>
        <w:t xml:space="preserve">685000, Магаданская обл.,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Магадан, ул. Пролетарская, д. 11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1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</w:rPr>
        <w:t xml:space="preserve">в электронном виде с использованием «</w:t>
      </w:r>
      <w:r>
        <w:rPr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Федерации».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44"/>
        <w:ind w:left="0" w:right="0" w:firstLine="567"/>
        <w:jc w:val="left"/>
        <w:spacing w:after="0" w:after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</w:r>
      <w:hyperlink r:id="rId23" w:tooltip="mailto:petrovskaya.mv@rpn.gov.ru" w:history="1">
        <w:r>
          <w:rPr>
            <w:rStyle w:val="927"/>
            <w:b w:val="0"/>
            <w:sz w:val="24"/>
            <w:szCs w:val="24"/>
          </w:rPr>
          <w:t xml:space="preserve">petrovskaya.mv@rpn.gov.ru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rPr>
          <w:bCs w:val="0"/>
          <w:i w:val="0"/>
          <w:sz w:val="24"/>
          <w:szCs w:val="24"/>
        </w:rPr>
      </w:pPr>
      <w:r>
        <w:rPr>
          <w:b/>
          <w:i w:val="0"/>
          <w:iCs w:val="0"/>
          <w:sz w:val="24"/>
          <w:szCs w:val="24"/>
          <w:highlight w:val="none"/>
        </w:rPr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945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45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01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</w:r>
      <w:r>
        <w:rPr>
          <w:b/>
          <w:bCs/>
          <w:sz w:val="24"/>
          <w:szCs w:val="24"/>
        </w:rPr>
        <w:t xml:space="preserve">Для заключения служебного контракта предоставляется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по адресу г. Магадан, ул. Пролетарская,  д. 11, этаж 4, кабинет 408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заявление с просьбой о поступлении на гражданскую службу и замещении должности гражданской службы;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/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паспорт;</w:t>
      </w:r>
      <w:r/>
      <w:r/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трудовую книжку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(или) сведения о трудовой деятельности, оформленные в установленном законодательством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за исключением случаев, когда служебная (трудовая) деятельность осуществляется впервые;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документ, подтверждающи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  <w:r/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свидетельство о постановке физического лица на учет в налоговом органе по месту жительства на территории Российской Федерации;</w:t>
      </w:r>
      <w:r/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воинского учета - для граждан, пребывающих в запасе, и лиц, подлежащих призыву на военную службу;</w:t>
      </w:r>
      <w:r/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документ об образовании и о квалификации;</w:t>
      </w:r>
      <w:r/>
      <w:r/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ведения о своих доходах, об имуществе и обязательствах имущественного характера, а также о доход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ах, об имуществе и обязательствах имущественного характера членов своей семьи;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ведения об адресах сайтов и (или) страниц сайтов в информационно-телекоммуникационной сети "Интернет";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заключение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медицинской организации об отсутствии у гражданина заболевания, препятствующего поступлению на гражданскую службу или ее прохождению.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отдельных случа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ях с учетом условий прохождения гражданской службы, установленных настоящим Федеральным законом, другими федеральными законами, указами Президента Российской Федерации и постановлениями Правительства Российской Федерации, при заключении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служебного контракта может предусматриваться необходимость предъявления иных документов.</w:t>
      </w:r>
      <w:r/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15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гражд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анским служащим гарантируются: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pStyle w:val="945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5" w:customStyle="1">
    <w:name w:val="Body Text Indent 3"/>
    <w:basedOn w:val="865"/>
    <w:link w:val="891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46" w:customStyle="1">
    <w:name w:val="Font Style16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82855" TargetMode="External"/><Relationship Id="rId19" Type="http://schemas.openxmlformats.org/officeDocument/2006/relationships/hyperlink" Target="http://pravo.gov.ru" TargetMode="External"/><Relationship Id="rId20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1" Type="http://schemas.openxmlformats.org/officeDocument/2006/relationships/hyperlink" Target="https://login.consultant.ru/link/?req=doc&amp;base=LAW&amp;n=471078" TargetMode="External"/><Relationship Id="rId22" Type="http://schemas.openxmlformats.org/officeDocument/2006/relationships/hyperlink" Target="https://mintrud.gov.ru/testing/default/index" TargetMode="External"/><Relationship Id="rId23" Type="http://schemas.openxmlformats.org/officeDocument/2006/relationships/hyperlink" Target="mailto:petrovskaya.mv@rpn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103</cp:revision>
  <dcterms:created xsi:type="dcterms:W3CDTF">2022-08-15T05:13:00Z</dcterms:created>
  <dcterms:modified xsi:type="dcterms:W3CDTF">2025-10-06T04:50:36Z</dcterms:modified>
  <cp:version>1048576</cp:version>
</cp:coreProperties>
</file>