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"ИНТЕР РАО-ЭЛЕКТРОГЕНЕРАЦИЯ"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 xml:space="preserve">119435, ГОРОД МОСКВА, БОЛЬШАЯ ПИРОГОВСКАЯ УЛИЦА, Д.27, СТР.1. 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1117746460358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7704784450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35.11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электроэнергии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40-0178-003462-П, Территория филиала «Северо-Западная ТЭЦ им. А.Г. Бориса» АО «Интер РАО – Электрогенерация».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72db0973843e83dd5ac0212f0d812442addba320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Гуменюк Петр Петрович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АО "ПФ "СКБ Контур"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7 марта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7 марта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16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147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760E0-F8A3-4CCD-A8AF-C3AC55A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FE8D-DF5E-4BA5-A75E-CD4D17B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2024-08-20T06:26:00Z</dcterms:created>
  <dcterms:modified xsi:type="dcterms:W3CDTF">2024-08-20T06:26:00Z</dcterms:modified>
</cp:coreProperties>
</file>