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02.06.2026 N 675</w:t>
              <w:br/>
              <w:t xml:space="preserve">"О лицензировании деятельности по сбору, транспортированию, обработке, утилизации, обезвреживанию, размещению отходов I - IV классов опасности"</w:t>
              <w:br/>
              <w:t xml:space="preserve">(вместе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2026 г. N 675</w:t>
      </w:r>
    </w:p>
    <w:p>
      <w:pPr>
        <w:pStyle w:val="2"/>
        <w:jc w:val="center"/>
      </w:pPr>
      <w:r>
        <w:rPr>
          <w:sz w:val="24"/>
        </w:rPr>
      </w:r>
    </w:p>
    <w:p>
      <w:pPr>
        <w:pStyle w:val="2"/>
        <w:jc w:val="center"/>
      </w:pPr>
      <w:r>
        <w:rPr>
          <w:sz w:val="24"/>
        </w:rPr>
        <w:t xml:space="preserve">О ЛИЦЕНЗИРОВАНИИ</w:t>
      </w:r>
    </w:p>
    <w:p>
      <w:pPr>
        <w:pStyle w:val="2"/>
        <w:jc w:val="center"/>
      </w:pPr>
      <w:r>
        <w:rPr>
          <w:sz w:val="24"/>
        </w:rPr>
        <w:t xml:space="preserve">ДЕЯТЕЛЬНОСТИ ПО СБОРУ, ТРАНСПОРТИРОВАНИЮ, ОБРАБОТКЕ,</w:t>
      </w:r>
    </w:p>
    <w:p>
      <w:pPr>
        <w:pStyle w:val="2"/>
        <w:jc w:val="center"/>
      </w:pPr>
      <w:r>
        <w:rPr>
          <w:sz w:val="24"/>
        </w:rPr>
        <w:t xml:space="preserve">УТИЛИЗАЦИИ, ОБЕЗВРЕЖИВАНИЮ, РАЗМЕЩЕНИЮ ОТХОДОВ I - IV</w:t>
      </w:r>
    </w:p>
    <w:p>
      <w:pPr>
        <w:pStyle w:val="2"/>
        <w:jc w:val="center"/>
      </w:pPr>
      <w:r>
        <w:rPr>
          <w:sz w:val="24"/>
        </w:rPr>
        <w:t xml:space="preserve">КЛАССОВ ОПАСНОСТИ</w:t>
      </w:r>
    </w:p>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лицензировании отдельных видов деятельности" 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4" w:tooltip="ПОЛОЖЕНИЕ">
        <w:r>
          <w:rPr>
            <w:sz w:val="24"/>
            <w:color w:val="0000ff"/>
          </w:rPr>
          <w:t xml:space="preserve">Положение</w:t>
        </w:r>
      </w:hyperlink>
      <w:r>
        <w:rPr>
          <w:sz w:val="24"/>
        </w:rPr>
        <w:t xml:space="preserve"> о лицензировании деятельности по сбору, транспортированию,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26 декабря 2020 г. N 2290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2021, N 1, ст. 149);</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28 февраля 2022 г. N 271 "О внесении изменений в постановление Правительства Российской Федерации от 26 декабря 2020 г. N 2290" (Собрание законодательства Российской Федерации, 2022, N 10, ст. 1525);</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13 апреля 2022 г. N 648 "О внесении изменений в Положение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2022, N 16, ст. 2688);</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23 мая 2024 г. N 651 "О внесении изменений в постановление Правительства Российской Федерации от 26 декабря 2020 г. N 2290" (Собрание законодательства Российской Федерации, 2024, N 22, ст. 2973).</w:t>
      </w:r>
    </w:p>
    <w:p>
      <w:pPr>
        <w:pStyle w:val="0"/>
        <w:spacing w:before="240" w:lineRule="auto"/>
        <w:ind w:firstLine="540"/>
        <w:jc w:val="both"/>
      </w:pPr>
      <w:r>
        <w:rPr>
          <w:sz w:val="24"/>
        </w:rPr>
        <w:t xml:space="preserve">3. Настоящее постановление вступает в силу с 1 сентября 2026 г.</w:t>
      </w:r>
    </w:p>
    <w:p>
      <w:pPr>
        <w:pStyle w:val="0"/>
        <w:spacing w:before="240" w:lineRule="auto"/>
        <w:ind w:firstLine="540"/>
        <w:jc w:val="both"/>
      </w:pPr>
      <w:r>
        <w:rPr>
          <w:sz w:val="24"/>
        </w:rPr>
        <w:t xml:space="preserve">4. </w:t>
      </w:r>
      <w:hyperlink w:history="0" w:anchor="P34" w:tooltip="ПОЛОЖЕНИЕ">
        <w:r>
          <w:rPr>
            <w:sz w:val="24"/>
            <w:color w:val="0000ff"/>
          </w:rPr>
          <w:t xml:space="preserve">Положение</w:t>
        </w:r>
      </w:hyperlink>
      <w:r>
        <w:rPr>
          <w:sz w:val="24"/>
        </w:rPr>
        <w:t xml:space="preserve">, утвержденное настоящим постановлением, действует до 1 сентября 2032 г.</w:t>
      </w:r>
    </w:p>
    <w:p>
      <w:pPr>
        <w:pStyle w:val="0"/>
        <w:jc w:val="center"/>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 июня 2026 г. N 675</w:t>
      </w:r>
    </w:p>
    <w:p>
      <w:pPr>
        <w:pStyle w:val="0"/>
        <w:jc w:val="center"/>
      </w:pPr>
      <w:r>
        <w:rPr>
          <w:sz w:val="24"/>
        </w:rPr>
      </w:r>
    </w:p>
    <w:bookmarkStart w:id="34" w:name="P34"/>
    <w:bookmarkEnd w:id="34"/>
    <w:p>
      <w:pPr>
        <w:pStyle w:val="2"/>
        <w:jc w:val="center"/>
      </w:pPr>
      <w:r>
        <w:rPr>
          <w:sz w:val="24"/>
        </w:rPr>
        <w:t xml:space="preserve">ПОЛОЖЕНИЕ</w:t>
      </w:r>
    </w:p>
    <w:p>
      <w:pPr>
        <w:pStyle w:val="2"/>
        <w:jc w:val="center"/>
      </w:pPr>
      <w:r>
        <w:rPr>
          <w:sz w:val="24"/>
        </w:rPr>
        <w:t xml:space="preserve">О ЛИЦЕНЗИРОВАНИИ ДЕЯТЕЛЬНОСТИ ПО СБОРУ, ТРАНСПОРТИРОВАНИЮ,</w:t>
      </w:r>
    </w:p>
    <w:p>
      <w:pPr>
        <w:pStyle w:val="2"/>
        <w:jc w:val="center"/>
      </w:pPr>
      <w:r>
        <w:rPr>
          <w:sz w:val="24"/>
        </w:rPr>
        <w:t xml:space="preserve">ОБРАБОТКЕ, УТИЛИЗАЦИИ, ОБЕЗВРЕЖИВАНИЮ, РАЗМЕЩЕНИЮ ОТХОДОВ</w:t>
      </w:r>
    </w:p>
    <w:p>
      <w:pPr>
        <w:pStyle w:val="2"/>
        <w:jc w:val="center"/>
      </w:pPr>
      <w:r>
        <w:rPr>
          <w:sz w:val="24"/>
        </w:rPr>
        <w:t xml:space="preserve">I - IV КЛАССОВ ОПАСНОСТИ</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лицензирования деятельности по сбору, транспортированию, обработке, утилизации, обезвреживанию и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осуществляемой юридическими лицами и индивидуальными предпринимателями (далее соответственно - деятельность в области обращения с отходами, отходы).</w:t>
      </w:r>
    </w:p>
    <w:p>
      <w:pPr>
        <w:pStyle w:val="0"/>
        <w:spacing w:before="240" w:lineRule="auto"/>
        <w:ind w:firstLine="540"/>
        <w:jc w:val="both"/>
      </w:pPr>
      <w:r>
        <w:rPr>
          <w:sz w:val="24"/>
        </w:rPr>
        <w:t xml:space="preserve">Деятельность в области обращения с отходами составляют работы, услуги по </w:t>
      </w:r>
      <w:hyperlink w:history="0" w:anchor="P214" w:tooltip="ПЕРЕЧЕНЬ">
        <w:r>
          <w:rPr>
            <w:sz w:val="24"/>
            <w:color w:val="0000ff"/>
          </w:rPr>
          <w:t xml:space="preserve">перечню</w:t>
        </w:r>
      </w:hyperlink>
      <w:r>
        <w:rPr>
          <w:sz w:val="24"/>
        </w:rPr>
        <w:t xml:space="preserve"> согласно приложению.</w:t>
      </w:r>
    </w:p>
    <w:p>
      <w:pPr>
        <w:pStyle w:val="0"/>
        <w:spacing w:before="240" w:lineRule="auto"/>
        <w:ind w:firstLine="540"/>
        <w:jc w:val="both"/>
      </w:pPr>
      <w:r>
        <w:rPr>
          <w:sz w:val="24"/>
        </w:rPr>
        <w:t xml:space="preserve">2. Лицензирование деятельности в области обращения с отходами </w:t>
      </w:r>
      <w:r>
        <w:rPr>
          <w:sz w:val="24"/>
        </w:rPr>
        <w:t xml:space="preserve">осуществляется</w:t>
      </w:r>
      <w:r>
        <w:rPr>
          <w:sz w:val="24"/>
        </w:rPr>
        <w:t xml:space="preserve"> Федеральной службой по надзору в сфере природопользования и ее территориальными органами (далее - лицензирующий орган).</w:t>
      </w:r>
    </w:p>
    <w:bookmarkStart w:id="42" w:name="P42"/>
    <w:bookmarkEnd w:id="42"/>
    <w:p>
      <w:pPr>
        <w:pStyle w:val="0"/>
        <w:spacing w:before="240" w:lineRule="auto"/>
        <w:ind w:firstLine="540"/>
        <w:jc w:val="both"/>
      </w:pPr>
      <w:r>
        <w:rPr>
          <w:sz w:val="24"/>
        </w:rPr>
        <w:t xml:space="preserve">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сбору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дополнительного профессионального образования, необходимых для выполнения работ по сбору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сбору отходов;</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наличие и соответствие транспортных средств, принадлежащих соискателю лицензии (лицензиату) на праве собственности или ином законном основании, необходимых (используемых) для оказания услуг по транспортированию отходов, требованиям </w:t>
      </w:r>
      <w:r>
        <w:rPr>
          <w:sz w:val="24"/>
        </w:rPr>
        <w:t xml:space="preserve">статьи 16</w:t>
      </w:r>
      <w:r>
        <w:rPr>
          <w:sz w:val="24"/>
        </w:rPr>
        <w:t xml:space="preserve"> Федерального закона "Об отходах производства и потребления",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оказания услуг по транспортированию отходов;</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обработке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обработке отходов оборудования и (или) специализированных установок (в том числе мобильных) (далее - оборудование),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обработке отходов;</w:t>
      </w:r>
    </w:p>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утилизации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необходимого для выполнения работ по утилизации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а также использование лицензиатом объекта утилизации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утилизации отходов;</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обезвреживанию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необходимого для выполнения работ по обезвреживанию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осуществлении обезвреживания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обезвреживанию отходов;</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наличие необходимых для выполнения работ по размещению отходов зданий, строений, сооружений и помещений, принадлежащих соискателю лицензии (лицензиату) на праве собственности или ином законном основании и соответствующих требованиям:</w:t>
      </w:r>
    </w:p>
    <w:p>
      <w:pPr>
        <w:pStyle w:val="0"/>
        <w:spacing w:before="240" w:lineRule="auto"/>
        <w:ind w:firstLine="540"/>
        <w:jc w:val="both"/>
      </w:pPr>
      <w:r>
        <w:rPr>
          <w:sz w:val="24"/>
        </w:rPr>
        <w:t xml:space="preserve">пункта 1</w:t>
      </w:r>
      <w:r>
        <w:rPr>
          <w:sz w:val="24"/>
        </w:rPr>
        <w:t xml:space="preserve"> и </w:t>
      </w:r>
      <w:r>
        <w:rPr>
          <w:sz w:val="24"/>
        </w:rPr>
        <w:t xml:space="preserve">абзацев второго</w:t>
      </w:r>
      <w:r>
        <w:rPr>
          <w:sz w:val="24"/>
        </w:rPr>
        <w:t xml:space="preserve"> и </w:t>
      </w:r>
      <w:r>
        <w:rPr>
          <w:sz w:val="24"/>
        </w:rPr>
        <w:t xml:space="preserve">пятого пункта 2 статьи 11</w:t>
      </w:r>
      <w:r>
        <w:rPr>
          <w:sz w:val="24"/>
        </w:rPr>
        <w:t xml:space="preserve"> и </w:t>
      </w:r>
      <w:r>
        <w:rPr>
          <w:sz w:val="24"/>
        </w:rPr>
        <w:t xml:space="preserve">статьи 12</w:t>
      </w:r>
      <w:r>
        <w:rPr>
          <w:sz w:val="24"/>
        </w:rPr>
        <w:t xml:space="preserve"> Федерального закона "Об отходах производства и потребления" - для соискателя лицензии;</w:t>
      </w:r>
    </w:p>
    <w:p>
      <w:pPr>
        <w:pStyle w:val="0"/>
        <w:spacing w:before="240" w:lineRule="auto"/>
        <w:ind w:firstLine="540"/>
        <w:jc w:val="both"/>
      </w:pP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 - для лицензиата;</w:t>
      </w:r>
    </w:p>
    <w:p>
      <w:pPr>
        <w:pStyle w:val="0"/>
        <w:spacing w:before="240" w:lineRule="auto"/>
        <w:ind w:firstLine="540"/>
        <w:jc w:val="both"/>
      </w:pPr>
      <w:r>
        <w:rPr>
          <w:sz w:val="24"/>
        </w:rPr>
        <w:t xml:space="preserve">наличие у соискателя лицензии (лицензиата) на праве собственности или ином законном основании земельного участка, необходимого для выполнения работ по размещению отходов;</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размещении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размещению отходов.</w:t>
      </w:r>
    </w:p>
    <w:p>
      <w:pPr>
        <w:pStyle w:val="0"/>
        <w:spacing w:before="240" w:lineRule="auto"/>
        <w:ind w:firstLine="540"/>
        <w:jc w:val="both"/>
      </w:pPr>
      <w:r>
        <w:rPr>
          <w:sz w:val="24"/>
        </w:rPr>
        <w:t xml:space="preserve">4. Грубым нарушением лицензионных требований является невыполнение лицензиатом следующих требований, предусмотренных </w:t>
      </w:r>
      <w:hyperlink w:history="0" w:anchor="P42" w:tooltip="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
        <w:r>
          <w:rPr>
            <w:sz w:val="24"/>
            <w:color w:val="0000ff"/>
          </w:rPr>
          <w:t xml:space="preserve">пунктом 3</w:t>
        </w:r>
      </w:hyperlink>
      <w:r>
        <w:rPr>
          <w:sz w:val="24"/>
        </w:rPr>
        <w:t xml:space="preserve"> настоящего Положения, повлекшее за собой последствия, установленные </w:t>
      </w:r>
      <w:r>
        <w:rPr>
          <w:sz w:val="24"/>
        </w:rPr>
        <w:t xml:space="preserve">частью 10 статьи 19.2</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а) отсутствие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с отходами,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б) использование лицензиатом объекта государственной экологической экспертизы при осуществлении деятельности по утилизации, обезвреживанию, размещению отходов с отступлениями от документации,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в) отсутствие у лицензиата специально оборудованных и снабженных специальными знаками транспортных средств, принадлежащих ему на праве собственности или ином законном основании, необходимых для оказания услуг по транспортированию отходов и соответствующих требованиям </w:t>
      </w:r>
      <w:r>
        <w:rPr>
          <w:sz w:val="24"/>
        </w:rPr>
        <w:t xml:space="preserve">статьи 16</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г) отсутствие у лицензиата оборудования, принадлежащего ему на праве собственности или ином законном основании, необходимого для выполнения работ по обработке, утилизации, обезвреживанию отходов, сведения о котором включены в реестр лицензий на осуществление деятельности в области обращения с отходами (далее - реестр лицензий).</w:t>
      </w:r>
    </w:p>
    <w:bookmarkStart w:id="81" w:name="P81"/>
    <w:bookmarkEnd w:id="81"/>
    <w:p>
      <w:pPr>
        <w:pStyle w:val="0"/>
        <w:spacing w:before="240" w:lineRule="auto"/>
        <w:ind w:firstLine="540"/>
        <w:jc w:val="both"/>
      </w:pPr>
      <w:r>
        <w:rPr>
          <w:sz w:val="24"/>
        </w:rPr>
        <w:t xml:space="preserve">5. Для получения лицензии соискатель лицензии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предоставлении лицензии путем заполнения интерактивной формы, в котором указываются:</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сбору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сбору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сбору отходов;</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сведения о транспортных средствах, соответствующих требованиям </w:t>
      </w:r>
      <w:r>
        <w:rPr>
          <w:sz w:val="24"/>
        </w:rPr>
        <w:t xml:space="preserve">статьи 16</w:t>
      </w:r>
      <w:r>
        <w:rPr>
          <w:sz w:val="24"/>
        </w:rPr>
        <w:t xml:space="preserve"> Федерального закона "Об отходах производства и потребления", принадлежащих соискателю лицензии на праве собственности или ином законном основании;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оказания услуг по транспортированию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обработке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обработке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обработке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bookmarkStart w:id="98" w:name="P98"/>
    <w:bookmarkEnd w:id="98"/>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утилизации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утилизации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w:t>
      </w:r>
    </w:p>
    <w:p>
      <w:pPr>
        <w:pStyle w:val="0"/>
        <w:spacing w:before="240" w:lineRule="auto"/>
        <w:ind w:firstLine="540"/>
        <w:jc w:val="both"/>
      </w:pPr>
      <w:r>
        <w:rPr>
          <w:sz w:val="24"/>
        </w:rPr>
        <w:t xml:space="preserve">сведения о коде и наименовании товара (продукции), планируемого к производству лицензиатом с использованием отходов, по Общероссийскому </w:t>
      </w:r>
      <w:r>
        <w:rPr>
          <w:sz w:val="24"/>
        </w:rPr>
        <w:t xml:space="preserve">классификатору</w:t>
      </w:r>
      <w:r>
        <w:rPr>
          <w:sz w:val="24"/>
        </w:rPr>
        <w:t xml:space="preserve"> продукции по видам экономической деятельности;</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утилизации отходов, в том числе ручного инструмента (в случае если его использование предусмотрено технологическим регламентом организации), количество оборудования, производственная мощность по каждому наименованию оборудования, дата ввода в эксплуатацию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обезвреживанию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обезвреживанию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обезвреживании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размещению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lineRule="auto"/>
        <w:ind w:firstLine="540"/>
        <w:jc w:val="both"/>
      </w:pPr>
      <w:r>
        <w:rPr>
          <w:sz w:val="24"/>
        </w:rPr>
        <w:t xml:space="preserve">реквизиты документов о праве собственности или ином законном основании пользования земельным участком, необходимым для выполнения работ по размещению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размещению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w:t>
      </w:r>
    </w:p>
    <w:bookmarkStart w:id="120" w:name="P120"/>
    <w:bookmarkEnd w:id="120"/>
    <w:p>
      <w:pPr>
        <w:pStyle w:val="0"/>
        <w:spacing w:before="240" w:lineRule="auto"/>
        <w:ind w:firstLine="540"/>
        <w:jc w:val="both"/>
      </w:pPr>
      <w:r>
        <w:rPr>
          <w:sz w:val="24"/>
        </w:rPr>
        <w:t xml:space="preserve">6. К заявлению, указанному в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пункте 5</w:t>
        </w:r>
      </w:hyperlink>
      <w:r>
        <w:rPr>
          <w:sz w:val="24"/>
        </w:rPr>
        <w:t xml:space="preserve"> настоящего Положения, соискатель лицензии прилагает в электронном виде:</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соответствующих требованиям </w:t>
      </w:r>
      <w:r>
        <w:rPr>
          <w:sz w:val="24"/>
        </w:rPr>
        <w:t xml:space="preserve">статьи 16</w:t>
      </w:r>
      <w:r>
        <w:rPr>
          <w:sz w:val="24"/>
        </w:rPr>
        <w:t xml:space="preserve"> Федерального закона "Об отходах производства и потребления" транспортных средств, необходимых для выполнения заявленных работ,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bookmarkStart w:id="135" w:name="P135"/>
    <w:bookmarkEnd w:id="135"/>
    <w:p>
      <w:pPr>
        <w:pStyle w:val="0"/>
        <w:spacing w:before="240" w:lineRule="auto"/>
        <w:ind w:firstLine="540"/>
        <w:jc w:val="both"/>
      </w:pPr>
      <w:r>
        <w:rPr>
          <w:sz w:val="24"/>
        </w:rPr>
        <w:t xml:space="preserve">копии технической документации (паспортов) на оборудование;</w:t>
      </w:r>
    </w:p>
    <w:p>
      <w:pPr>
        <w:pStyle w:val="0"/>
        <w:spacing w:before="240" w:lineRule="auto"/>
        <w:ind w:firstLine="540"/>
        <w:jc w:val="both"/>
      </w:pPr>
      <w:r>
        <w:rPr>
          <w:sz w:val="24"/>
        </w:rPr>
        <w:t xml:space="preserve">копию технологического регламента организации, содержащего:</w:t>
      </w:r>
    </w:p>
    <w:p>
      <w:pPr>
        <w:pStyle w:val="0"/>
        <w:spacing w:before="240" w:lineRule="auto"/>
        <w:ind w:firstLine="540"/>
        <w:jc w:val="both"/>
      </w:pPr>
      <w:r>
        <w:rPr>
          <w:sz w:val="24"/>
        </w:rPr>
        <w:t xml:space="preserve">общую схему процесса производства;</w:t>
      </w:r>
    </w:p>
    <w:p>
      <w:pPr>
        <w:pStyle w:val="0"/>
        <w:spacing w:before="240" w:lineRule="auto"/>
        <w:ind w:firstLine="540"/>
        <w:jc w:val="both"/>
      </w:pPr>
      <w:r>
        <w:rPr>
          <w:sz w:val="24"/>
        </w:rPr>
        <w:t xml:space="preserve">описание (характеристику) используемых в производстве отходов, материалов;</w:t>
      </w:r>
    </w:p>
    <w:p>
      <w:pPr>
        <w:pStyle w:val="0"/>
        <w:spacing w:before="240" w:lineRule="auto"/>
        <w:ind w:firstLine="540"/>
        <w:jc w:val="both"/>
      </w:pPr>
      <w:r>
        <w:rPr>
          <w:sz w:val="24"/>
        </w:rPr>
        <w:t xml:space="preserve">характеристику продукции, производимой в результате утилизации отходов, реквизиты документов по стандартизации, в соответствии с которыми произведена продукция, с приложением копий таких документов (за исключением случаев использования государственных стандартов);</w:t>
      </w:r>
    </w:p>
    <w:p>
      <w:pPr>
        <w:pStyle w:val="0"/>
        <w:spacing w:before="240" w:lineRule="auto"/>
        <w:ind w:firstLine="540"/>
        <w:jc w:val="both"/>
      </w:pPr>
      <w:r>
        <w:rPr>
          <w:sz w:val="24"/>
        </w:rPr>
        <w:t xml:space="preserve">сведения о режиме и времени работы оборудования, а также о количестве задействованных в процессе производства сотрудников, в том числе в зависимости от различных режимов работы оборудования;</w:t>
      </w:r>
    </w:p>
    <w:bookmarkStart w:id="141" w:name="P141"/>
    <w:bookmarkEnd w:id="141"/>
    <w:p>
      <w:pPr>
        <w:pStyle w:val="0"/>
        <w:spacing w:before="240" w:lineRule="auto"/>
        <w:ind w:firstLine="540"/>
        <w:jc w:val="both"/>
      </w:pPr>
      <w:r>
        <w:rPr>
          <w:sz w:val="24"/>
        </w:rPr>
        <w:t xml:space="preserve">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w:t>
      </w:r>
    </w:p>
    <w:p>
      <w:pPr>
        <w:pStyle w:val="0"/>
        <w:spacing w:before="240" w:lineRule="auto"/>
        <w:ind w:firstLine="540"/>
        <w:jc w:val="both"/>
      </w:pPr>
      <w:r>
        <w:rPr>
          <w:sz w:val="24"/>
        </w:rPr>
        <w:t xml:space="preserve">Документы, предусмотренные </w:t>
      </w:r>
      <w:hyperlink w:history="0" w:anchor="P135" w:tooltip="копии технической документации (паспортов) на оборудование;">
        <w:r>
          <w:rPr>
            <w:sz w:val="24"/>
            <w:color w:val="0000ff"/>
          </w:rPr>
          <w:t xml:space="preserve">абзацами пятым</w:t>
        </w:r>
      </w:hyperlink>
      <w:r>
        <w:rPr>
          <w:sz w:val="24"/>
        </w:rPr>
        <w:t xml:space="preserve"> - </w:t>
      </w:r>
      <w:hyperlink w:history="0" w:anchor="P141" w:tooltip="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
        <w:r>
          <w:rPr>
            <w:sz w:val="24"/>
            <w:color w:val="0000ff"/>
          </w:rPr>
          <w:t xml:space="preserve">одиннадцатым</w:t>
        </w:r>
      </w:hyperlink>
      <w:r>
        <w:rPr>
          <w:sz w:val="24"/>
        </w:rPr>
        <w:t xml:space="preserve"> настоящего подпункта, прилагаются в случае, если планируется осуществление деятельности по утилизации отходов от использования товаров;</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копии документов о праве собственности или об ином законном основании пользования земельным участком, необходимым для осуществления лицензируемого вида деятельности, права на который не зарегистрированы в Едином государственном реестре недвижимости.</w:t>
      </w:r>
    </w:p>
    <w:bookmarkStart w:id="151" w:name="P151"/>
    <w:bookmarkEnd w:id="151"/>
    <w:p>
      <w:pPr>
        <w:pStyle w:val="0"/>
        <w:spacing w:before="240" w:lineRule="auto"/>
        <w:ind w:firstLine="540"/>
        <w:jc w:val="both"/>
      </w:pPr>
      <w:r>
        <w:rPr>
          <w:sz w:val="24"/>
        </w:rPr>
        <w:t xml:space="preserve">7. В случаях, предусмотренных </w:t>
      </w:r>
      <w:r>
        <w:rPr>
          <w:sz w:val="24"/>
        </w:rPr>
        <w:t xml:space="preserve">пунктами 8</w:t>
      </w:r>
      <w:r>
        <w:rPr>
          <w:sz w:val="24"/>
        </w:rPr>
        <w:t xml:space="preserve">, </w:t>
      </w:r>
      <w:r>
        <w:rPr>
          <w:sz w:val="24"/>
        </w:rPr>
        <w:t xml:space="preserve">9</w:t>
      </w:r>
      <w:r>
        <w:rPr>
          <w:sz w:val="24"/>
        </w:rPr>
        <w:t xml:space="preserve"> и </w:t>
      </w:r>
      <w:r>
        <w:rPr>
          <w:sz w:val="24"/>
        </w:rPr>
        <w:t xml:space="preserve">11 части 1 статьи 18</w:t>
      </w:r>
      <w:r>
        <w:rPr>
          <w:sz w:val="24"/>
        </w:rPr>
        <w:t xml:space="preserve"> Федерального закона "О лицензировании отдельных видов деятельности",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перечня товаров (продукции), производимых с использованием отходов, при осуществлении работ по утилизации отходов, лицензиат (его правопреемник или иное предусмотренное федеральным законом лицо)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внесении изменений в реестр лицензий на осуществление деятельности в области обращения с отходами (далее - заявление о внесении изменений в реестр лицензий) путем заполнения интерактивной формы.</w:t>
      </w:r>
    </w:p>
    <w:p>
      <w:pPr>
        <w:pStyle w:val="0"/>
        <w:spacing w:before="240" w:lineRule="auto"/>
        <w:ind w:firstLine="540"/>
        <w:jc w:val="both"/>
      </w:pPr>
      <w:r>
        <w:rPr>
          <w:sz w:val="24"/>
        </w:rPr>
        <w:t xml:space="preserve">В такое заявление включаются реквизиты лицензии, в которую вносятся изменения, основания внесения изменений в реестр лицензий, новые места осуществления лицензируемого вида деятельности, места, по которым прекращена такая деятельность, сведения о новых работах, услугах в области обращения с отходами, которые лицензиат намерен выполнять (виды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о работах, выполнение которых лицензиатом прекращается, сведения об изменении количества и (или) производственной мощности по каждому наименованию оборудования, используемого для осуществления работ по обработке, утилизации, обезвреживанию отходов, сведения об изменении перечня товаров (продукции), производимых (планируемых к производству) с использованием отходов при осуществлении работ по утилизации отходов.</w:t>
      </w:r>
    </w:p>
    <w:p>
      <w:pPr>
        <w:pStyle w:val="0"/>
        <w:spacing w:before="240" w:lineRule="auto"/>
        <w:ind w:firstLine="540"/>
        <w:jc w:val="both"/>
      </w:pPr>
      <w:r>
        <w:rPr>
          <w:sz w:val="24"/>
        </w:rPr>
        <w:t xml:space="preserve">В заявление о внесении изменений в реестр лицензий лицензиат включает сведения, представление которых предусмотрено для соответствующего вида работ, услуг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При этом сведения и документы, представленные ранее в составе сведений и документов при предоставлении лицензии, повторно не представляются, если такие сведения и документы актуальны и в них отсутствуют изменения. Об отсутствии изменений в сведениях и документах, представленных лицензиатом ранее, лицензиат указывает в заявлении о внесении изменений в реестр лицензий.</w:t>
      </w:r>
    </w:p>
    <w:bookmarkStart w:id="155" w:name="P155"/>
    <w:bookmarkEnd w:id="155"/>
    <w:p>
      <w:pPr>
        <w:pStyle w:val="0"/>
        <w:spacing w:before="240" w:lineRule="auto"/>
        <w:ind w:firstLine="540"/>
        <w:jc w:val="both"/>
      </w:pPr>
      <w:r>
        <w:rPr>
          <w:sz w:val="24"/>
        </w:rPr>
        <w:t xml:space="preserve">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w:t>
      </w:r>
    </w:p>
    <w:p>
      <w:pPr>
        <w:pStyle w:val="0"/>
        <w:spacing w:before="240" w:lineRule="auto"/>
        <w:ind w:firstLine="540"/>
        <w:jc w:val="both"/>
      </w:pPr>
      <w:r>
        <w:rPr>
          <w:sz w:val="24"/>
        </w:rPr>
        <w:t xml:space="preserve">В случае осуществления юридическим лицом или индивидуальным предпринимателем деятельности по обработке, обезвреживанию отходов сведения о принадлежащем лицензиату на праве собственности или ином законном основании оборудовании, используемом для осуществления работ по обработке, обезвреживанию отходов, его количестве и производственной мощности по каждому наименованию оборудования вносятся в реестр лицензий.</w:t>
      </w:r>
    </w:p>
    <w:bookmarkStart w:id="157" w:name="P157"/>
    <w:bookmarkEnd w:id="157"/>
    <w:p>
      <w:pPr>
        <w:pStyle w:val="0"/>
        <w:spacing w:before="240" w:lineRule="auto"/>
        <w:ind w:firstLine="540"/>
        <w:jc w:val="both"/>
      </w:pPr>
      <w:r>
        <w:rPr>
          <w:sz w:val="24"/>
        </w:rPr>
        <w:t xml:space="preserve">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w:t>
      </w:r>
    </w:p>
    <w:bookmarkStart w:id="158" w:name="P158"/>
    <w:bookmarkEnd w:id="158"/>
    <w:p>
      <w:pPr>
        <w:pStyle w:val="0"/>
        <w:spacing w:before="240" w:lineRule="auto"/>
        <w:ind w:firstLine="540"/>
        <w:jc w:val="both"/>
      </w:pPr>
      <w:r>
        <w:rPr>
          <w:sz w:val="24"/>
        </w:rPr>
        <w:t xml:space="preserve">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pPr>
        <w:pStyle w:val="0"/>
        <w:spacing w:before="240" w:lineRule="auto"/>
        <w:ind w:firstLine="540"/>
        <w:jc w:val="both"/>
      </w:pPr>
      <w:r>
        <w:rPr>
          <w:sz w:val="24"/>
        </w:rPr>
        <w:t xml:space="preserve">В случаях, указанных в </w:t>
      </w:r>
      <w:hyperlink w:history="0" w:anchor="P157" w:tooltip="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
        <w:r>
          <w:rPr>
            <w:sz w:val="24"/>
            <w:color w:val="0000ff"/>
          </w:rPr>
          <w:t xml:space="preserve">абзацах первом</w:t>
        </w:r>
      </w:hyperlink>
      <w:r>
        <w:rPr>
          <w:sz w:val="24"/>
        </w:rPr>
        <w:t xml:space="preserve"> и </w:t>
      </w:r>
      <w:hyperlink w:history="0" w:anchor="P158" w:tooltip="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
        <w:r>
          <w:rPr>
            <w:sz w:val="24"/>
            <w:color w:val="0000ff"/>
          </w:rPr>
          <w:t xml:space="preserve">втором</w:t>
        </w:r>
      </w:hyperlink>
      <w:r>
        <w:rPr>
          <w:sz w:val="24"/>
        </w:rPr>
        <w:t xml:space="preserve"> настоящего пункта, лицензиат представляет в лицензирующий орган заявление о внесении изменений в реестр лицензий в течение 20 рабочих дней со дня изменения перечня товаров (продукции), производимых лицензиатом с использованием отходов, и (или) производственной мощности оборудования в порядке, предусмотренном </w:t>
      </w:r>
      <w:hyperlink w:history="0" w:anchor="P151" w:tooltip="7. В случаях, предусмотренных пунктами 8, 9 и 11 части 1 статьи 18 Федерального закона &quot;О лицензировании отдельных видов деятельности&quot;,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
        <w:r>
          <w:rPr>
            <w:sz w:val="24"/>
            <w:color w:val="0000ff"/>
          </w:rPr>
          <w:t xml:space="preserve">пунктом 7</w:t>
        </w:r>
      </w:hyperlink>
      <w:r>
        <w:rPr>
          <w:sz w:val="24"/>
        </w:rPr>
        <w:t xml:space="preserve"> настоящего Положения.</w:t>
      </w:r>
    </w:p>
    <w:p>
      <w:pPr>
        <w:pStyle w:val="0"/>
        <w:spacing w:before="240" w:lineRule="auto"/>
        <w:ind w:firstLine="540"/>
        <w:jc w:val="both"/>
      </w:pPr>
      <w:r>
        <w:rPr>
          <w:sz w:val="24"/>
        </w:rPr>
        <w:t xml:space="preserve">10. Осуществление деятельности по транспортированию отходов не по адресу осуществления лицензионного вида деятельности, указанному в реестре лицензий, не требует внесения изменений в реестр лицензий.</w:t>
      </w:r>
    </w:p>
    <w:p>
      <w:pPr>
        <w:pStyle w:val="0"/>
        <w:spacing w:before="240" w:lineRule="auto"/>
        <w:ind w:firstLine="540"/>
        <w:jc w:val="both"/>
      </w:pPr>
      <w:r>
        <w:rPr>
          <w:sz w:val="24"/>
        </w:rPr>
        <w:t xml:space="preserve">11. При проведении оценки соответствия соискателя лицензии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r>
        <w:rPr>
          <w:sz w:val="24"/>
        </w:rPr>
        <w:t xml:space="preserve">законом</w:t>
      </w:r>
      <w:r>
        <w:rPr>
          <w:sz w:val="24"/>
        </w:rPr>
        <w:t xml:space="preserve"> "Об организации предоставления государственных и муниципальных услуг".</w:t>
      </w:r>
    </w:p>
    <w:p>
      <w:pPr>
        <w:pStyle w:val="0"/>
        <w:spacing w:before="240" w:lineRule="auto"/>
        <w:ind w:firstLine="540"/>
        <w:jc w:val="both"/>
      </w:pPr>
      <w:r>
        <w:rPr>
          <w:sz w:val="24"/>
        </w:rPr>
        <w:t xml:space="preserve">12. 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сведения об аннулировании лицензии, а также о соответствии лицензиата лицензионным требованиям или 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13. Информация о лицензиях на виды работ согласно </w:t>
      </w:r>
      <w:hyperlink w:history="0" w:anchor="P214" w:tooltip="ПЕРЕЧЕНЬ">
        <w:r>
          <w:rPr>
            <w:sz w:val="24"/>
            <w:color w:val="0000ff"/>
          </w:rPr>
          <w:t xml:space="preserve">приложению</w:t>
        </w:r>
      </w:hyperlink>
      <w:r>
        <w:rPr>
          <w:sz w:val="24"/>
        </w:rPr>
        <w:t xml:space="preserve"> в порядке, установленном </w:t>
      </w:r>
      <w:r>
        <w:rPr>
          <w:sz w:val="24"/>
        </w:rPr>
        <w:t xml:space="preserve">статьей 21</w:t>
      </w:r>
      <w:r>
        <w:rPr>
          <w:sz w:val="24"/>
        </w:rPr>
        <w:t xml:space="preserve"> Федерального закона "О лицензировании отдельных видов деятельности", размещается в реестре лицензий.</w:t>
      </w:r>
    </w:p>
    <w:p>
      <w:pPr>
        <w:pStyle w:val="0"/>
        <w:spacing w:before="240" w:lineRule="auto"/>
        <w:ind w:firstLine="540"/>
        <w:jc w:val="both"/>
      </w:pPr>
      <w:r>
        <w:rPr>
          <w:sz w:val="24"/>
        </w:rPr>
        <w:t xml:space="preserve">14. Представление соискателем лицензии заявления о предоставлении лицензии и документов, необходимых для получения лицензии, их прием лицензирующим органом, принятие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и прекращении действия лицензии, формирование и ведение лицензионного дела и реестра лицензий, а также предоставление содержащихся в них сведений осуществляются в соответствии с </w:t>
      </w:r>
      <w:hyperlink w:history="0" w:anchor="P193"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r>
          <w:rPr>
            <w:sz w:val="24"/>
            <w:color w:val="0000ff"/>
          </w:rPr>
          <w:t xml:space="preserve">пунктом 26</w:t>
        </w:r>
      </w:hyperlink>
      <w:r>
        <w:rPr>
          <w:sz w:val="24"/>
        </w:rPr>
        <w:t xml:space="preserve"> настоящего Положения и Федеральным </w:t>
      </w:r>
      <w:r>
        <w:rPr>
          <w:sz w:val="24"/>
        </w:rPr>
        <w:t xml:space="preserve">законом</w:t>
      </w:r>
      <w:r>
        <w:rPr>
          <w:sz w:val="24"/>
        </w:rPr>
        <w:t xml:space="preserve"> "О лицензировании отдельных видов деятельности".</w:t>
      </w:r>
    </w:p>
    <w:p>
      <w:pPr>
        <w:pStyle w:val="0"/>
        <w:spacing w:before="240" w:lineRule="auto"/>
        <w:ind w:firstLine="540"/>
        <w:jc w:val="both"/>
      </w:pPr>
      <w:r>
        <w:rPr>
          <w:sz w:val="24"/>
        </w:rPr>
        <w:t xml:space="preserve">15. Оценка соответствия соискателя лицензии или лицензиата лицензионным требованиям в соответствии со </w:t>
      </w:r>
      <w:r>
        <w:rPr>
          <w:sz w:val="24"/>
        </w:rPr>
        <w:t xml:space="preserve">статьей 19.1</w:t>
      </w:r>
      <w:r>
        <w:rPr>
          <w:sz w:val="24"/>
        </w:rPr>
        <w:t xml:space="preserve"> Федерального закона "О лицензировании отдельных видов деятельности" проводится в форме документарной оценки и (или) выездной оценки по решению лицензирующего органа, а в случаях, предусмотренных </w:t>
      </w:r>
      <w:hyperlink w:history="0" w:anchor="P98" w:tooltip="г) для работ по утилизации отходов:">
        <w:r>
          <w:rPr>
            <w:sz w:val="24"/>
            <w:color w:val="0000ff"/>
          </w:rPr>
          <w:t xml:space="preserve">подпунктом "г" пункта 5</w:t>
        </w:r>
      </w:hyperlink>
      <w:r>
        <w:rPr>
          <w:sz w:val="24"/>
        </w:rPr>
        <w:t xml:space="preserve"> и </w:t>
      </w:r>
      <w:hyperlink w:history="0" w:anchor="P155" w:tooltip="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
        <w:r>
          <w:rPr>
            <w:sz w:val="24"/>
            <w:color w:val="0000ff"/>
          </w:rPr>
          <w:t xml:space="preserve">абзацем первым пункта 8</w:t>
        </w:r>
      </w:hyperlink>
      <w:r>
        <w:rPr>
          <w:sz w:val="24"/>
        </w:rPr>
        <w:t xml:space="preserve"> (в части работ по утилизации отходов) настоящего Положения, проводится в обязательном порядке в форме документарной оценки и выездной оценки.</w:t>
      </w:r>
    </w:p>
    <w:p>
      <w:pPr>
        <w:pStyle w:val="0"/>
        <w:spacing w:before="240" w:lineRule="auto"/>
        <w:ind w:firstLine="540"/>
        <w:jc w:val="both"/>
      </w:pPr>
      <w:r>
        <w:rPr>
          <w:sz w:val="24"/>
        </w:rPr>
        <w:t xml:space="preserve">Документарная оценка проводится в отношении каждого соискателя лицензии или лицензиата при поступлении в лицензирующий орган заявления о предоставлении лицензии или заявления о внесении изменений в реестр лицензий.</w:t>
      </w:r>
    </w:p>
    <w:p>
      <w:pPr>
        <w:pStyle w:val="0"/>
        <w:spacing w:before="240" w:lineRule="auto"/>
        <w:ind w:firstLine="540"/>
        <w:jc w:val="both"/>
      </w:pPr>
      <w:r>
        <w:rPr>
          <w:sz w:val="24"/>
        </w:rPr>
        <w:t xml:space="preserve">Выездная оценка проводится в случаях, когда не представляется возможным по результатам документарной оценки достоверно установить соответствие соискателя лицензии или лицензиата лицензионным требованиям, - в случаях необходимости оценки состояния производственных объектов, технических средств, оборудования и иных объектов, которые предполагается использовать соискателем лицензии или лицензиатом при осуществлении лицензируемого вида деятельности, а также при наличии необходимых для осуществления лицензируемого вида деятельности работников в целях проведения оценки соответствия таких объектов и работников.</w:t>
      </w:r>
    </w:p>
    <w:p>
      <w:pPr>
        <w:pStyle w:val="0"/>
        <w:spacing w:before="240" w:lineRule="auto"/>
        <w:ind w:firstLine="540"/>
        <w:jc w:val="both"/>
      </w:pPr>
      <w:r>
        <w:rPr>
          <w:sz w:val="24"/>
        </w:rPr>
        <w:t xml:space="preserve">О проведении выездной оценки соискатель лицензии, лицензиат уведомляются лицензирующим органом не менее чем за один рабочий день до начала ее проведения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Проведение выездной оценки может осуществляться лицензирующим органом с использованием средств дистанционного взаимодействия, в том числе с использованием мобильного приложения "Инспектор", с соискателем лицензии или лицензиатом - при наличии возможности такого взаимодействия у соискателя лицензии или лицензиата.</w:t>
      </w:r>
    </w:p>
    <w:p>
      <w:pPr>
        <w:pStyle w:val="0"/>
        <w:spacing w:before="240" w:lineRule="auto"/>
        <w:ind w:firstLine="540"/>
        <w:jc w:val="both"/>
      </w:pPr>
      <w:r>
        <w:rPr>
          <w:sz w:val="24"/>
        </w:rPr>
        <w:t xml:space="preserve">Дистанционное взаимодействие может осуществляться при наличии у соискателя лицензии или лицензиата средств передачи информации (IP-адреса устройства), зарегистрированных в установленном порядке на юридическое лицо или индивидуального предпринимателя, направившего заявление о предоставлении лицензии или заявление о внесении изменений в реестр лицензий, и (или) у лица, уполномоченного на передачу информации от имени таких юридических лиц или индивидуальных предпринимателей, на которых зарегистрированы средства передачи информации, на основании доверенности, выданной в установленном порядке.</w:t>
      </w:r>
    </w:p>
    <w:p>
      <w:pPr>
        <w:pStyle w:val="0"/>
        <w:spacing w:before="240" w:lineRule="auto"/>
        <w:ind w:firstLine="540"/>
        <w:jc w:val="both"/>
      </w:pPr>
      <w:r>
        <w:rPr>
          <w:sz w:val="24"/>
        </w:rPr>
        <w:t xml:space="preserve">В случае передачи информации уполномоченным лицом лицензирующему органу направляется также копия доверенности, выданной в установленном порядке, и копия документа, удостоверяющего личность представителя.</w:t>
      </w:r>
    </w:p>
    <w:p>
      <w:pPr>
        <w:pStyle w:val="0"/>
        <w:spacing w:before="240" w:lineRule="auto"/>
        <w:ind w:firstLine="540"/>
        <w:jc w:val="both"/>
      </w:pPr>
      <w:r>
        <w:rPr>
          <w:sz w:val="24"/>
        </w:rPr>
        <w:t xml:space="preserve">Дистанционное взаимодействие может осуществляться также иными способами, позволяющими идентифицировать соискателя лицензии или лицензиата, в том числе путем направления ссылки для проведения видео-конференц-связи в личный кабинет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О проведении выездной оценки с использованием средств дистанционного взаимодействия, в том числе с использованием мобильного приложения "Инспектор", соискатель лицензии, лицензиат указывает в заявлении о предоставлении лицензии, заявлении о внесении изменений в реестр лицензий, заявлении о проведении периодического подтверждения соответствия лицензиата лицензионным требованиям.</w:t>
      </w:r>
    </w:p>
    <w:p>
      <w:pPr>
        <w:pStyle w:val="0"/>
        <w:spacing w:before="240" w:lineRule="auto"/>
        <w:ind w:firstLine="540"/>
        <w:jc w:val="both"/>
      </w:pPr>
      <w:r>
        <w:rPr>
          <w:sz w:val="24"/>
        </w:rPr>
        <w:t xml:space="preserve">Лицензирующий орган вправе отказаться от дистанционного взаимодействия, если соискателем лицензии или лицензиатом, а также уполномоченным им лицом не обеспечена бесперебойная работа средств передачи информации, препятствующая проведению дистанционного взаимодействия.</w:t>
      </w:r>
    </w:p>
    <w:bookmarkStart w:id="175" w:name="P175"/>
    <w:bookmarkEnd w:id="175"/>
    <w:p>
      <w:pPr>
        <w:pStyle w:val="0"/>
        <w:spacing w:before="240" w:lineRule="auto"/>
        <w:ind w:firstLine="540"/>
        <w:jc w:val="both"/>
      </w:pPr>
      <w:r>
        <w:rPr>
          <w:sz w:val="24"/>
        </w:rPr>
        <w:t xml:space="preserve">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w:t>
      </w:r>
      <w:r>
        <w:rPr>
          <w:sz w:val="24"/>
        </w:rPr>
        <w:t xml:space="preserve">частями 3</w:t>
      </w:r>
      <w:r>
        <w:rPr>
          <w:sz w:val="24"/>
        </w:rPr>
        <w:t xml:space="preserve"> - </w:t>
      </w:r>
      <w:r>
        <w:rPr>
          <w:sz w:val="24"/>
        </w:rPr>
        <w:t xml:space="preserve">14 статьи 19.1</w:t>
      </w:r>
      <w:r>
        <w:rPr>
          <w:sz w:val="24"/>
        </w:rPr>
        <w:t xml:space="preserve"> Федерального закона "О лицензировании отдельных видов деятельности", с учетом требований </w:t>
      </w:r>
      <w:r>
        <w:rPr>
          <w:sz w:val="24"/>
        </w:rPr>
        <w:t xml:space="preserve">статьи 19.3</w:t>
      </w:r>
      <w:r>
        <w:rPr>
          <w:sz w:val="24"/>
        </w:rPr>
        <w:t xml:space="preserve"> указанного Федерального закона и настоящего Положения.</w:t>
      </w:r>
    </w:p>
    <w:p>
      <w:pPr>
        <w:pStyle w:val="0"/>
        <w:spacing w:before="240" w:lineRule="auto"/>
        <w:ind w:firstLine="540"/>
        <w:jc w:val="both"/>
      </w:pPr>
      <w:r>
        <w:rPr>
          <w:sz w:val="24"/>
        </w:rPr>
        <w:t xml:space="preserve">Периодическое подтверждение соответствия лицензиата лицензионным требованиям проводится один раз в 3 года.</w:t>
      </w:r>
    </w:p>
    <w:p>
      <w:pPr>
        <w:pStyle w:val="0"/>
        <w:spacing w:before="240" w:lineRule="auto"/>
        <w:ind w:firstLine="540"/>
        <w:jc w:val="both"/>
      </w:pPr>
      <w:r>
        <w:rPr>
          <w:sz w:val="24"/>
        </w:rPr>
        <w:t xml:space="preserve">17. Лицензиат представляет в лицензирующий орган заявление о проведении периодического подтверждения соответствия лицензиата лицензионным требованиям в порядке, предусмотренном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пунктами 5</w:t>
        </w:r>
      </w:hyperlink>
      <w:r>
        <w:rPr>
          <w:sz w:val="24"/>
        </w:rPr>
        <w:t xml:space="preserve"> и </w:t>
      </w:r>
      <w:hyperlink w:history="0" w:anchor="P120" w:tooltip="6. К заявлению, указанному в пункте 5 настоящего Положения, соискатель лицензии прилагает в электронном виде:">
        <w:r>
          <w:rPr>
            <w:sz w:val="24"/>
            <w:color w:val="0000ff"/>
          </w:rPr>
          <w:t xml:space="preserve">6</w:t>
        </w:r>
      </w:hyperlink>
      <w:r>
        <w:rPr>
          <w:sz w:val="24"/>
        </w:rPr>
        <w:t xml:space="preserve"> настоящего Положения, не ранее чем за один год до наступления срока прохождения процедуры периодического подтверждения соответствия лицензиата лицензионным требованиям, указанного в </w:t>
      </w:r>
      <w:hyperlink w:history="0" w:anchor="P175" w:tooltip="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частями 3 - 14 статьи 19.1 Федерального закона &quot;О лицензировании отдельных видов деятельности&quot;, с учетом требований статьи 19.3 указанного Федерального закона и настоящего Положения.">
        <w:r>
          <w:rPr>
            <w:sz w:val="24"/>
            <w:color w:val="0000ff"/>
          </w:rPr>
          <w:t xml:space="preserve">пункте 16</w:t>
        </w:r>
      </w:hyperlink>
      <w:r>
        <w:rPr>
          <w:sz w:val="24"/>
        </w:rPr>
        <w:t xml:space="preserve"> настоящего Положения, а также с учетом положений </w:t>
      </w:r>
      <w:r>
        <w:rPr>
          <w:sz w:val="24"/>
        </w:rPr>
        <w:t xml:space="preserve">части 2 статьи 2</w:t>
      </w:r>
      <w:r>
        <w:rPr>
          <w:sz w:val="24"/>
        </w:rPr>
        <w:t xml:space="preserve"> Федерального закона "О внесении изменения в статью 19.3 Федерального закона "О лицензировании отдельных видов деятельности".</w:t>
      </w:r>
    </w:p>
    <w:p>
      <w:pPr>
        <w:pStyle w:val="0"/>
        <w:spacing w:before="240" w:lineRule="auto"/>
        <w:ind w:firstLine="540"/>
        <w:jc w:val="both"/>
      </w:pPr>
      <w:r>
        <w:rPr>
          <w:sz w:val="24"/>
        </w:rPr>
        <w:t xml:space="preserve">18. По результатам периодического подтверждения соответствия лицензиата лицензионным требованиям лицензирующим органом принимается одно из следующих решений:</w:t>
      </w:r>
    </w:p>
    <w:p>
      <w:pPr>
        <w:pStyle w:val="0"/>
        <w:spacing w:before="240" w:lineRule="auto"/>
        <w:ind w:firstLine="540"/>
        <w:jc w:val="both"/>
      </w:pPr>
      <w:r>
        <w:rPr>
          <w:sz w:val="24"/>
        </w:rPr>
        <w:t xml:space="preserve">о соответствии лицензиата лицензионным требованиям;</w:t>
      </w:r>
    </w:p>
    <w:bookmarkStart w:id="180" w:name="P180"/>
    <w:bookmarkEnd w:id="180"/>
    <w:p>
      <w:pPr>
        <w:pStyle w:val="0"/>
        <w:spacing w:before="240" w:lineRule="auto"/>
        <w:ind w:firstLine="540"/>
        <w:jc w:val="both"/>
      </w:pPr>
      <w:r>
        <w:rPr>
          <w:sz w:val="24"/>
        </w:rPr>
        <w:t xml:space="preserve">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19. Срок, порядок устранения лицензиатом нарушений лицензионных требований, порядок оценки лицензирующим органом устранения лицензиатом нарушений лицензионных требований осуществляются в соответствии с требованиями, предусмотренными </w:t>
      </w:r>
      <w:r>
        <w:rPr>
          <w:sz w:val="24"/>
        </w:rPr>
        <w:t xml:space="preserve">частями 10</w:t>
      </w:r>
      <w:r>
        <w:rPr>
          <w:sz w:val="24"/>
        </w:rPr>
        <w:t xml:space="preserve"> - </w:t>
      </w:r>
      <w:r>
        <w:rPr>
          <w:sz w:val="24"/>
        </w:rPr>
        <w:t xml:space="preserve">13 статьи 19.3</w:t>
      </w:r>
      <w:r>
        <w:rPr>
          <w:sz w:val="24"/>
        </w:rPr>
        <w:t xml:space="preserve"> Федерального закона "О лицензировании отдельных видов деятельности", с учетом требований, установленных </w:t>
      </w:r>
      <w:hyperlink w:history="0" w:anchor="P182" w:tooltip="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
        <w:r>
          <w:rPr>
            <w:sz w:val="24"/>
            <w:color w:val="0000ff"/>
          </w:rPr>
          <w:t xml:space="preserve">пунктами 20</w:t>
        </w:r>
      </w:hyperlink>
      <w:r>
        <w:rPr>
          <w:sz w:val="24"/>
        </w:rPr>
        <w:t xml:space="preserve"> и </w:t>
      </w:r>
      <w:hyperlink w:history="0" w:anchor="P183" w:tooltip="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абзацем третьим пункта 18 настоящего Положения.">
        <w:r>
          <w:rPr>
            <w:sz w:val="24"/>
            <w:color w:val="0000ff"/>
          </w:rPr>
          <w:t xml:space="preserve">21</w:t>
        </w:r>
      </w:hyperlink>
      <w:r>
        <w:rPr>
          <w:sz w:val="24"/>
        </w:rPr>
        <w:t xml:space="preserve"> настоящего Положения.</w:t>
      </w:r>
    </w:p>
    <w:bookmarkStart w:id="182" w:name="P182"/>
    <w:bookmarkEnd w:id="182"/>
    <w:p>
      <w:pPr>
        <w:pStyle w:val="0"/>
        <w:spacing w:before="240" w:lineRule="auto"/>
        <w:ind w:firstLine="540"/>
        <w:jc w:val="both"/>
      </w:pPr>
      <w:r>
        <w:rPr>
          <w:sz w:val="24"/>
        </w:rPr>
        <w:t xml:space="preserve">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w:t>
      </w:r>
    </w:p>
    <w:bookmarkStart w:id="183" w:name="P183"/>
    <w:bookmarkEnd w:id="183"/>
    <w:p>
      <w:pPr>
        <w:pStyle w:val="0"/>
        <w:spacing w:before="240" w:lineRule="auto"/>
        <w:ind w:firstLine="540"/>
        <w:jc w:val="both"/>
      </w:pPr>
      <w:r>
        <w:rPr>
          <w:sz w:val="24"/>
        </w:rPr>
        <w:t xml:space="preserve">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w:t>
      </w:r>
      <w:hyperlink w:history="0" w:anchor="P180" w:tooltip="о направлении лицензиату перечня выявленных нарушений лицензионных требований с указанием срока их устранения.">
        <w:r>
          <w:rPr>
            <w:sz w:val="24"/>
            <w:color w:val="0000ff"/>
          </w:rPr>
          <w:t xml:space="preserve">абзацем третьим пункта 18</w:t>
        </w:r>
      </w:hyperlink>
      <w:r>
        <w:rPr>
          <w:sz w:val="24"/>
        </w:rPr>
        <w:t xml:space="preserve"> настоящего Положения.</w:t>
      </w:r>
    </w:p>
    <w:p>
      <w:pPr>
        <w:pStyle w:val="0"/>
        <w:spacing w:before="240" w:lineRule="auto"/>
        <w:ind w:firstLine="540"/>
        <w:jc w:val="both"/>
      </w:pPr>
      <w:r>
        <w:rPr>
          <w:sz w:val="24"/>
        </w:rPr>
        <w:t xml:space="preserve">22. Действие лицензии приостанавливается лицензирующим органом в порядке, предусмотренном </w:t>
      </w:r>
      <w:r>
        <w:rPr>
          <w:sz w:val="24"/>
        </w:rPr>
        <w:t xml:space="preserve">частями 1</w:t>
      </w:r>
      <w:r>
        <w:rPr>
          <w:sz w:val="24"/>
        </w:rPr>
        <w:t xml:space="preserve"> - </w:t>
      </w:r>
      <w:r>
        <w:rPr>
          <w:sz w:val="24"/>
        </w:rPr>
        <w:t xml:space="preserve">4 статьи 20</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23. В случае приостановления действия лицензии по основаниям, предусмотренным </w:t>
      </w:r>
      <w:r>
        <w:rPr>
          <w:sz w:val="24"/>
        </w:rPr>
        <w:t xml:space="preserve">пунктами 4</w:t>
      </w:r>
      <w:r>
        <w:rPr>
          <w:sz w:val="24"/>
        </w:rPr>
        <w:t xml:space="preserve"> и </w:t>
      </w:r>
      <w:r>
        <w:rPr>
          <w:sz w:val="24"/>
        </w:rPr>
        <w:t xml:space="preserve">6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уведомление об устранении выявленных грубых нарушений.</w:t>
      </w:r>
    </w:p>
    <w:p>
      <w:pPr>
        <w:pStyle w:val="0"/>
        <w:spacing w:before="240" w:lineRule="auto"/>
        <w:ind w:firstLine="540"/>
        <w:jc w:val="both"/>
      </w:pPr>
      <w:r>
        <w:rPr>
          <w:sz w:val="24"/>
        </w:rPr>
        <w:t xml:space="preserve">Лицензирующий орган проводит оценку устранения грубых нарушений в срок, не превышающий 10 рабочих дней со дня, следующего за днем получения уведомления об устранении нарушений.</w:t>
      </w:r>
    </w:p>
    <w:p>
      <w:pPr>
        <w:pStyle w:val="0"/>
        <w:spacing w:before="240" w:lineRule="auto"/>
        <w:ind w:firstLine="540"/>
        <w:jc w:val="both"/>
      </w:pPr>
      <w:r>
        <w:rPr>
          <w:sz w:val="24"/>
        </w:rPr>
        <w:t xml:space="preserve">Действие лицензии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spacing w:before="240" w:lineRule="auto"/>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3.2 статьи 20</w:t>
      </w:r>
      <w:r>
        <w:rPr>
          <w:sz w:val="24"/>
        </w:rPr>
        <w:t xml:space="preserve"> Федерального закона "О лицензировании отдельных видов деятельности", лицензиатом не устранены грубые нарушения, лицензирующий орган обязан обратиться в суд с заявлением об аннулировании лицензии.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spacing w:before="240" w:lineRule="auto"/>
        <w:ind w:firstLine="540"/>
        <w:jc w:val="both"/>
      </w:pPr>
      <w:r>
        <w:rPr>
          <w:sz w:val="24"/>
        </w:rPr>
        <w:t xml:space="preserve">24. В случае приостановления действия лицензии по основаниям, предусмотренным </w:t>
      </w:r>
      <w:r>
        <w:rPr>
          <w:sz w:val="24"/>
        </w:rPr>
        <w:t xml:space="preserve">пунктом 5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в рамках ранее поданного заявления о проведении периодического подтверждения соответствия лицензиата лицензионным требованиям информацию об устранении выявленных нарушений.</w:t>
      </w:r>
    </w:p>
    <w:p>
      <w:pPr>
        <w:pStyle w:val="0"/>
        <w:spacing w:before="240" w:lineRule="auto"/>
        <w:ind w:firstLine="540"/>
        <w:jc w:val="both"/>
      </w:pPr>
      <w:r>
        <w:rPr>
          <w:sz w:val="24"/>
        </w:rPr>
        <w:t xml:space="preserve">В случае устранения выявленных нарушений лицензирующий орган проводит процедуру периодического подтверждения соответствия лицензиата лицензионным требованиям в порядке, предусмотренном </w:t>
      </w:r>
      <w:r>
        <w:rPr>
          <w:sz w:val="24"/>
        </w:rPr>
        <w:t xml:space="preserve">статьей 19.3</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3.3 статьи 20</w:t>
      </w:r>
      <w:r>
        <w:rPr>
          <w:sz w:val="24"/>
        </w:rPr>
        <w:t xml:space="preserve"> Федерального закона "О лицензировании отдельных видов деятельности", лицензиатом не устранены выявленные нарушения, лицензирующий орган прекращает действие лицензии на основании требований </w:t>
      </w:r>
      <w:r>
        <w:rPr>
          <w:sz w:val="24"/>
        </w:rPr>
        <w:t xml:space="preserve">пункта 6 части 13 статьи 20</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25. За предоставление лицензии и внесение изменений в реестр лицензий на основании заявления о внесении изменений в реестр лицензий уплачивается государственная пошлина в размерах и порядке, которые установлены законодательством Российской Федерации о налогах и сборах.</w:t>
      </w:r>
    </w:p>
    <w:bookmarkStart w:id="193" w:name="P193"/>
    <w:bookmarkEnd w:id="193"/>
    <w:p>
      <w:pPr>
        <w:pStyle w:val="0"/>
        <w:spacing w:before="240" w:lineRule="auto"/>
        <w:ind w:firstLine="540"/>
        <w:jc w:val="both"/>
      </w:pPr>
      <w:r>
        <w:rPr>
          <w:sz w:val="24"/>
        </w:rPr>
        <w:t xml:space="preserve">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w:t>
      </w:r>
      <w:r>
        <w:rPr>
          <w:sz w:val="24"/>
        </w:rPr>
        <w:t xml:space="preserve">статьей 19.1</w:t>
      </w:r>
      <w:r>
        <w:rPr>
          <w:sz w:val="24"/>
        </w:rPr>
        <w:t xml:space="preserve"> Федерального закона "О лицензировании отдельных видов деятельности", и принимает решение о предоставлении лицензии или об отказе в ее предоставлении, о внесении изменений в реестр лицензий в срок, не превышающий 10 рабочих дней, а в случае отсутствия необходимости выездной оценки - в срок, не превышающий 3 рабочих дней.</w:t>
      </w:r>
    </w:p>
    <w:bookmarkStart w:id="194" w:name="P194"/>
    <w:bookmarkEnd w:id="194"/>
    <w:p>
      <w:pPr>
        <w:pStyle w:val="0"/>
        <w:spacing w:before="240" w:lineRule="auto"/>
        <w:ind w:firstLine="540"/>
        <w:jc w:val="both"/>
      </w:pPr>
      <w:r>
        <w:rPr>
          <w:sz w:val="24"/>
        </w:rPr>
        <w:t xml:space="preserve">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w:t>
      </w:r>
    </w:p>
    <w:p>
      <w:pPr>
        <w:pStyle w:val="0"/>
        <w:spacing w:before="240" w:lineRule="auto"/>
        <w:ind w:firstLine="540"/>
        <w:jc w:val="both"/>
      </w:pPr>
      <w:r>
        <w:rPr>
          <w:sz w:val="24"/>
        </w:rPr>
        <w:t xml:space="preserve">Процедура периодического подтверждения соответствия лицензиата лицензионным требованиям осуществляется в срок, установленный </w:t>
      </w:r>
      <w:hyperlink w:history="0" w:anchor="P193"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r>
          <w:rPr>
            <w:sz w:val="24"/>
            <w:color w:val="0000ff"/>
          </w:rPr>
          <w:t xml:space="preserve">абзацами первым</w:t>
        </w:r>
      </w:hyperlink>
      <w:r>
        <w:rPr>
          <w:sz w:val="24"/>
        </w:rPr>
        <w:t xml:space="preserve"> и </w:t>
      </w:r>
      <w:hyperlink w:history="0" w:anchor="P194" w:tooltip="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
        <w:r>
          <w:rPr>
            <w:sz w:val="24"/>
            <w:color w:val="0000ff"/>
          </w:rPr>
          <w:t xml:space="preserve">вторым</w:t>
        </w:r>
      </w:hyperlink>
      <w:r>
        <w:rPr>
          <w:sz w:val="24"/>
        </w:rPr>
        <w:t xml:space="preserve"> настоящего пункта, и исчисляется со дня приема заявления лицензиата о проведении периодического подтверждения соответствия лицензиата лицензионным требованиям.</w:t>
      </w:r>
    </w:p>
    <w:p>
      <w:pPr>
        <w:pStyle w:val="0"/>
        <w:spacing w:before="240" w:lineRule="auto"/>
        <w:ind w:firstLine="540"/>
        <w:jc w:val="both"/>
      </w:pPr>
      <w:r>
        <w:rPr>
          <w:sz w:val="24"/>
        </w:rPr>
        <w:t xml:space="preserve">Лицензирующий орган принимает решение о прекращении действия лицензии на основании заявления лицензиата о прекращении деятельности в области обращения с отходами в срок, не превышающий 2 рабочих дней.</w:t>
      </w:r>
    </w:p>
    <w:p>
      <w:pPr>
        <w:pStyle w:val="0"/>
        <w:spacing w:before="240" w:lineRule="auto"/>
        <w:ind w:firstLine="540"/>
        <w:jc w:val="both"/>
      </w:pPr>
      <w:r>
        <w:rPr>
          <w:sz w:val="24"/>
        </w:rPr>
        <w:t xml:space="preserve">В случае если лицензиатом в соответствии с </w:t>
      </w:r>
      <w:r>
        <w:rPr>
          <w:sz w:val="24"/>
        </w:rPr>
        <w:t xml:space="preserve">частью 7 статьи 19.3</w:t>
      </w:r>
      <w:r>
        <w:rPr>
          <w:sz w:val="24"/>
        </w:rPr>
        <w:t xml:space="preserve"> Федерального закона "О лицензировании отдельных видов деятельности" заявлено одновременно о проведении оценки соответствия лицензионным требованиям в связи с его намерением выполнять работы, оказывать услуги, составляющие деятельность в области обращения с отходами, сведения о которых не внесены в реестр лицензий, процедура такой оценки осуществляется в те же сроки.</w:t>
      </w:r>
    </w:p>
    <w:p>
      <w:pPr>
        <w:pStyle w:val="0"/>
        <w:spacing w:before="240" w:lineRule="auto"/>
        <w:ind w:firstLine="540"/>
        <w:jc w:val="both"/>
      </w:pPr>
      <w:r>
        <w:rPr>
          <w:sz w:val="24"/>
        </w:rPr>
        <w:t xml:space="preserve">27. Подачу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соискатель лицензии или лицензиат осуществляет в форме электронных документов (комплекта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Идентификация и аутентификация соискателя лицензии или лицензиата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Подписание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"Об электронной подписи".</w:t>
      </w:r>
    </w:p>
    <w:p>
      <w:pPr>
        <w:pStyle w:val="0"/>
        <w:spacing w:before="240" w:lineRule="auto"/>
        <w:ind w:firstLine="540"/>
        <w:jc w:val="both"/>
      </w:pPr>
      <w:r>
        <w:rPr>
          <w:sz w:val="24"/>
        </w:rPr>
        <w:t xml:space="preserve">При подаче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к нему документов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такое заявление и прилагаемые документы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28. При осуществлении деятельности в области обращения с отходами в качестве соискателей лицензии и лицензиатов вправе выступать иностранные юридические лица.</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w:t>
      </w:r>
    </w:p>
    <w:p>
      <w:pPr>
        <w:pStyle w:val="0"/>
        <w:jc w:val="right"/>
      </w:pPr>
      <w:r>
        <w:rPr>
          <w:sz w:val="24"/>
        </w:rPr>
        <w:t xml:space="preserve">к Положению о лицензировании деятельности</w:t>
      </w:r>
    </w:p>
    <w:p>
      <w:pPr>
        <w:pStyle w:val="0"/>
        <w:jc w:val="right"/>
      </w:pPr>
      <w:r>
        <w:rPr>
          <w:sz w:val="24"/>
        </w:rPr>
        <w:t xml:space="preserve">по сбору, транспортированию, обработке,</w:t>
      </w:r>
    </w:p>
    <w:p>
      <w:pPr>
        <w:pStyle w:val="0"/>
        <w:jc w:val="right"/>
      </w:pPr>
      <w:r>
        <w:rPr>
          <w:sz w:val="24"/>
        </w:rPr>
        <w:t xml:space="preserve">утилизации, обезвреживанию и размещению</w:t>
      </w:r>
    </w:p>
    <w:p>
      <w:pPr>
        <w:pStyle w:val="0"/>
        <w:jc w:val="right"/>
      </w:pPr>
      <w:r>
        <w:rPr>
          <w:sz w:val="24"/>
        </w:rPr>
        <w:t xml:space="preserve">отходов I - IV классов опасности</w:t>
      </w:r>
    </w:p>
    <w:p>
      <w:pPr>
        <w:pStyle w:val="0"/>
        <w:jc w:val="right"/>
      </w:pPr>
      <w:r>
        <w:rPr>
          <w:sz w:val="24"/>
        </w:rPr>
      </w:r>
    </w:p>
    <w:bookmarkStart w:id="214" w:name="P214"/>
    <w:bookmarkEnd w:id="214"/>
    <w:p>
      <w:pPr>
        <w:pStyle w:val="2"/>
        <w:jc w:val="center"/>
      </w:pPr>
      <w:r>
        <w:rPr>
          <w:sz w:val="24"/>
        </w:rPr>
        <w:t xml:space="preserve">ПЕРЕЧЕНЬ</w:t>
      </w:r>
    </w:p>
    <w:p>
      <w:pPr>
        <w:pStyle w:val="2"/>
        <w:jc w:val="center"/>
      </w:pPr>
      <w:r>
        <w:rPr>
          <w:sz w:val="24"/>
        </w:rPr>
        <w:t xml:space="preserve">РАБОТ, УСЛУГ, СОСТАВЛЯЮЩИХ ДЕЯТЕЛЬНОСТЬ ПО СБОРУ,</w:t>
      </w:r>
    </w:p>
    <w:p>
      <w:pPr>
        <w:pStyle w:val="2"/>
        <w:jc w:val="center"/>
      </w:pPr>
      <w:r>
        <w:rPr>
          <w:sz w:val="24"/>
        </w:rPr>
        <w:t xml:space="preserve">ТРАНСПОРТИРОВАНИЮ, ОБРАБОТКЕ, УТИЛИЗАЦИИ, ОБЕЗВРЕЖИВАНИЮ</w:t>
      </w:r>
    </w:p>
    <w:p>
      <w:pPr>
        <w:pStyle w:val="2"/>
        <w:jc w:val="center"/>
      </w:pPr>
      <w:r>
        <w:rPr>
          <w:sz w:val="24"/>
        </w:rPr>
        <w:t xml:space="preserve">И РАЗМЕЩЕНИЮ ОТХОДОВ I - IV КЛАССОВ ОПАСНОСТИ</w:t>
      </w:r>
    </w:p>
    <w:p>
      <w:pPr>
        <w:pStyle w:val="0"/>
        <w:jc w:val="center"/>
      </w:pPr>
      <w:r>
        <w:rPr>
          <w:sz w:val="24"/>
        </w:rPr>
      </w:r>
    </w:p>
    <w:p>
      <w:pPr>
        <w:pStyle w:val="0"/>
        <w:ind w:firstLine="540"/>
        <w:jc w:val="both"/>
      </w:pPr>
      <w:r>
        <w:rPr>
          <w:sz w:val="24"/>
        </w:rPr>
        <w:t xml:space="preserve">1. Сбор отходов I класса опасности</w:t>
      </w:r>
    </w:p>
    <w:p>
      <w:pPr>
        <w:pStyle w:val="0"/>
        <w:spacing w:before="240" w:lineRule="auto"/>
        <w:ind w:firstLine="540"/>
        <w:jc w:val="both"/>
      </w:pPr>
      <w:r>
        <w:rPr>
          <w:sz w:val="24"/>
        </w:rPr>
        <w:t xml:space="preserve">2. Сбор отходов II класса опасности</w:t>
      </w:r>
    </w:p>
    <w:p>
      <w:pPr>
        <w:pStyle w:val="0"/>
        <w:spacing w:before="240" w:lineRule="auto"/>
        <w:ind w:firstLine="540"/>
        <w:jc w:val="both"/>
      </w:pPr>
      <w:r>
        <w:rPr>
          <w:sz w:val="24"/>
        </w:rPr>
        <w:t xml:space="preserve">3. Сбор отходов III класса опасности</w:t>
      </w:r>
    </w:p>
    <w:p>
      <w:pPr>
        <w:pStyle w:val="0"/>
        <w:spacing w:before="240" w:lineRule="auto"/>
        <w:ind w:firstLine="540"/>
        <w:jc w:val="both"/>
      </w:pPr>
      <w:r>
        <w:rPr>
          <w:sz w:val="24"/>
        </w:rPr>
        <w:t xml:space="preserve">4. Сбор отходов IV класса опасности</w:t>
      </w:r>
    </w:p>
    <w:p>
      <w:pPr>
        <w:pStyle w:val="0"/>
        <w:spacing w:before="240" w:lineRule="auto"/>
        <w:ind w:firstLine="540"/>
        <w:jc w:val="both"/>
      </w:pPr>
      <w:r>
        <w:rPr>
          <w:sz w:val="24"/>
        </w:rPr>
        <w:t xml:space="preserve">5. Транспортирование отходов I класса опасности</w:t>
      </w:r>
    </w:p>
    <w:p>
      <w:pPr>
        <w:pStyle w:val="0"/>
        <w:spacing w:before="240" w:lineRule="auto"/>
        <w:ind w:firstLine="540"/>
        <w:jc w:val="both"/>
      </w:pPr>
      <w:r>
        <w:rPr>
          <w:sz w:val="24"/>
        </w:rPr>
        <w:t xml:space="preserve">6. Транспортирование отходов II класса опасности</w:t>
      </w:r>
    </w:p>
    <w:p>
      <w:pPr>
        <w:pStyle w:val="0"/>
        <w:spacing w:before="240" w:lineRule="auto"/>
        <w:ind w:firstLine="540"/>
        <w:jc w:val="both"/>
      </w:pPr>
      <w:r>
        <w:rPr>
          <w:sz w:val="24"/>
        </w:rPr>
        <w:t xml:space="preserve">7. Транспортирование отходов III класса опасности</w:t>
      </w:r>
    </w:p>
    <w:p>
      <w:pPr>
        <w:pStyle w:val="0"/>
        <w:spacing w:before="240" w:lineRule="auto"/>
        <w:ind w:firstLine="540"/>
        <w:jc w:val="both"/>
      </w:pPr>
      <w:r>
        <w:rPr>
          <w:sz w:val="24"/>
        </w:rPr>
        <w:t xml:space="preserve">8. Транспортирование отходов IV класса опасности</w:t>
      </w:r>
    </w:p>
    <w:p>
      <w:pPr>
        <w:pStyle w:val="0"/>
        <w:spacing w:before="240" w:lineRule="auto"/>
        <w:ind w:firstLine="540"/>
        <w:jc w:val="both"/>
      </w:pPr>
      <w:r>
        <w:rPr>
          <w:sz w:val="24"/>
        </w:rPr>
        <w:t xml:space="preserve">9. Обработка отходов I класса опасности</w:t>
      </w:r>
    </w:p>
    <w:p>
      <w:pPr>
        <w:pStyle w:val="0"/>
        <w:spacing w:before="240" w:lineRule="auto"/>
        <w:ind w:firstLine="540"/>
        <w:jc w:val="both"/>
      </w:pPr>
      <w:r>
        <w:rPr>
          <w:sz w:val="24"/>
        </w:rPr>
        <w:t xml:space="preserve">10. Обработка отходов II класса опасности</w:t>
      </w:r>
    </w:p>
    <w:p>
      <w:pPr>
        <w:pStyle w:val="0"/>
        <w:spacing w:before="240" w:lineRule="auto"/>
        <w:ind w:firstLine="540"/>
        <w:jc w:val="both"/>
      </w:pPr>
      <w:r>
        <w:rPr>
          <w:sz w:val="24"/>
        </w:rPr>
        <w:t xml:space="preserve">11. Обработка отходов III класса опасности</w:t>
      </w:r>
    </w:p>
    <w:p>
      <w:pPr>
        <w:pStyle w:val="0"/>
        <w:spacing w:before="240" w:lineRule="auto"/>
        <w:ind w:firstLine="540"/>
        <w:jc w:val="both"/>
      </w:pPr>
      <w:r>
        <w:rPr>
          <w:sz w:val="24"/>
        </w:rPr>
        <w:t xml:space="preserve">12. Обработка отходов IV класса опасности</w:t>
      </w:r>
    </w:p>
    <w:p>
      <w:pPr>
        <w:pStyle w:val="0"/>
        <w:spacing w:before="240" w:lineRule="auto"/>
        <w:ind w:firstLine="540"/>
        <w:jc w:val="both"/>
      </w:pPr>
      <w:r>
        <w:rPr>
          <w:sz w:val="24"/>
        </w:rPr>
        <w:t xml:space="preserve">13. Утилизация отходов I класса опасности</w:t>
      </w:r>
    </w:p>
    <w:p>
      <w:pPr>
        <w:pStyle w:val="0"/>
        <w:spacing w:before="240" w:lineRule="auto"/>
        <w:ind w:firstLine="540"/>
        <w:jc w:val="both"/>
      </w:pPr>
      <w:r>
        <w:rPr>
          <w:sz w:val="24"/>
        </w:rPr>
        <w:t xml:space="preserve">14. Утилизация отходов II класса опасности</w:t>
      </w:r>
    </w:p>
    <w:p>
      <w:pPr>
        <w:pStyle w:val="0"/>
        <w:spacing w:before="240" w:lineRule="auto"/>
        <w:ind w:firstLine="540"/>
        <w:jc w:val="both"/>
      </w:pPr>
      <w:r>
        <w:rPr>
          <w:sz w:val="24"/>
        </w:rPr>
        <w:t xml:space="preserve">15. Утилизация отходов III класса опасности</w:t>
      </w:r>
    </w:p>
    <w:p>
      <w:pPr>
        <w:pStyle w:val="0"/>
        <w:spacing w:before="240" w:lineRule="auto"/>
        <w:ind w:firstLine="540"/>
        <w:jc w:val="both"/>
      </w:pPr>
      <w:r>
        <w:rPr>
          <w:sz w:val="24"/>
        </w:rPr>
        <w:t xml:space="preserve">16. Утилизация отходов IV класса опасности</w:t>
      </w:r>
    </w:p>
    <w:p>
      <w:pPr>
        <w:pStyle w:val="0"/>
        <w:spacing w:before="240" w:lineRule="auto"/>
        <w:ind w:firstLine="540"/>
        <w:jc w:val="both"/>
      </w:pPr>
      <w:r>
        <w:rPr>
          <w:sz w:val="24"/>
        </w:rPr>
        <w:t xml:space="preserve">17. Обезвреживание отходов I класса опасности</w:t>
      </w:r>
    </w:p>
    <w:p>
      <w:pPr>
        <w:pStyle w:val="0"/>
        <w:spacing w:before="240" w:lineRule="auto"/>
        <w:ind w:firstLine="540"/>
        <w:jc w:val="both"/>
      </w:pPr>
      <w:r>
        <w:rPr>
          <w:sz w:val="24"/>
        </w:rPr>
        <w:t xml:space="preserve">18. Обезвреживание отходов II класса опасности</w:t>
      </w:r>
    </w:p>
    <w:p>
      <w:pPr>
        <w:pStyle w:val="0"/>
        <w:spacing w:before="240" w:lineRule="auto"/>
        <w:ind w:firstLine="540"/>
        <w:jc w:val="both"/>
      </w:pPr>
      <w:r>
        <w:rPr>
          <w:sz w:val="24"/>
        </w:rPr>
        <w:t xml:space="preserve">19. Обезвреживание отходов III класса опасности</w:t>
      </w:r>
    </w:p>
    <w:p>
      <w:pPr>
        <w:pStyle w:val="0"/>
        <w:spacing w:before="240" w:lineRule="auto"/>
        <w:ind w:firstLine="540"/>
        <w:jc w:val="both"/>
      </w:pPr>
      <w:r>
        <w:rPr>
          <w:sz w:val="24"/>
        </w:rPr>
        <w:t xml:space="preserve">20. Обезвреживание отходов IV класса опасности</w:t>
      </w:r>
    </w:p>
    <w:p>
      <w:pPr>
        <w:pStyle w:val="0"/>
        <w:spacing w:before="240" w:lineRule="auto"/>
        <w:ind w:firstLine="540"/>
        <w:jc w:val="both"/>
      </w:pPr>
      <w:r>
        <w:rPr>
          <w:sz w:val="24"/>
        </w:rPr>
        <w:t xml:space="preserve">21. Размещение отходов I класса опасности</w:t>
      </w:r>
    </w:p>
    <w:p>
      <w:pPr>
        <w:pStyle w:val="0"/>
        <w:spacing w:before="240" w:lineRule="auto"/>
        <w:ind w:firstLine="540"/>
        <w:jc w:val="both"/>
      </w:pPr>
      <w:r>
        <w:rPr>
          <w:sz w:val="24"/>
        </w:rPr>
        <w:t xml:space="preserve">22. Размещение отходов II класса опасности</w:t>
      </w:r>
    </w:p>
    <w:p>
      <w:pPr>
        <w:pStyle w:val="0"/>
        <w:spacing w:before="240" w:lineRule="auto"/>
        <w:ind w:firstLine="540"/>
        <w:jc w:val="both"/>
      </w:pPr>
      <w:r>
        <w:rPr>
          <w:sz w:val="24"/>
        </w:rPr>
        <w:t xml:space="preserve">23. Размещение отходов III класса опасности</w:t>
      </w:r>
    </w:p>
    <w:p>
      <w:pPr>
        <w:pStyle w:val="0"/>
        <w:spacing w:before="240" w:lineRule="auto"/>
        <w:ind w:firstLine="540"/>
        <w:jc w:val="both"/>
      </w:pPr>
      <w:r>
        <w:rPr>
          <w:sz w:val="24"/>
        </w:rPr>
        <w:t xml:space="preserve">24. Размещение отходов IV класса опасности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02.06.2026 N 675</w:t>
            <w:br/>
            <w:t>"О лицензировании деятельности по сбору, транспортированию, обработке...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02.06.2026 N 675
"О лицензировании деятельности по сбору, транспортированию, обработке, утилизации, обезвреживанию, размещению отходов I - IV классов опасности"
(вместе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dc:title>
  <dcterms:created xsi:type="dcterms:W3CDTF">2026-10-19T03:17:07Z</dcterms:created>
</cp:coreProperties>
</file>