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15"/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Объявление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5"/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о приеме документов для участия в конкурсе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1015"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на включение гражданских служащих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(граждан) в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кадровый резерв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left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1015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Северо-Восточное межрегиональное управление Росприроднадзора объявляет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конкурс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включение гражданских служащих (граждан)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в кадровый резерв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для замещения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старшей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группы должностей федеральной государственной гражданской службы категории «специалисты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отдела администрирования платежей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(расположение рабочего места г. Магадан).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Наименования должностей федеральной гражданской службы, на включение в кадровый резерв для замещения которых объявлен конк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урс: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  <w:highlight w:val="none"/>
        </w:rPr>
        <w:t xml:space="preserve">главный специалист-эксперт, ведущий специалист-эксперт, специалист-эксперт отдела администрирования платежей Северо-Восточного межрегионального управления Росприроднадзора.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pStyle w:val="1273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273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color w:val="auto"/>
          <w:sz w:val="24"/>
          <w:szCs w:val="24"/>
          <w:highlight w:val="none"/>
        </w:rPr>
        <w:t xml:space="preserve">Квалификационные требования: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</w:rPr>
      </w:r>
    </w:p>
    <w:p>
      <w:pPr>
        <w:pStyle w:val="1273"/>
        <w:ind w:left="0" w:right="0" w:firstLine="567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Наличие  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высшего образования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 следующим специальностям, направлениям подготовки         (к укрупненным группам специальнос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тей и направлений подготов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ки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): </w:t>
      </w:r>
      <w:r>
        <w:rPr>
          <w:color w:val="000000" w:themeColor="text1"/>
          <w:sz w:val="24"/>
          <w:szCs w:val="24"/>
        </w:rPr>
        <w:t xml:space="preserve">«</w:t>
      </w:r>
      <w:r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</w:rPr>
        <w:t xml:space="preserve">Экономика и управление», «Э</w:t>
      </w:r>
      <w:r>
        <w:rPr>
          <w:color w:val="000000" w:themeColor="text1"/>
          <w:sz w:val="24"/>
          <w:szCs w:val="24"/>
        </w:rPr>
        <w:t xml:space="preserve">кономика», «Финансы и кредит», «Государственный аудит», «Математика», «Прикладная математика и информатика», «Налоги и налогообложение», «Бухгалтерский учет, анализ и аудит», «Менеджмент организации», «Юриспруденция», </w:t>
      </w:r>
      <w:bookmarkStart w:id="0" w:name="undefined"/>
      <w:r>
        <w:rPr>
          <w:color w:val="000000" w:themeColor="text1"/>
          <w:sz w:val="24"/>
          <w:szCs w:val="24"/>
        </w:rPr>
        <w:t xml:space="preserve">«Государственное и муниципальное управ</w:t>
      </w:r>
      <w:r>
        <w:rPr>
          <w:color w:val="000000" w:themeColor="text1"/>
          <w:sz w:val="24"/>
          <w:szCs w:val="24"/>
        </w:rPr>
        <w:t xml:space="preserve">ление</w:t>
      </w:r>
      <w:bookmarkEnd w:id="0"/>
      <w:r>
        <w:rPr>
          <w:color w:val="000000" w:themeColor="text1"/>
          <w:sz w:val="24"/>
          <w:szCs w:val="24"/>
        </w:rPr>
        <w:t xml:space="preserve">», «Экология и природопользование», </w:t>
      </w:r>
      <w:bookmarkStart w:id="0" w:name="undefined"/>
      <w:r>
        <w:rPr>
          <w:color w:val="000000" w:themeColor="text1"/>
          <w:sz w:val="24"/>
          <w:szCs w:val="24"/>
        </w:rPr>
        <w:t xml:space="preserve">«Экология»</w:t>
      </w:r>
      <w:bookmarkEnd w:id="0"/>
      <w:r>
        <w:rPr>
          <w:color w:val="000000" w:themeColor="text1"/>
          <w:sz w:val="24"/>
          <w:szCs w:val="24"/>
        </w:rPr>
        <w:t xml:space="preserve">, «Природопользование»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или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иные специальности и направления подготовки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273"/>
        <w:ind w:left="0" w:right="0" w:firstLine="567"/>
        <w:spacing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Наличие стажа гражданской службы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или стаж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а работы по специ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альности, направлению подготовки – без предъявления требования к стажу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базовых знаний: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1) государственного языка Российской Федерации (русского языка);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2) основ Конституции Российской Федерации, законодательства о гражданской службе, труде и законодательства о противодействии коррупции;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3) основ делопроизводства;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4) </w:t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в области информационно-коммуникационных технологий</w:t>
      </w:r>
      <w:bookmarkEnd w:id="0"/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, включающие в себя: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4.1) знание основ информационной безопасности и защиты информации, включая: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порядок работы со служебной электронной почтой, а также правила исполь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основные признаки электронных сооб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щений, содержащих вредоносные вложения или ссылки на вредоносные сайты в информационно-телекоммуникационной сети «Интернет», включая «фишинговые» письма и спам-рассылки, умение корректно и своевременно реагировать на получение таких электронных сообщений;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требования по обеспечению бе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правила и ограничения подключения внешних устройств (флеш-накопители, внешние жесткие диски), в особенности оборудованных приемо-передающей аппаратурой (мобильные телефоны, планшеты, модемы) к служебным средствам вычислительной техники (компьютерам);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297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4.2) знание основных положений законодательства о персональных данных, включая: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297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понятие персональных данных, принципы и условия их обработки;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297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меры по обеспечению безопасности персональных данных при их обработке в информационных системах;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4.3)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4.4) знание основных положений законодательства об электронной подписи, включая: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понятие и виды электронных подписей;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4.5) знания по применению персонального компьютера.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профессиональных знаний: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1) Кодекса Российской Федерации об административных правонарушениях от 30.12.2001 № 195-ФЗ (в части компетенции Федеральной службы по надзору в сфере природопользования);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b050" w:themeColor="text1"/>
          <w:sz w:val="28"/>
          <w:szCs w:val="28"/>
        </w:rPr>
      </w:pPr>
      <w:r>
        <w:rPr>
          <w:rFonts w:eastAsia="Calibri"/>
          <w:color w:val="000000" w:themeColor="text1"/>
          <w:sz w:val="24"/>
          <w:szCs w:val="24"/>
        </w:rPr>
        <w:t xml:space="preserve">2) Водного кодекса Российской Федерации от 03.06.2006 № 74-ФЗ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pStyle w:val="1289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3) Бюджетного кодекса Российской Федерации от 31.07.1998 № 145-ФЗ;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 Градостроительного кодекса Российской Федерации от 29.12.2004 № 190-ФЗ;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5) Федерального закона от 10.01.2002 № 7-Ф</w:t>
      </w:r>
      <w:r>
        <w:rPr>
          <w:color w:val="000000" w:themeColor="text1"/>
          <w:sz w:val="24"/>
          <w:szCs w:val="24"/>
        </w:rPr>
        <w:t xml:space="preserve">З «Об охране окружающей среды»;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6) Федерального закона от 14.03.1995 № 33-ФЗ «Об особо охраняемых природных территориях»;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7) Федерального закона от 02.05.2006 № 59-ФЗ «О порядке рассмотрения обращений граждан Российской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70c0" w:themeColor="text1"/>
          <w:spacing w:val="4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8) </w:t>
      </w:r>
      <w:r>
        <w:rPr>
          <w:color w:val="000000" w:themeColor="text1"/>
          <w:spacing w:val="4"/>
          <w:sz w:val="24"/>
          <w:szCs w:val="24"/>
        </w:rPr>
        <w:t xml:space="preserve">Федерального закона о</w:t>
      </w:r>
      <w:r>
        <w:rPr>
          <w:color w:val="000000" w:themeColor="text1"/>
          <w:spacing w:val="4"/>
          <w:sz w:val="24"/>
          <w:szCs w:val="24"/>
        </w:rPr>
        <w:t xml:space="preserve">т 27.07.2004 № 79-ФЗ «О государственной гражданской службе Российской Федерации»;</w:t>
      </w:r>
      <w:r>
        <w:rPr>
          <w:color w:val="000000" w:themeColor="text1"/>
          <w:spacing w:val="4"/>
          <w:sz w:val="24"/>
          <w:szCs w:val="24"/>
        </w:rPr>
      </w:r>
      <w:r>
        <w:rPr>
          <w:color w:val="0070c0" w:themeColor="text1"/>
          <w:spacing w:val="4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9) Федерального закона от 24.06.1998 № 89-ФЗ «Об отходах производства и потребления»;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10) Федерального закона от 04.05.1999 № 96-ФЗ «Об охране атмосферного воздуха»;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89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11) Феде</w:t>
      </w:r>
      <w:r>
        <w:rPr>
          <w:color w:val="000000" w:themeColor="text1"/>
          <w:sz w:val="24"/>
          <w:szCs w:val="24"/>
        </w:rPr>
        <w:t xml:space="preserve">рального закона от 27.07.2006 № 149-ФЗ «Об информации, информационных технологиях и о защите информации»;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4"/>
        <w:ind w:left="0" w:right="0" w:firstLine="567"/>
        <w:jc w:val="both"/>
        <w:spacing w:after="0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12) Федерального закона от 27.07.2006 № 152-ФЗ «О персональных данных»;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13) Федерального </w:t>
      </w:r>
      <w:hyperlink r:id="rId15" w:tooltip="https://login.consultant.ru/link/?req=doc&amp;base=LAW&amp;n=464881" w:history="1">
        <w:r>
          <w:rPr>
            <w:color w:val="000000" w:themeColor="text1"/>
            <w:sz w:val="24"/>
            <w:szCs w:val="24"/>
          </w:rPr>
          <w:t xml:space="preserve">закона</w:t>
        </w:r>
      </w:hyperlink>
      <w:r>
        <w:rPr>
          <w:color w:val="000000" w:themeColor="text1"/>
          <w:sz w:val="24"/>
          <w:szCs w:val="24"/>
        </w:rPr>
        <w:t xml:space="preserve"> от 23.11.1995 № 174-ФЗ «Об экологической экспертизе»;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4"/>
        <w:ind w:left="0" w:right="0" w:firstLine="567"/>
        <w:jc w:val="both"/>
        <w:spacing w:after="0"/>
        <w:rPr>
          <w:color w:val="00b05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14) Федерального закона от 31.07.2020 № 248-ФЗ «О государственном контроле (надзоре) и муниципальном контроле в Рос</w:t>
      </w:r>
      <w:r>
        <w:rPr>
          <w:color w:val="000000" w:themeColor="text1"/>
          <w:sz w:val="24"/>
          <w:szCs w:val="24"/>
        </w:rPr>
        <w:t xml:space="preserve">сийской Федерации»;</w:t>
      </w:r>
      <w:r>
        <w:rPr>
          <w:color w:val="000000" w:themeColor="text1"/>
          <w:sz w:val="24"/>
          <w:szCs w:val="24"/>
        </w:rPr>
      </w:r>
      <w:r>
        <w:rPr>
          <w:color w:val="00b05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70c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15) Федерального закона от 25.12.2008 № 273-ФЗ «О противодействии коррупции»;</w:t>
      </w:r>
      <w:r>
        <w:rPr>
          <w:color w:val="000000" w:themeColor="text1"/>
          <w:sz w:val="24"/>
          <w:szCs w:val="24"/>
        </w:rPr>
      </w:r>
      <w:r>
        <w:rPr>
          <w:color w:val="0070c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Style w:val="1258"/>
          <w:color w:val="000000" w:themeColor="text1"/>
          <w:sz w:val="24"/>
          <w:szCs w:val="24"/>
        </w:rPr>
        <w:t xml:space="preserve">16) Постановления Правительства Российской Федерации от 09.04.2016 </w:t>
      </w:r>
      <w:r>
        <w:rPr>
          <w:rStyle w:val="1258"/>
          <w:color w:val="000000" w:themeColor="text1"/>
          <w:sz w:val="24"/>
          <w:szCs w:val="24"/>
        </w:rPr>
        <w:t xml:space="preserve">№ 284 «Об установлении ставок сбора по каждой группе товаров, группе упаковки товаров, отхо</w:t>
      </w:r>
      <w:r>
        <w:rPr>
          <w:rStyle w:val="1258"/>
          <w:color w:val="000000" w:themeColor="text1"/>
          <w:sz w:val="24"/>
          <w:szCs w:val="24"/>
        </w:rPr>
        <w:t xml:space="preserve">ды от использования которых подлежат утилизации, уплачиваемого производителями товаров, импортерами товаров, которые не обеспечивают самостоятельную утилизацию отходов от использования товаров (экологического сбора)»;</w:t>
      </w:r>
      <w:r>
        <w:rPr>
          <w:rStyle w:val="1258"/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89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17) Постановления Правительства Россий</w:t>
      </w:r>
      <w:r>
        <w:rPr>
          <w:color w:val="000000" w:themeColor="text1"/>
          <w:sz w:val="24"/>
          <w:szCs w:val="24"/>
        </w:rPr>
        <w:t xml:space="preserve">ской Федерации от 16.04.2021 </w:t>
      </w:r>
      <w:r>
        <w:rPr>
          <w:color w:val="000000" w:themeColor="text1"/>
          <w:sz w:val="24"/>
          <w:szCs w:val="24"/>
        </w:rPr>
        <w:t xml:space="preserve">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4"/>
        <w:ind w:left="0" w:right="0" w:firstLine="567"/>
        <w:jc w:val="both"/>
        <w:spacing w:after="0"/>
        <w:rPr>
          <w:color w:val="000000" w:themeColor="text1"/>
          <w:sz w:val="28"/>
          <w:szCs w:val="28"/>
        </w:rPr>
      </w:pPr>
      <w:r>
        <w:rPr>
          <w:rStyle w:val="1258"/>
          <w:color w:val="000000" w:themeColor="text1"/>
          <w:sz w:val="24"/>
          <w:szCs w:val="24"/>
        </w:rPr>
        <w:t xml:space="preserve">18) </w:t>
      </w:r>
      <w:r>
        <w:rPr>
          <w:color w:val="000000" w:themeColor="text1"/>
          <w:sz w:val="24"/>
          <w:szCs w:val="24"/>
        </w:rPr>
        <w:t xml:space="preserve">Постановления Правительства Российской Федерации от 31.05.2023 </w:t>
      </w:r>
      <w:r>
        <w:rPr>
          <w:color w:val="000000" w:themeColor="text1"/>
          <w:sz w:val="24"/>
          <w:szCs w:val="24"/>
        </w:rPr>
        <w:t xml:space="preserve">№ 881 «Об утверждении Правил 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</w:t>
      </w:r>
      <w:r>
        <w:rPr>
          <w:color w:val="000000" w:themeColor="text1"/>
          <w:sz w:val="24"/>
          <w:szCs w:val="24"/>
        </w:rPr>
        <w:t xml:space="preserve">ного положения акта Правительства Российской Федерации»</w:t>
      </w:r>
      <w:r>
        <w:rPr>
          <w:rStyle w:val="1258"/>
          <w:color w:val="000000" w:themeColor="text1"/>
          <w:sz w:val="24"/>
          <w:szCs w:val="24"/>
        </w:rPr>
        <w:t xml:space="preserve">;</w:t>
      </w:r>
      <w:r>
        <w:rPr>
          <w:rStyle w:val="1258"/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89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rStyle w:val="1258"/>
          <w:color w:val="000000" w:themeColor="text1"/>
          <w:sz w:val="24"/>
          <w:szCs w:val="24"/>
        </w:rPr>
        <w:t xml:space="preserve">19) Постановления Правительства Российской Федерации от 13.09.2016 </w:t>
      </w:r>
      <w:r>
        <w:rPr>
          <w:rStyle w:val="1258"/>
          <w:color w:val="000000" w:themeColor="text1"/>
          <w:sz w:val="24"/>
          <w:szCs w:val="24"/>
        </w:rPr>
        <w:t xml:space="preserve">№ 913 «О ставках платы за негативное воздействие на окружающую среду и дополнительных коэффициентах»;</w:t>
      </w:r>
      <w:r>
        <w:rPr>
          <w:rStyle w:val="1258"/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Style w:val="1258"/>
          <w:rFonts w:eastAsiaTheme="minorEastAsia"/>
          <w:color w:val="000000" w:themeColor="text1"/>
          <w:sz w:val="24"/>
          <w:szCs w:val="24"/>
        </w:rPr>
        <w:t xml:space="preserve">20) </w:t>
      </w:r>
      <w:r>
        <w:rPr>
          <w:rStyle w:val="1258"/>
          <w:color w:val="000000" w:themeColor="text1"/>
          <w:sz w:val="24"/>
          <w:szCs w:val="24"/>
        </w:rPr>
        <w:t xml:space="preserve">Постановления Правительств</w:t>
      </w:r>
      <w:r>
        <w:rPr>
          <w:rStyle w:val="1258"/>
          <w:color w:val="000000" w:themeColor="text1"/>
          <w:sz w:val="24"/>
          <w:szCs w:val="24"/>
        </w:rPr>
        <w:t xml:space="preserve">а Российской Федерации от 01.08.2024 </w:t>
      </w:r>
      <w:r>
        <w:rPr>
          <w:rStyle w:val="1258"/>
          <w:color w:val="000000" w:themeColor="text1"/>
          <w:sz w:val="24"/>
          <w:szCs w:val="24"/>
        </w:rPr>
        <w:t xml:space="preserve">№ 1041 «О значениях базовых ставок экологического сбора и коэффициента, учитывающего сложность извлечения отходов от использования товаров для дальнейшей утилизации, наличие технологической возможности их утилизации с у</w:t>
      </w:r>
      <w:r>
        <w:rPr>
          <w:rStyle w:val="1258"/>
          <w:color w:val="000000" w:themeColor="text1"/>
          <w:sz w:val="24"/>
          <w:szCs w:val="24"/>
        </w:rPr>
        <w:t xml:space="preserve">четом изменения физических, химических и механических свойств материалов при многократном использовании (с учетом возможных циклов переработки отходов от использования товаров), востребованность вторичного сырья, полученного из таких отходов, для использов</w:t>
      </w:r>
      <w:r>
        <w:rPr>
          <w:rStyle w:val="1258"/>
          <w:color w:val="000000" w:themeColor="text1"/>
          <w:sz w:val="24"/>
          <w:szCs w:val="24"/>
        </w:rPr>
        <w:t xml:space="preserve">ания при производстве товаров (продукции)»;</w:t>
      </w:r>
      <w:r>
        <w:rPr>
          <w:rStyle w:val="1258"/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89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rStyle w:val="1258"/>
          <w:color w:val="000000" w:themeColor="text1"/>
          <w:sz w:val="24"/>
          <w:szCs w:val="24"/>
        </w:rPr>
        <w:t xml:space="preserve">21) Постановления Правительства Российской Федерации от 08.10.2015 </w:t>
      </w:r>
      <w:r>
        <w:rPr>
          <w:rStyle w:val="1258"/>
          <w:color w:val="000000" w:themeColor="text1"/>
          <w:sz w:val="24"/>
          <w:szCs w:val="24"/>
        </w:rPr>
        <w:t xml:space="preserve">№ 1073 «О порядке взимания экологического сбора»;</w:t>
      </w:r>
      <w:r>
        <w:rPr>
          <w:rStyle w:val="1258"/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22) Постановления Правительства Российской Федерации от 30.06.2021 </w:t>
      </w:r>
      <w:r>
        <w:rPr>
          <w:color w:val="000000" w:themeColor="text1"/>
          <w:sz w:val="24"/>
          <w:szCs w:val="24"/>
        </w:rPr>
        <w:t xml:space="preserve">№ 1096 «О федеральном госуда</w:t>
      </w:r>
      <w:r>
        <w:rPr>
          <w:color w:val="000000" w:themeColor="text1"/>
          <w:sz w:val="24"/>
          <w:szCs w:val="24"/>
        </w:rPr>
        <w:t xml:space="preserve">рственном экологическом контроле (надзоре)»;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89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rStyle w:val="1258"/>
          <w:color w:val="000000" w:themeColor="text1"/>
          <w:sz w:val="24"/>
          <w:szCs w:val="24"/>
        </w:rPr>
        <w:t xml:space="preserve">23) Постановления Правительства Российской Федерации от 24.12.2015 </w:t>
      </w:r>
      <w:r>
        <w:rPr>
          <w:rStyle w:val="1258"/>
          <w:color w:val="000000" w:themeColor="text1"/>
          <w:sz w:val="24"/>
          <w:szCs w:val="24"/>
        </w:rPr>
        <w:t xml:space="preserve">№ 1417 «Об утверждении Положения о декларировании производителями товаров, импортерами товаров количества выпущенных в обращение на территории Р</w:t>
      </w:r>
      <w:r>
        <w:rPr>
          <w:rStyle w:val="1258"/>
          <w:color w:val="000000" w:themeColor="text1"/>
          <w:sz w:val="24"/>
          <w:szCs w:val="24"/>
        </w:rPr>
        <w:t xml:space="preserve">оссийской Федерации товаров, упаковки товаров, включенных в перечень товаров, упаковки товаров, подлежащих утилизации после утраты ими потребительских свойств»;</w:t>
      </w:r>
      <w:r>
        <w:rPr>
          <w:rStyle w:val="1258"/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89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24) Постановления Правительства Российской Федерации от 30.12.2024 </w:t>
      </w:r>
      <w:r>
        <w:rPr>
          <w:color w:val="000000" w:themeColor="text1"/>
          <w:sz w:val="24"/>
          <w:szCs w:val="24"/>
        </w:rPr>
        <w:t xml:space="preserve">№ 1990 «О порядке взимания экологического сбора»;</w:t>
      </w:r>
      <w:r>
        <w:rPr>
          <w:rStyle w:val="1258"/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89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rStyle w:val="1258"/>
          <w:color w:val="000000" w:themeColor="text1"/>
          <w:sz w:val="24"/>
          <w:szCs w:val="24"/>
        </w:rPr>
        <w:t xml:space="preserve">25) Постановления Правительства Российской Федерации от 03.12.2020 </w:t>
      </w:r>
      <w:r>
        <w:rPr>
          <w:rStyle w:val="1258"/>
          <w:color w:val="000000" w:themeColor="text1"/>
          <w:sz w:val="24"/>
          <w:szCs w:val="24"/>
        </w:rPr>
        <w:t xml:space="preserve">№ 2010 «Об утверждении Правил представления производителями товаров, имп</w:t>
      </w:r>
      <w:r>
        <w:rPr>
          <w:rStyle w:val="1258"/>
          <w:color w:val="000000" w:themeColor="text1"/>
          <w:sz w:val="24"/>
          <w:szCs w:val="24"/>
        </w:rPr>
        <w:t xml:space="preserve">ортерами товаров отчетности о выполнении нормативов утилизации отходов от использования товаров»;</w:t>
      </w:r>
      <w:r>
        <w:rPr>
          <w:rStyle w:val="1258"/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89"/>
        <w:ind w:left="0" w:right="0" w:firstLine="567"/>
        <w:spacing w:line="240" w:lineRule="auto"/>
        <w:widowControl/>
        <w:rPr>
          <w:rFonts w:eastAsia="Times New Roman"/>
          <w:color w:val="000000" w:themeColor="text1"/>
          <w:sz w:val="28"/>
          <w:szCs w:val="28"/>
        </w:rPr>
      </w:pPr>
      <w:r>
        <w:rPr>
          <w:rStyle w:val="1258"/>
          <w:rFonts w:eastAsia="Times New Roman"/>
          <w:color w:val="000000" w:themeColor="text1"/>
          <w:sz w:val="24"/>
          <w:szCs w:val="24"/>
        </w:rPr>
        <w:t xml:space="preserve">26) Постановления Правительства Российской Федерации от 29.12.2023 </w:t>
      </w:r>
      <w:r>
        <w:rPr>
          <w:rStyle w:val="1258"/>
          <w:rFonts w:eastAsia="Times New Roman"/>
          <w:color w:val="000000" w:themeColor="text1"/>
          <w:sz w:val="24"/>
          <w:szCs w:val="24"/>
        </w:rPr>
        <w:t xml:space="preserve">№ 2414 «Об утверждении перечней товаров, упаковки, отходы от использования которых подлежат</w:t>
      </w:r>
      <w:r>
        <w:rPr>
          <w:rStyle w:val="1258"/>
          <w:rFonts w:eastAsia="Times New Roman"/>
          <w:color w:val="000000" w:themeColor="text1"/>
          <w:sz w:val="24"/>
          <w:szCs w:val="24"/>
        </w:rPr>
        <w:t xml:space="preserve"> утилизации, и нормативов утилизации отходов от использования товаров, упаковки»;</w:t>
      </w:r>
      <w:r>
        <w:rPr>
          <w:rStyle w:val="1258"/>
          <w:rFonts w:eastAsia="Times New Roman"/>
          <w:color w:val="000000" w:themeColor="text1"/>
          <w:sz w:val="24"/>
          <w:szCs w:val="24"/>
        </w:rPr>
      </w:r>
      <w:r>
        <w:rPr>
          <w:rFonts w:eastAsia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Style w:val="1258"/>
          <w:color w:val="000000" w:themeColor="text1"/>
          <w:sz w:val="24"/>
          <w:szCs w:val="24"/>
        </w:rPr>
        <w:t xml:space="preserve">27) Приказа Министерства финансов Российской Федерации от 24.05.2022 № 82н «О Порядке формирования и применения кодов бюджетной классификации Российской Федерации, их структу</w:t>
      </w:r>
      <w:r>
        <w:rPr>
          <w:rStyle w:val="1258"/>
          <w:color w:val="000000" w:themeColor="text1"/>
          <w:sz w:val="24"/>
          <w:szCs w:val="24"/>
        </w:rPr>
        <w:t xml:space="preserve">ре и принципах назначения</w:t>
      </w:r>
      <w:r>
        <w:rPr>
          <w:color w:val="000000" w:themeColor="text1"/>
          <w:sz w:val="24"/>
          <w:szCs w:val="24"/>
        </w:rPr>
        <w:t xml:space="preserve"> (зарегистрирован Министерством юстиции Российской Федерации </w:t>
      </w:r>
      <w:r>
        <w:rPr>
          <w:color w:val="000000" w:themeColor="text1"/>
          <w:sz w:val="24"/>
          <w:szCs w:val="24"/>
        </w:rPr>
        <w:t xml:space="preserve">30.06.2022, регистрационный № </w:t>
      </w:r>
      <w:r>
        <w:rPr>
          <w:color w:val="000000" w:themeColor="text1"/>
          <w:sz w:val="24"/>
          <w:szCs w:val="24"/>
        </w:rPr>
        <w:t xml:space="preserve">69085);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rStyle w:val="1258"/>
          <w:color w:val="000000" w:themeColor="text1"/>
          <w:sz w:val="24"/>
          <w:szCs w:val="24"/>
        </w:rPr>
        <w:t xml:space="preserve">28) Приказа Министерства природных ресурсов и экологии Российской Федерации от 10.12.2020 № 1043 «Об утверждении Порядка представления</w:t>
      </w:r>
      <w:r>
        <w:rPr>
          <w:rStyle w:val="1258"/>
          <w:color w:val="000000" w:themeColor="text1"/>
          <w:sz w:val="24"/>
          <w:szCs w:val="24"/>
        </w:rPr>
        <w:t xml:space="preserve"> декларации о плате за негативное воздействие на окружающую среду и ее формы и о признании утратившими силу приказов Министерства природных ресурсов и экологии Российской Федерации от 9 января 2017 г. №3 и от 30 декабря 2019 г. № 899» </w:t>
      </w:r>
      <w:r>
        <w:rPr>
          <w:color w:val="000000" w:themeColor="text1"/>
          <w:sz w:val="24"/>
          <w:szCs w:val="24"/>
        </w:rPr>
        <w:t xml:space="preserve">(зарегистрирован Минис</w:t>
      </w:r>
      <w:r>
        <w:rPr>
          <w:color w:val="000000" w:themeColor="text1"/>
          <w:sz w:val="24"/>
          <w:szCs w:val="24"/>
        </w:rPr>
        <w:t xml:space="preserve">терством юстиции Российской Федерации </w:t>
      </w:r>
      <w:r>
        <w:rPr>
          <w:color w:val="000000" w:themeColor="text1"/>
          <w:sz w:val="24"/>
          <w:szCs w:val="24"/>
        </w:rPr>
        <w:t xml:space="preserve">31.12.2020, регистрационный № </w:t>
      </w:r>
      <w:r>
        <w:rPr>
          <w:color w:val="000000" w:themeColor="text1"/>
          <w:sz w:val="24"/>
          <w:szCs w:val="24"/>
        </w:rPr>
        <w:t xml:space="preserve">62017);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89"/>
        <w:ind w:left="0" w:right="0" w:firstLine="567"/>
        <w:spacing w:line="240" w:lineRule="auto"/>
        <w:widowControl/>
        <w:rPr>
          <w:color w:val="000000" w:themeColor="text1"/>
          <w:sz w:val="28"/>
          <w:szCs w:val="28"/>
        </w:rPr>
      </w:pPr>
      <w:r>
        <w:rPr>
          <w:rStyle w:val="1258"/>
          <w:color w:val="000000" w:themeColor="text1"/>
          <w:sz w:val="24"/>
          <w:szCs w:val="24"/>
        </w:rPr>
        <w:t xml:space="preserve">29) Приказа Министерства природных ресурсов и экологии Российской Федерации от 30.12.2021 № 1044 «Об утверждении Перечня индикаторов риска нарушения обязательных требований по федера</w:t>
      </w:r>
      <w:r>
        <w:rPr>
          <w:rStyle w:val="1258"/>
          <w:color w:val="000000" w:themeColor="text1"/>
          <w:sz w:val="24"/>
          <w:szCs w:val="24"/>
        </w:rPr>
        <w:t xml:space="preserve">льному государственному экологическому контролю (надзору)» </w:t>
      </w:r>
      <w:r>
        <w:rPr>
          <w:color w:val="000000" w:themeColor="text1"/>
          <w:sz w:val="24"/>
          <w:szCs w:val="24"/>
        </w:rPr>
        <w:t xml:space="preserve">(зарегистрирован Министерством юстиции Российской Федерации </w:t>
      </w:r>
      <w:r>
        <w:rPr>
          <w:color w:val="000000" w:themeColor="text1"/>
          <w:sz w:val="24"/>
          <w:szCs w:val="24"/>
        </w:rPr>
        <w:t xml:space="preserve">01.02.2022, регистрационный № </w:t>
      </w:r>
      <w:r>
        <w:rPr>
          <w:color w:val="000000" w:themeColor="text1"/>
          <w:sz w:val="24"/>
          <w:szCs w:val="24"/>
        </w:rPr>
        <w:t xml:space="preserve">67084);</w:t>
      </w:r>
      <w:r>
        <w:rPr>
          <w:rStyle w:val="1258"/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86"/>
        <w:ind w:left="0" w:right="0" w:firstLine="567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30) </w:t>
      </w:r>
      <w:r>
        <w:rPr>
          <w:rStyle w:val="1258"/>
          <w:rFonts w:eastAsiaTheme="minorEastAsia"/>
          <w:color w:val="000000" w:themeColor="text1"/>
          <w:sz w:val="24"/>
          <w:szCs w:val="24"/>
        </w:rPr>
        <w:t xml:space="preserve">Приказа Федеральной службы по надзору в сфере природопользования от 13.09.2022 № 401 «Об утвержде</w:t>
      </w:r>
      <w:r>
        <w:rPr>
          <w:rStyle w:val="1258"/>
          <w:rFonts w:eastAsiaTheme="minorEastAsia"/>
          <w:color w:val="000000" w:themeColor="text1"/>
          <w:sz w:val="24"/>
          <w:szCs w:val="24"/>
        </w:rPr>
        <w:t xml:space="preserve">нии методических рекомендаций по осуществлению мониторинга ведения органами исполнительной власти субъектов Российской Федерации регионального реестра объектов, оказывающих негативное воздействие на окружающую среду»;</w:t>
      </w:r>
      <w:r>
        <w:rPr>
          <w:rStyle w:val="1258"/>
          <w:rFonts w:eastAsiaTheme="minorEastAsia"/>
          <w:color w:val="000000" w:themeColor="text1"/>
          <w:sz w:val="24"/>
          <w:szCs w:val="24"/>
        </w:rPr>
      </w:r>
      <w:r>
        <w:rPr>
          <w:rFonts w:eastAsiaTheme="minorEastAsia"/>
          <w:color w:val="000000" w:themeColor="text1"/>
          <w:sz w:val="28"/>
          <w:szCs w:val="28"/>
        </w:rPr>
      </w:r>
    </w:p>
    <w:p>
      <w:pPr>
        <w:pStyle w:val="131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31) иные акты законодательства Российской Федерации, акты Президента Российской Федерации и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Правительства Российской Федерации, нормативные правовые акты Минприроды России, нормативные и иные правовые акты Росприроднадзора и других государственных органов, регулирующие вопросы, связанные с областью и видом профессиональной служебной деятельности.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базовых умений: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1) общие умения: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мыслить системно (стратегически);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коммуникативные умения;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управлять изменениями;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4"/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2) в области информационно-коммуникационных технологий, включая умения по применению персонального компьютера: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оперативно осуществлять поиск необходимой информации, в том числе с использованием информационно-телекоммуникационной сети «Интернет»;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</w:r>
      <w:hyperlink r:id="rId16" w:tooltip="&lt;div class=&quot;doc www&quot;&gt;&lt;span class=&quot;aligner&quot;&gt;&lt;div class=&quot;icon listDocWWW-16&quot;&gt;&lt;/div&gt;&lt;/span&gt;pravo.gov.ru&lt;/div&gt;" w:history="1">
        <w:r>
          <w:rPr>
            <w:rStyle w:val="997"/>
            <w:rFonts w:ascii="Times New Roman" w:hAnsi="Times New Roman" w:eastAsia="Times New Roman" w:cs="Times New Roman"/>
            <w:color w:val="auto"/>
            <w:sz w:val="24"/>
            <w:szCs w:val="24"/>
            <w:highlight w:val="none"/>
            <w:u w:val="none"/>
          </w:rPr>
          <w:t xml:space="preserve">pravo.gov.ru</w:t>
        </w:r>
      </w:hyperlink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);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работать с текстовыми документами, электронными таблицами и презентациями, включая их создание, редактирование и форматирование, сохранение и печать;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работать с общими сетевыми ресурсами (сетевыми дисками, папками).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  <w:highlight w:val="none"/>
        </w:rPr>
        <w:t xml:space="preserve">Наличие профессиональных умений: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p>
      <w:pPr>
        <w:pStyle w:val="128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практическое применение нормативно-правовых актов в области охраны окружающей среды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8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работа с федеральными информационными ресурсами и информационными системами в сфере охраны окружающей среды;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28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работа со статистическими и отчетными данными;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4) работа в единой государственной информационной системе учета отходов от использования тов</w:t>
      </w:r>
      <w:r>
        <w:rPr>
          <w:color w:val="000000" w:themeColor="text1"/>
          <w:sz w:val="24"/>
          <w:szCs w:val="24"/>
        </w:rPr>
        <w:t xml:space="preserve">аров.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13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highlight w:val="none"/>
        </w:rPr>
        <w:t xml:space="preserve">Должностные обязанности: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286"/>
        <w:numPr>
          <w:ilvl w:val="0"/>
          <w:numId w:val="49"/>
        </w:numPr>
        <w:ind w:left="0" w:right="0" w:firstLine="567"/>
        <w:jc w:val="both"/>
        <w:spacing w:line="240" w:lineRule="auto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осуществлять полномочия администратора доходов бюджетов бюджетной системы Российской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Федерации в отношении источников доходов бюджетов бю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джетной системы Российской Федерации, закрепленных за территориальными органами Росприроднадзора (плата за негативное воздействие на окружающую среду, денежные взыскания (штрафы), суммы в возмещение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вреда, причиненного окружающей среде, экологический сбор,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государственная пошлина за предоставление (переоформление) лицензии, выдачу разрешительных документов, иные поступления):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86"/>
        <w:ind w:left="0" w:right="0" w:firstLine="567"/>
        <w:jc w:val="both"/>
        <w:spacing w:line="240" w:lineRule="auto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17.1) осуществлять начисление, учет и контроль за правильностью исчисления, полнотой и своевременностью осуществления платежей в бюдж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ет, пеней по ним;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286"/>
        <w:ind w:left="0" w:right="0" w:firstLine="567"/>
        <w:jc w:val="both"/>
        <w:spacing w:line="240" w:lineRule="auto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17.2) осуществлять взыскан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ие задолженности по платежам в бюджет, пеней и штрафов;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301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17.3) принимать решение о возврате излишне уплаченных (взысканных) платежей в бюджет, пеней  и представления поручений в орган Федерального казначейства для</w:t>
      </w:r>
      <w:r>
        <w:rPr>
          <w:color w:val="000000" w:themeColor="text1"/>
          <w:sz w:val="24"/>
          <w:szCs w:val="24"/>
        </w:rPr>
        <w:t xml:space="preserve"> осуществления возврата в </w:t>
      </w:r>
      <w:hyperlink r:id="rId17" w:tooltip="consultantplus://offline/ref=896CD84A69BBD268F75F29E825A951CE9AC5EC046DBAFEAAAA51220A44E10D5E7C5B9EB270AFA1DF8DED04CB712B5C502E7A211FC3263AB4m178A" w:history="1">
        <w:r>
          <w:rPr>
            <w:color w:val="000000" w:themeColor="text1"/>
            <w:sz w:val="24"/>
            <w:szCs w:val="24"/>
          </w:rPr>
          <w:t xml:space="preserve">порядке</w:t>
        </w:r>
      </w:hyperlink>
      <w:r>
        <w:rPr>
          <w:color w:val="000000" w:themeColor="text1"/>
          <w:sz w:val="24"/>
          <w:szCs w:val="24"/>
        </w:rPr>
        <w:t xml:space="preserve">, установленном Министерством финансов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1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17.4) принимать решение о зачете (уточнении) платежей в бюджеты бюджетной системы Российской Федерации </w:t>
      </w:r>
      <w:r>
        <w:rPr>
          <w:color w:val="000000" w:themeColor="text1"/>
          <w:sz w:val="24"/>
          <w:szCs w:val="24"/>
        </w:rPr>
        <w:t xml:space="preserve">и представления уведомлений в орган Федерального казначейства;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86"/>
        <w:ind w:left="0" w:right="0" w:firstLine="567"/>
        <w:jc w:val="both"/>
        <w:spacing w:line="240" w:lineRule="auto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17.5)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осуществлять доведение до плательщиков сведений о реквизитах и иных сведений, необходимых для заполнения расчетных документов на перечисление платежей в бюджеты бюджетной системы Российской Федерации;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301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17.6) осуществлять уточнение невыясненных поступлений,</w:t>
      </w:r>
      <w:r>
        <w:rPr>
          <w:color w:val="000000" w:themeColor="text1"/>
          <w:sz w:val="24"/>
          <w:szCs w:val="24"/>
        </w:rPr>
        <w:t xml:space="preserve"> осуществляемое в порядке, установленном законодательством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86"/>
        <w:ind w:left="0" w:right="0" w:firstLine="567"/>
        <w:jc w:val="both"/>
        <w:spacing w:line="240" w:lineRule="auto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17.7) подготавливать документы для принятия решения о признании безнадежной к взысканию задолженности по платежам в бюджет;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301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17.8) осуществлять сверку отчетных данных администр</w:t>
      </w:r>
      <w:r>
        <w:rPr>
          <w:color w:val="000000" w:themeColor="text1"/>
          <w:sz w:val="24"/>
          <w:szCs w:val="24"/>
        </w:rPr>
        <w:t xml:space="preserve">атора доходов федерального бюджета с отчетными данными, полученными от территориальных органов Федерального казначейства по мере обращения администратора доходов федерального бюджета в территориальные органы Федерального казначейства;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1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17.9) формировать бюд</w:t>
      </w:r>
      <w:r>
        <w:rPr>
          <w:color w:val="000000" w:themeColor="text1"/>
          <w:sz w:val="24"/>
          <w:szCs w:val="24"/>
        </w:rPr>
        <w:t xml:space="preserve">жетную отчетность по формам, установленным законодательством Российской Федерации, необходимую для осуществления Росприроднадзором полномочий главного администратора доходов бюджета;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286"/>
        <w:ind w:left="0" w:right="0" w:firstLine="567"/>
        <w:jc w:val="both"/>
        <w:spacing w:line="240" w:lineRule="auto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17.10) формировать сведения, необходимые для составления прогнозов поступ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лений доходов федерального бюджета, аналитические материалы по исполнению доходов федерального бюджета и иные сведения, необходимые для осуществления Росприроднадзором полномочий главного администратора доходов бюджета в сроки, установленные Росприроднадзо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ром;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301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18) формировать документы для принудительного взыскания платежей в бюджет бюджетной системы Российской Федерации через судебные органы, судебных приставов, в случаях,</w:t>
      </w:r>
      <w:r>
        <w:rPr>
          <w:color w:val="000000" w:themeColor="text1"/>
          <w:sz w:val="24"/>
          <w:szCs w:val="24"/>
        </w:rPr>
        <w:t xml:space="preserve"> предусмотренных законодательством Российской Федерации;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19) осуществлять контроль пос</w:t>
      </w:r>
      <w:r>
        <w:rPr>
          <w:color w:val="000000" w:themeColor="text1"/>
          <w:sz w:val="24"/>
          <w:szCs w:val="24"/>
        </w:rPr>
        <w:t xml:space="preserve">туплений по сборам, вносимых заказчиками документации, подлежащей государственной экологической экспертизе, организация и проведение которой осуществляется федеральным органом исполнительной власти в области экологической экспертизы, рассчитанных в </w:t>
      </w:r>
      <w:r>
        <w:rPr>
          <w:color w:val="000000" w:themeColor="text1"/>
          <w:sz w:val="24"/>
          <w:szCs w:val="24"/>
        </w:rPr>
        <w:t xml:space="preserve">соответ</w:t>
      </w:r>
      <w:r>
        <w:rPr>
          <w:color w:val="000000" w:themeColor="text1"/>
          <w:sz w:val="24"/>
          <w:szCs w:val="24"/>
        </w:rPr>
        <w:t xml:space="preserve">ствии со сметой расходов на проведение государственной экологической экспертизы;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20) осуществлять ежегодный сбор на бумажных и машиночитаемых носителях от индивидуальных предпринимателей, юридических лиц декларации о плате за негативное воздействие на окру</w:t>
      </w:r>
      <w:r>
        <w:rPr>
          <w:color w:val="000000" w:themeColor="text1"/>
          <w:sz w:val="24"/>
          <w:szCs w:val="24"/>
        </w:rPr>
        <w:t xml:space="preserve">жающую среду, ее автоматизированную обработку, с последующей интеграцией в ПТК «Госконтроль», систематизацию на территориальном уровне;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1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21) осуществлять ежегодный сбор на бумажных и машиночитаемых носителях от индивидуальных предпринимателей, юридических л</w:t>
      </w:r>
      <w:r>
        <w:rPr>
          <w:color w:val="000000" w:themeColor="text1"/>
          <w:sz w:val="24"/>
          <w:szCs w:val="24"/>
        </w:rPr>
        <w:t xml:space="preserve">иц расчета суммы экологического сбора, автоматизированную обработку, с последующей интеграцией в ПТК «Госконтроль», систематизацию на территориальном уровне.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1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22) осуществлять контроль за правильностью исчисления, полнотой и своевременностью уплаты экологич</w:t>
      </w:r>
      <w:r>
        <w:rPr>
          <w:color w:val="000000" w:themeColor="text1"/>
          <w:sz w:val="24"/>
          <w:szCs w:val="24"/>
        </w:rPr>
        <w:t xml:space="preserve">еского сбора, платы за негативное воздействие на окружающую среду, вносимой плательщиками платы, в том числе, в случае признания вскрышных и вмещающих горных пород отходами производства и потребления в соответствии со </w:t>
      </w:r>
      <w:hyperlink r:id="rId18" w:tooltip="https://login.consultant.ru/link/?req=doc&amp;base=LAW&amp;n=471078&amp;dst=813" w:history="1">
        <w:r>
          <w:rPr>
            <w:color w:val="000000" w:themeColor="text1"/>
            <w:sz w:val="24"/>
            <w:szCs w:val="24"/>
          </w:rPr>
          <w:t xml:space="preserve">статьей 23.5</w:t>
        </w:r>
      </w:hyperlink>
      <w:r>
        <w:rPr>
          <w:color w:val="000000" w:themeColor="text1"/>
          <w:sz w:val="24"/>
          <w:szCs w:val="24"/>
        </w:rPr>
        <w:t xml:space="preserve"> Закона Российской Федерации «О недрах», с учетом наличия согласования проектной документации, предусматривающей использовани</w:t>
      </w:r>
      <w:r>
        <w:rPr>
          <w:color w:val="000000" w:themeColor="text1"/>
          <w:sz w:val="24"/>
          <w:szCs w:val="24"/>
        </w:rPr>
        <w:t xml:space="preserve">е вскрышных и вмещающих горных пород, Росприроднадзором и данных полученных в результате контрольных надзорных мероприятий;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1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23) осуществлять прием деклараций о количестве выпущенных в обращении на территории </w:t>
      </w:r>
      <w:r>
        <w:rPr>
          <w:rStyle w:val="1255"/>
          <w:rFonts w:ascii="Times New Roman" w:hAnsi="Times New Roman" w:cs="Times New Roman"/>
          <w:color w:val="000000" w:themeColor="text1"/>
          <w:sz w:val="24"/>
          <w:szCs w:val="24"/>
        </w:rPr>
        <w:t xml:space="preserve">Российской Федерации</w:t>
      </w:r>
      <w:r>
        <w:rPr>
          <w:color w:val="000000" w:themeColor="text1"/>
          <w:sz w:val="24"/>
          <w:szCs w:val="24"/>
        </w:rPr>
        <w:t xml:space="preserve"> готовых товаров, упаковки т</w:t>
      </w:r>
      <w:r>
        <w:rPr>
          <w:color w:val="000000" w:themeColor="text1"/>
          <w:sz w:val="24"/>
          <w:szCs w:val="24"/>
        </w:rPr>
        <w:t xml:space="preserve">оваров, реализованных для внутреннего потребления на территории Российской Федерации за предыдущий календарный год, её автоматизированную обработку, с последующей интеграцией в ПТК «Госконтроль», систематизацию на территориальном уровне;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1255"/>
          <w:rFonts w:ascii="Times New Roman" w:hAnsi="Times New Roman" w:cs="Times New Roman"/>
          <w:color w:val="000000" w:themeColor="text1"/>
          <w:sz w:val="24"/>
          <w:szCs w:val="24"/>
        </w:rPr>
        <w:t xml:space="preserve">24) осуществлять п</w:t>
      </w:r>
      <w:r>
        <w:rPr>
          <w:rStyle w:val="1255"/>
          <w:rFonts w:ascii="Times New Roman" w:hAnsi="Times New Roman" w:cs="Times New Roman"/>
          <w:color w:val="000000" w:themeColor="text1"/>
          <w:sz w:val="24"/>
          <w:szCs w:val="24"/>
        </w:rPr>
        <w:t xml:space="preserve">рием отчетности о выполнении нормативов утилизации отходов от использования товаров, представляемой производителями товаров, подлежащих утилизации, за истекший календарный год,</w:t>
      </w:r>
      <w:r>
        <w:rPr>
          <w:color w:val="000000" w:themeColor="text1"/>
          <w:sz w:val="24"/>
          <w:szCs w:val="24"/>
        </w:rPr>
        <w:t xml:space="preserve"> с последующей интеграцией в ПТК «Госконтроль», систематизацию на территориально</w:t>
      </w:r>
      <w:r>
        <w:rPr>
          <w:color w:val="000000" w:themeColor="text1"/>
          <w:sz w:val="24"/>
          <w:szCs w:val="24"/>
        </w:rPr>
        <w:t xml:space="preserve">м уровне;</w:t>
      </w:r>
      <w:r>
        <w:rPr>
          <w:rStyle w:val="1255"/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ff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1255"/>
          <w:rFonts w:ascii="Times New Roman" w:hAnsi="Times New Roman" w:cs="Times New Roman"/>
          <w:color w:val="000000" w:themeColor="text1"/>
          <w:sz w:val="24"/>
          <w:szCs w:val="24"/>
        </w:rPr>
        <w:t xml:space="preserve">25) осуществлять учет и контроль выполнения установленных нормативов утилизации отходов от использования товаров, упаковки, </w:t>
      </w:r>
      <w:r>
        <w:rPr>
          <w:rStyle w:val="1255"/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которых обеспечивать: </w:t>
      </w:r>
      <w:r>
        <w:rPr>
          <w:rStyle w:val="1255"/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ff0000" w:themeColor="text1"/>
          <w:sz w:val="28"/>
          <w:szCs w:val="28"/>
        </w:rPr>
      </w:r>
    </w:p>
    <w:p>
      <w:pPr>
        <w:pStyle w:val="1301"/>
        <w:numPr>
          <w:ilvl w:val="0"/>
          <w:numId w:val="50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color w:val="ff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1255"/>
          <w:rFonts w:ascii="Times New Roman" w:hAnsi="Times New Roman"/>
          <w:color w:val="000000" w:themeColor="text1"/>
          <w:sz w:val="24"/>
          <w:szCs w:val="24"/>
        </w:rPr>
        <w:t xml:space="preserve">соблюдение сроков проверки форм отчётности, </w:t>
      </w:r>
      <w:r>
        <w:rPr>
          <w:color w:val="000000" w:themeColor="text1"/>
          <w:sz w:val="24"/>
          <w:szCs w:val="24"/>
        </w:rPr>
      </w:r>
      <w:r>
        <w:rPr>
          <w:color w:val="ff0000" w:themeColor="text1"/>
          <w:sz w:val="28"/>
          <w:szCs w:val="28"/>
        </w:rPr>
      </w:r>
    </w:p>
    <w:p>
      <w:pPr>
        <w:pStyle w:val="1301"/>
        <w:numPr>
          <w:ilvl w:val="0"/>
          <w:numId w:val="50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color w:val="ff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1255"/>
          <w:rFonts w:ascii="Times New Roman" w:hAnsi="Times New Roman"/>
          <w:color w:val="000000" w:themeColor="text1"/>
          <w:sz w:val="24"/>
          <w:szCs w:val="24"/>
        </w:rPr>
        <w:t xml:space="preserve">качественное рассмотрение представленных форм отчётности, включающее анализ представленной информации на предмет достаточности и достоверности, </w:t>
      </w:r>
      <w:r>
        <w:rPr>
          <w:color w:val="000000" w:themeColor="text1"/>
          <w:sz w:val="24"/>
          <w:szCs w:val="24"/>
        </w:rPr>
      </w:r>
      <w:r>
        <w:rPr>
          <w:color w:val="ff0000" w:themeColor="text1"/>
          <w:sz w:val="28"/>
          <w:szCs w:val="28"/>
        </w:rPr>
      </w:r>
    </w:p>
    <w:p>
      <w:pPr>
        <w:pStyle w:val="1301"/>
        <w:numPr>
          <w:ilvl w:val="0"/>
          <w:numId w:val="50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color w:val="ff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1255"/>
          <w:rFonts w:ascii="Times New Roman" w:hAnsi="Times New Roman"/>
          <w:color w:val="000000" w:themeColor="text1"/>
          <w:sz w:val="24"/>
          <w:szCs w:val="24"/>
        </w:rPr>
        <w:t xml:space="preserve">принятие соответствующих решений о подтверждении отчетности о выполнении самостоятельной утилизации; </w:t>
      </w:r>
      <w:r>
        <w:rPr>
          <w:rStyle w:val="1255"/>
          <w:rFonts w:ascii="Times New Roman" w:hAnsi="Times New Roman"/>
          <w:color w:val="000000" w:themeColor="text1"/>
          <w:sz w:val="24"/>
          <w:szCs w:val="24"/>
        </w:rPr>
        <w:t xml:space="preserve">о подтвержд</w:t>
      </w:r>
      <w:r>
        <w:rPr>
          <w:rStyle w:val="1255"/>
          <w:rFonts w:ascii="Times New Roman" w:hAnsi="Times New Roman"/>
          <w:color w:val="000000" w:themeColor="text1"/>
          <w:sz w:val="24"/>
          <w:szCs w:val="24"/>
        </w:rPr>
        <w:t xml:space="preserve">ении отчетности о выполнении самостоятельной утилизации в иной массе товаров, чем предусмотрено отчетностью; об отказе в подтверждении отчетности, а также направление уведомлений о принятом решении, </w:t>
      </w:r>
      <w:r>
        <w:rPr>
          <w:color w:val="000000" w:themeColor="text1"/>
          <w:sz w:val="24"/>
          <w:szCs w:val="24"/>
        </w:rPr>
      </w:r>
      <w:r>
        <w:rPr>
          <w:color w:val="ff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rPr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1255"/>
          <w:rFonts w:ascii="Times New Roman" w:hAnsi="Times New Roman"/>
          <w:color w:val="000000" w:themeColor="text1"/>
          <w:sz w:val="24"/>
          <w:szCs w:val="24"/>
        </w:rPr>
        <w:t xml:space="preserve">- </w:t>
      </w:r>
      <w:r>
        <w:rPr>
          <w:rStyle w:val="1255"/>
          <w:rFonts w:ascii="Times New Roman" w:hAnsi="Times New Roman"/>
          <w:color w:val="000000" w:themeColor="text1"/>
          <w:sz w:val="24"/>
          <w:szCs w:val="24"/>
        </w:rPr>
        <w:t xml:space="preserve">направление в установленных случаях соответствующих пред</w:t>
      </w:r>
      <w:r>
        <w:rPr>
          <w:rStyle w:val="1255"/>
          <w:rFonts w:ascii="Times New Roman" w:hAnsi="Times New Roman"/>
          <w:color w:val="000000" w:themeColor="text1"/>
          <w:sz w:val="24"/>
          <w:szCs w:val="24"/>
        </w:rPr>
        <w:t xml:space="preserve">писаний лицу, представившему сведения или допустившему нарушение сроков представления в единую федеральную государственную систему учета отходов от использования товаров сведений и документов, а также предписаний о необходимости уплаты экологического сбора</w:t>
      </w:r>
      <w:r>
        <w:rPr>
          <w:rStyle w:val="1255"/>
          <w:rFonts w:ascii="Times New Roman" w:hAnsi="Times New Roman"/>
          <w:color w:val="000000" w:themeColor="text1"/>
          <w:sz w:val="24"/>
          <w:szCs w:val="24"/>
        </w:rPr>
        <w:t xml:space="preserve"> с указанием размера подлежащего уплате экологического сбора, 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301"/>
        <w:numPr>
          <w:ilvl w:val="0"/>
          <w:numId w:val="50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color w:val="ff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1255"/>
          <w:rFonts w:ascii="Times New Roman" w:hAnsi="Times New Roman"/>
          <w:color w:val="000000" w:themeColor="text1"/>
          <w:sz w:val="24"/>
          <w:szCs w:val="24"/>
        </w:rPr>
        <w:t xml:space="preserve">при</w:t>
      </w:r>
      <w:r>
        <w:rPr>
          <w:rStyle w:val="1255"/>
          <w:rFonts w:ascii="Times New Roman" w:hAnsi="Times New Roman"/>
          <w:color w:val="000000" w:themeColor="text1"/>
          <w:sz w:val="24"/>
          <w:szCs w:val="24"/>
        </w:rPr>
        <w:t xml:space="preserve">нятие исчерпывающих мер, в том числе направление требований, актов контроля, </w:t>
      </w:r>
      <w:r>
        <w:rPr>
          <w:color w:val="000000" w:themeColor="text1"/>
          <w:sz w:val="24"/>
          <w:szCs w:val="24"/>
        </w:rPr>
      </w:r>
      <w:r>
        <w:rPr>
          <w:color w:val="ff0000" w:themeColor="text1"/>
          <w:sz w:val="28"/>
          <w:szCs w:val="28"/>
        </w:rPr>
      </w:r>
    </w:p>
    <w:p>
      <w:pPr>
        <w:pStyle w:val="1301"/>
        <w:numPr>
          <w:ilvl w:val="0"/>
          <w:numId w:val="50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color w:val="ff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1255"/>
          <w:rFonts w:ascii="Times New Roman" w:hAnsi="Times New Roman"/>
          <w:color w:val="000000" w:themeColor="text1"/>
          <w:sz w:val="24"/>
          <w:szCs w:val="24"/>
        </w:rPr>
        <w:t xml:space="preserve">принятие мер административной ответственности при наличии достаточных данных, указывающих на события администрат</w:t>
      </w:r>
      <w:r>
        <w:rPr>
          <w:rStyle w:val="1255"/>
          <w:rFonts w:ascii="Times New Roman" w:hAnsi="Times New Roman"/>
          <w:color w:val="000000" w:themeColor="text1"/>
          <w:sz w:val="24"/>
          <w:szCs w:val="24"/>
        </w:rPr>
        <w:t xml:space="preserve">ивного правонарушения,</w:t>
      </w:r>
      <w:r>
        <w:rPr>
          <w:color w:val="000000" w:themeColor="text1"/>
          <w:sz w:val="24"/>
          <w:szCs w:val="24"/>
        </w:rPr>
      </w:r>
      <w:r>
        <w:rPr>
          <w:color w:val="ff0000" w:themeColor="text1"/>
          <w:sz w:val="28"/>
          <w:szCs w:val="28"/>
        </w:rPr>
      </w:r>
    </w:p>
    <w:p>
      <w:pPr>
        <w:pStyle w:val="1301"/>
        <w:numPr>
          <w:ilvl w:val="0"/>
          <w:numId w:val="50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color w:val="ff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1255"/>
          <w:rFonts w:ascii="Times New Roman" w:hAnsi="Times New Roman"/>
          <w:color w:val="000000" w:themeColor="text1"/>
          <w:sz w:val="24"/>
          <w:szCs w:val="24"/>
        </w:rPr>
        <w:t xml:space="preserve">проведение профилактической работы по выявлению потенциальных производителей и импортеров товаров, упаковки и информированию об обязательствах РОП, </w:t>
      </w:r>
      <w:r>
        <w:rPr>
          <w:color w:val="000000" w:themeColor="text1"/>
          <w:sz w:val="24"/>
          <w:szCs w:val="24"/>
        </w:rPr>
      </w:r>
      <w:r>
        <w:rPr>
          <w:color w:val="ff0000" w:themeColor="text1"/>
          <w:sz w:val="28"/>
          <w:szCs w:val="28"/>
        </w:rPr>
      </w:r>
    </w:p>
    <w:p>
      <w:pPr>
        <w:pStyle w:val="1301"/>
        <w:numPr>
          <w:ilvl w:val="0"/>
          <w:numId w:val="50"/>
        </w:numPr>
        <w:ind w:left="0" w:right="0" w:firstLine="567"/>
        <w:jc w:val="both"/>
        <w:spacing w:line="240" w:lineRule="auto"/>
        <w:tabs>
          <w:tab w:val="left" w:pos="850" w:leader="none"/>
        </w:tabs>
        <w:rPr>
          <w:color w:val="ff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1255"/>
          <w:rFonts w:ascii="Times New Roman" w:hAnsi="Times New Roman"/>
          <w:color w:val="000000" w:themeColor="text1"/>
          <w:sz w:val="24"/>
          <w:szCs w:val="24"/>
        </w:rPr>
        <w:t xml:space="preserve">принятие профилактических мер в отношении юридических лиц, индивидуальных предприним</w:t>
      </w:r>
      <w:r>
        <w:rPr>
          <w:rStyle w:val="1255"/>
          <w:rFonts w:ascii="Times New Roman" w:hAnsi="Times New Roman"/>
          <w:color w:val="000000" w:themeColor="text1"/>
          <w:sz w:val="24"/>
          <w:szCs w:val="24"/>
        </w:rPr>
        <w:t xml:space="preserve">ателей, осуществляющих утилизацию товаров, упаковки;</w:t>
      </w:r>
      <w:r>
        <w:rPr>
          <w:color w:val="000000" w:themeColor="text1"/>
          <w:sz w:val="24"/>
          <w:szCs w:val="24"/>
        </w:rPr>
      </w:r>
      <w:r>
        <w:rPr>
          <w:color w:val="ff0000" w:themeColor="text1"/>
          <w:sz w:val="28"/>
          <w:szCs w:val="28"/>
        </w:rPr>
      </w:r>
    </w:p>
    <w:p>
      <w:pPr>
        <w:pStyle w:val="1301"/>
        <w:ind w:left="0" w:right="0" w:firstLine="567"/>
        <w:jc w:val="both"/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26) принимать участие в ведении единой государственной системы отходов от использования товаров в рамках своей компетенции;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1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27) принимать участие в в</w:t>
      </w:r>
      <w:r>
        <w:rPr>
          <w:rStyle w:val="1255"/>
          <w:rFonts w:ascii="Times New Roman" w:hAnsi="Times New Roman" w:cs="Times New Roman"/>
          <w:color w:val="000000" w:themeColor="text1"/>
          <w:sz w:val="24"/>
          <w:szCs w:val="24"/>
        </w:rPr>
        <w:t xml:space="preserve">ыполнении функции оператора единой государственной инф</w:t>
      </w:r>
      <w:r>
        <w:rPr>
          <w:rStyle w:val="1255"/>
          <w:rFonts w:ascii="Times New Roman" w:hAnsi="Times New Roman" w:cs="Times New Roman"/>
          <w:color w:val="000000" w:themeColor="text1"/>
          <w:sz w:val="24"/>
          <w:szCs w:val="24"/>
        </w:rPr>
        <w:t xml:space="preserve">ормационной системы учета отходов от использования товаров</w:t>
      </w:r>
      <w:r>
        <w:rPr>
          <w:color w:val="000000" w:themeColor="text1"/>
          <w:sz w:val="24"/>
          <w:szCs w:val="24"/>
        </w:rPr>
        <w:t xml:space="preserve"> в рамках своей компетенции</w:t>
      </w:r>
      <w:r>
        <w:rPr>
          <w:rStyle w:val="1255"/>
          <w:rFonts w:ascii="Times New Roman" w:hAnsi="Times New Roman" w:cs="Times New Roman"/>
          <w:color w:val="000000" w:themeColor="text1"/>
          <w:sz w:val="24"/>
          <w:szCs w:val="24"/>
        </w:rPr>
        <w:t xml:space="preserve">;</w:t>
      </w:r>
      <w:r>
        <w:rPr>
          <w:rStyle w:val="1255"/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28) осуществлять свои полномочия на территории Магаданской области и Чукотского автономного округа во взаимодействии с Управлением федерального казначейства по Магаданск</w:t>
      </w:r>
      <w:r>
        <w:rPr>
          <w:color w:val="000000" w:themeColor="text1"/>
          <w:sz w:val="24"/>
          <w:szCs w:val="24"/>
        </w:rPr>
        <w:t xml:space="preserve">ой области, с Управлением федерального казначейства по Чукотскому автономному округу, Управлением ФНС РФ по Магаданской области, Управлением ФНС РФ по Чукотскому автономному округу, с финансовыми органами Магаданской области и Чукотского автономного округа</w:t>
      </w:r>
      <w:r>
        <w:rPr>
          <w:color w:val="000000" w:themeColor="text1"/>
          <w:sz w:val="24"/>
          <w:szCs w:val="24"/>
        </w:rPr>
        <w:t xml:space="preserve">, другими территориальными органами государственной власти и учреждениями.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Взаимодействие с указанными органами при осуществлении Отделом своих полномочий регулируется законодательством Российской Федерации и соглашениями между Управлением и соответствующи</w:t>
      </w:r>
      <w:r>
        <w:rPr>
          <w:color w:val="000000" w:themeColor="text1"/>
          <w:sz w:val="24"/>
          <w:szCs w:val="24"/>
        </w:rPr>
        <w:t xml:space="preserve">м органом, осуществляющим свою деятельность на территории Магаданской области и Чукотского автономного округа;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29) осуществлять федеральный государственный экологический надзор в установленной сфере деятельности;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567"/>
        <w:jc w:val="both"/>
        <w:spacing w:line="240" w:lineRule="auto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30) осуществлять в пределах своей компетенц</w:t>
      </w:r>
      <w:r>
        <w:rPr>
          <w:color w:val="000000" w:themeColor="text1"/>
          <w:sz w:val="24"/>
          <w:szCs w:val="24"/>
        </w:rPr>
        <w:t xml:space="preserve">ии производство по делам об административных правонарушениях;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1"/>
        <w:ind w:left="0" w:right="0" w:firstLine="567"/>
        <w:jc w:val="both"/>
        <w:spacing w:line="240" w:lineRule="auto"/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 xml:space="preserve">31) осуществлять обработку персональных данных, доступ к персональным данным в связи с исполнением установленных положением об отделе полномочий;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8"/>
          <w:szCs w:val="28"/>
        </w:rPr>
      </w:r>
    </w:p>
    <w:p>
      <w:pPr>
        <w:pStyle w:val="1309"/>
        <w:ind w:left="0" w:right="0" w:firstLine="567"/>
        <w:jc w:val="both"/>
        <w:spacing w:line="240" w:lineRule="auto"/>
        <w:shd w:val="clear" w:color="auto" w:fill="ffffff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32) о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существлять мониторинг ведения органами исполнительной власти Магаданской области и Чукотского автономного округа регионального реестра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объектов, оказывающих негативное воздействие на окружающую среду.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1301"/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Специали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сты, отнесенные к старшей группе должностей, одновременно по должности являются государственными инспекторами Российской Федерации в области охраны окружающей среды Северо-Восточного межрегионального управления Росприроднадзора.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Основные обязанност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также ограничения, запреты и требования к служебному поведению, установлены статьями 15-18, 20, 20.1, 20.2, 20.3 Федерального закона от 27.07.2004 № 79-ФЗ «О государственной гражданской службе Российской Федерации».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Права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гражданского служащего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установлены статьей 14 Федерального закона от 07.07.2004 № 79-ФЗ «О государственной гражданской службе Российской Федерации».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1015"/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Ответственность: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highlight w:val="none"/>
        </w:rPr>
        <w:t xml:space="preserve">за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неисполнение или ненадлежащее исполнение должностных обязанностей гражданский служащий может быть привлечен к ответственности в соответствии с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t xml:space="preserve">Показатели эффективности и результативности профессиональной служебной деятельности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оцениваются по следующим показателям: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выполняемый объем работы и интенсивность труда, способность сохранять высокую работоспособность в сложных условиях, соблюдение служебной дисциплины;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своевременность и оперативнос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ть выполнения поручений; качество выполненной работы (подготовка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документа, отсутствие стилистических и грамматических ошибок);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профессиональная компетентность (знание законодательных и иных нормативных правовых актов, широта профессионального кругозора, умение работать с документами);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умение рационально использовать рабочее время, расставлять приоритеты;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творческий подход к решению поставленных задач, активность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 инициатива в освоении новых компьютерных и информационных технологий, способность быстро адаптироваться к новым условиям и требованиям;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осознание ответственности за последствия своих действий, принимаемых решений.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015"/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Условия прохождения гражданской службы</w:t>
      </w: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:</w:t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i w:val="0"/>
          <w:iCs w:val="0"/>
          <w:sz w:val="24"/>
          <w:szCs w:val="24"/>
          <w:highlight w:val="none"/>
        </w:rPr>
      </w:r>
    </w:p>
    <w:p>
      <w:pPr>
        <w:pStyle w:val="1301"/>
        <w:numPr>
          <w:ilvl w:val="0"/>
          <w:numId w:val="19"/>
        </w:num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Примерный размер денежного содержания (оплаты труда):</w:t>
      </w:r>
      <w:r>
        <w:rPr>
          <w:rFonts w:ascii="Times New Roman" w:hAnsi="Times New Roman" w:eastAsia="Times New Roman" w:cs="Times New Roman"/>
          <w:b/>
          <w:i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от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67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 800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руб. до 112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  <w:lang w:val="ru-RU"/>
        </w:rPr>
        <w:t xml:space="preserve"> 200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  <w:t xml:space="preserve"> руб.</w:t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301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Ежегодный оплачиваемый отпуск гражданского служащего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(работника)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: от 57 календарных дней до 67 календарных дней.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1301"/>
        <w:numPr>
          <w:ilvl w:val="0"/>
          <w:numId w:val="46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Оплата стоимости проезда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 месту использования отпуска: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один раз в два года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sz w:val="24"/>
          <w:szCs w:val="24"/>
          <w:highlight w:val="none"/>
        </w:rPr>
      </w:r>
    </w:p>
    <w:p>
      <w:pPr>
        <w:pStyle w:val="1301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Служебное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(рабочее) время: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5-ти дневная служебная (рабочая) неделя, с 9.00 до 18.00 для мужчин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с 9.00 до 17.30 (в пятницу в 16.00) для женщин. Обед с 13.00 до 14.00. Выходные – суббота и воскресенье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1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Нормированность рабочего дня: ненормированный.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1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Командировки: 10 % служебного времени.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1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Тип служебного контракта (трудового договора): бессрочный.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1"/>
        <w:numPr>
          <w:ilvl w:val="0"/>
          <w:numId w:val="19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Гарантии, предоставляемые государственному служащему / социальный пак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соответствии с действующим законодательством Российской Федерации, предусмотренные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Трудовым кодексом Российской Федерации,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Федеральным законом от 27.07.2004 № 79-ФЗ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государственной гражданской службе Российской Федерации», Постановлением Правительства Российской Федерации от 15.02.2025 № 164 </w:t>
      </w:r>
      <w:r>
        <w:rPr>
          <w:rFonts w:ascii="Times New Roman" w:hAnsi="Times New Roman" w:eastAsia="Times New Roman" w:cs="Times New Roman"/>
          <w:bCs/>
          <w:color w:val="22272f"/>
          <w:sz w:val="24"/>
          <w:szCs w:val="24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Об утверждении Правил компенсации расходов на оплату стоимости проезда и провоза багажа к месту использования отпуска и обрат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но для лиц, работающих в федеральных государственных органах, государственных внебюджетных фондах Российской Федерации, федеральных государственных учреждениях, расположенных в районах Крайнего Севера и приравненных к ним местностях, и членов их семей</w:t>
      </w:r>
      <w:r>
        <w:rPr>
          <w:rFonts w:ascii="Times New Roman" w:hAnsi="Times New Roman" w:eastAsia="Times New Roman" w:cs="Times New Roman"/>
          <w:bCs/>
          <w:color w:val="22272f"/>
          <w:sz w:val="24"/>
          <w:szCs w:val="24"/>
          <w:shd w:val="clear" w:color="auto" w:fill="ffffff"/>
        </w:rPr>
        <w:t xml:space="preserve">»,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коном Российской Федерации от 19.02.1993  № 4520-1 «О государственных гарантиях и компенсациях для лиц, работающих и проживающих в районах Крайнего Севера и приравненных к ним местностях»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1"/>
        <w:numPr>
          <w:ilvl w:val="0"/>
          <w:numId w:val="19"/>
        </w:numPr>
        <w:ind w:lef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Аттестация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один раз в три года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1"/>
        <w:numPr>
          <w:ilvl w:val="0"/>
          <w:numId w:val="19"/>
        </w:num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Профессиональное развитие гражданского служащего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: в течение всего периода прохождения гражданской службы.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С подробными условиями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прохождения федеральной гражданской служб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b0b0b"/>
          <w:sz w:val="24"/>
          <w:szCs w:val="24"/>
          <w:highlight w:val="none"/>
        </w:rPr>
        <w:t xml:space="preserve">можн</w:t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о ознакомиться на сайте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  <w:highlight w:val="none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color w:val="0b0b0b"/>
          <w:sz w:val="24"/>
          <w:szCs w:val="24"/>
          <w:highlight w:val="none"/>
        </w:rPr>
        <w:t xml:space="preserve"> в разделе «Кадровое обеспечение – Порядок поступления и требования к кандидатам» </w:t>
      </w:r>
      <w:hyperlink r:id="rId19" w:tooltip="https://rpn.gov.ru/regions/49/hr/order-requirement/" w:history="1">
        <w:r>
          <w:rPr>
            <w:rStyle w:val="997"/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https://rpn.gov.ru/regions/49/hr/order-requirement/</w:t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pStyle w:val="1015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Место,  время и  сроки  приема документов: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Документы для участия в конкурс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представл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яются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1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05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.20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26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 по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02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06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.20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</w:rPr>
        <w:t xml:space="preserve">26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(включительно)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  в отдел правового, кадрового обеспечения, профилактики коррупционных и иных правонарушений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Северо-Восточного межрегионального управления Росприроднадзора (685000,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 Магадан,                 ул. Пролетарская, д. 11, этаж 4, кабинет 408)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ично, посредством направления по почте или                   в электронном виде </w:t>
      </w:r>
      <w:r>
        <w:rPr>
          <w:rFonts w:ascii="Times New Roman" w:hAnsi="Times New Roman" w:eastAsia="Times New Roman" w:cs="Times New Roman"/>
          <w:sz w:val="24"/>
        </w:rPr>
        <w:t xml:space="preserve">с использованием «</w:t>
      </w:r>
      <w:r>
        <w:rPr>
          <w:rFonts w:ascii="Times New Roman" w:hAnsi="Times New Roman" w:eastAsia="Times New Roman" w:cs="Times New Roman"/>
          <w:sz w:val="24"/>
        </w:rPr>
        <w:t xml:space="preserve">Единой информационной системы управления кадровым составом государственной гражданской службы Российской Федерации»</w:t>
      </w:r>
      <w:r>
        <w:rPr>
          <w:rFonts w:ascii="Times New Roman" w:hAnsi="Times New Roman" w:eastAsia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Документы принимаются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понедельника по четверг с 9-00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 17-30, в пятницу с 9-0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 до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обед с 13-00 од 14-00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314"/>
        <w:ind w:left="0" w:right="0" w:firstLine="567"/>
        <w:jc w:val="left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 справок 8 (4132) 62-1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85,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добавочный 4913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 или 49136.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Гражданин Российской Федерации, изъявивший желание участвовать в конкурсе, представляет: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286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личное заявление;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6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согласие на обработку персональных данных;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6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анкету по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форме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Указом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Президента Российской Федерации от 10.10.2024       № 870,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заполненную с применением СПО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Анкета ГС (МС)»,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в свободном доступе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Style w:val="997"/>
          <w:rFonts w:ascii="Times New Roman" w:hAnsi="Times New Roman" w:eastAsia="Times New Roman" w:cs="Times New Roman"/>
          <w:iCs/>
          <w:sz w:val="24"/>
          <w:szCs w:val="24"/>
        </w:rPr>
        <w:fldChar w:fldCharType="begin"/>
      </w:r>
      <w:r>
        <w:rPr>
          <w:rStyle w:val="997"/>
          <w:rFonts w:ascii="Times New Roman" w:hAnsi="Times New Roman" w:eastAsia="Times New Roman" w:cs="Times New Roman"/>
          <w:iCs/>
          <w:sz w:val="24"/>
          <w:szCs w:val="24"/>
        </w:rPr>
        <w:instrText xml:space="preserve"> HYPERLINK "https://gossluzhba.gov.ru/spo/knowledge-base" \o "https://gossluzhba.gov.ru/spo/knowledge-base" </w:instrText>
      </w:r>
      <w:r>
        <w:rPr>
          <w:rStyle w:val="997"/>
          <w:rFonts w:ascii="Times New Roman" w:hAnsi="Times New Roman" w:eastAsia="Times New Roman" w:cs="Times New Roman"/>
          <w:iCs/>
          <w:sz w:val="24"/>
          <w:szCs w:val="24"/>
        </w:rPr>
        <w:fldChar w:fldCharType="separate"/>
      </w:r>
      <w:r>
        <w:rPr>
          <w:rStyle w:val="997"/>
          <w:rFonts w:ascii="Times New Roman" w:hAnsi="Times New Roman" w:eastAsia="Times New Roman" w:cs="Times New Roman"/>
          <w:iCs/>
          <w:sz w:val="24"/>
          <w:szCs w:val="24"/>
        </w:rPr>
        <w:t xml:space="preserve">https://gossluzhba.gov.ru/spo/knowledge-base</w:t>
      </w:r>
      <w:r>
        <w:rPr>
          <w:rStyle w:val="997"/>
          <w:rFonts w:ascii="Times New Roman" w:hAnsi="Times New Roman" w:eastAsia="Times New Roman" w:cs="Times New Roman"/>
          <w:iCs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6"/>
        <w:numPr>
          <w:ilvl w:val="0"/>
          <w:numId w:val="2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копию паспорта или заменяющего его документа;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301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копию трудовой книжки,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заверенную нотариально или кадровой службой по месту службы (работы)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ную (трудовую) деятельность гражданина (за исключением случаев, когда служебная (трудовая) деятельность осуществляется впервые);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301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auto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копии документов об образовании и (или) о квалификации, а также по желанию гражданина копии документов о присвоении ученой степени, ученого звания,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заверенные нотариально или кадровой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 xml:space="preserve"> службой по месту службы (работы)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1301"/>
        <w:numPr>
          <w:ilvl w:val="0"/>
          <w:numId w:val="28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4"/>
          <w:szCs w:val="24"/>
          <w:u w:val="none"/>
        </w:rPr>
        <w:t xml:space="preserve">документ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(з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аключение медицинской организации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прохождению,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форме № 001-ГС/у, утвержденная приказом Министерства здравоохранения Российской Федерации от 14.04.2025              № 201н)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b0b0b"/>
          <w:sz w:val="24"/>
          <w:szCs w:val="24"/>
        </w:rPr>
        <w:t xml:space="preserve">С формами документов можно ознакомиться на сайте Северо-Восточного межрегионального управления Росприроднадзора в разделе «Кадровое обеспечение – Порядок поступления и требования к кандидатам» </w:t>
      </w:r>
      <w:hyperlink r:id="rId20" w:tooltip="https://rpn.gov.ru/regions/49/hr/order-requirement/" w:history="1">
        <w:r>
          <w:rPr>
            <w:rStyle w:val="997"/>
            <w:rFonts w:ascii="Times New Roman" w:hAnsi="Times New Roman" w:eastAsia="Times New Roman" w:cs="Times New Roman"/>
            <w:sz w:val="24"/>
            <w:szCs w:val="24"/>
          </w:rPr>
          <w:t xml:space="preserve">https://rpn.gov.ru/regions/49/hr/order-requirement/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Гражданский служащий, замещающий должность государственной гражданской службы в ином государственном органе, изъявивший желание участвовать в конкурсе, представляет: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pStyle w:val="1286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заявление на имя Руководителя;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6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согласие на обработку персональных данных;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6"/>
        <w:numPr>
          <w:ilvl w:val="0"/>
          <w:numId w:val="38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анкету по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форме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, утвержденной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Указом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Президента Российской Федерации от 10.10.2024       № 870,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заполненную с применением СПО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Анкета ГС (МС)»,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в свободном доступе</w:t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Style w:val="997"/>
          <w:rFonts w:ascii="Times New Roman" w:hAnsi="Times New Roman" w:eastAsia="Times New Roman" w:cs="Times New Roman"/>
          <w:iCs/>
          <w:sz w:val="24"/>
          <w:szCs w:val="24"/>
        </w:rPr>
        <w:fldChar w:fldCharType="begin"/>
      </w:r>
      <w:r>
        <w:rPr>
          <w:rStyle w:val="997"/>
          <w:rFonts w:ascii="Times New Roman" w:hAnsi="Times New Roman" w:eastAsia="Times New Roman" w:cs="Times New Roman"/>
          <w:iCs/>
          <w:sz w:val="24"/>
          <w:szCs w:val="24"/>
        </w:rPr>
        <w:instrText xml:space="preserve"> HYPERLINK "https://gossluzhba.gov.ru/spo/knowledge-base" \o "https://gossluzhba.gov.ru/spo/knowledge-base" </w:instrText>
      </w:r>
      <w:r>
        <w:rPr>
          <w:rStyle w:val="997"/>
          <w:rFonts w:ascii="Times New Roman" w:hAnsi="Times New Roman" w:eastAsia="Times New Roman" w:cs="Times New Roman"/>
          <w:iCs/>
          <w:sz w:val="24"/>
          <w:szCs w:val="24"/>
        </w:rPr>
        <w:fldChar w:fldCharType="separate"/>
      </w:r>
      <w:r>
        <w:rPr>
          <w:rStyle w:val="997"/>
          <w:rFonts w:ascii="Times New Roman" w:hAnsi="Times New Roman" w:eastAsia="Times New Roman" w:cs="Times New Roman"/>
          <w:iCs/>
          <w:sz w:val="24"/>
          <w:szCs w:val="24"/>
        </w:rPr>
        <w:t xml:space="preserve">https://gossluzhba.gov.ru/spo/knowledge-base</w:t>
      </w:r>
      <w:r>
        <w:rPr>
          <w:rStyle w:val="997"/>
          <w:rFonts w:ascii="Times New Roman" w:hAnsi="Times New Roman" w:eastAsia="Times New Roman" w:cs="Times New Roman"/>
          <w:iCs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286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Гражданский служащий Управления, изъявивший желание участвовать в конкурсе, подает: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6"/>
        <w:numPr>
          <w:ilvl w:val="0"/>
          <w:numId w:val="42"/>
        </w:num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заявление на имя Руководителя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5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Предполагаемая дата проведения конкурса: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26 июня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20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г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Место проведения конкурса: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Северо-Восточное межрегиональное управление Росприроднадзора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(г. Магадан, ул. Пролетарская, д. 11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5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Порядок проведения конкурса:</w:t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pacing w:val="-4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Конкурс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на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включение гражданских служащих (граждан)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 кадровый резерв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проводится в соответствии с:</w:t>
      </w:r>
      <w:r>
        <w:rPr>
          <w:rFonts w:ascii="Times New Roman" w:hAnsi="Times New Roman" w:cs="Times New Roman"/>
          <w:spacing w:val="-4"/>
          <w:sz w:val="24"/>
          <w:szCs w:val="24"/>
        </w:rPr>
      </w:r>
      <w:r>
        <w:rPr>
          <w:rFonts w:ascii="Times New Roman" w:hAnsi="Times New Roman" w:cs="Times New Roman"/>
          <w:spacing w:val="-4"/>
          <w:sz w:val="24"/>
          <w:szCs w:val="24"/>
        </w:rPr>
      </w:r>
    </w:p>
    <w:p>
      <w:pPr>
        <w:pStyle w:val="1301"/>
        <w:numPr>
          <w:ilvl w:val="0"/>
          <w:numId w:val="44"/>
        </w:num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Федеральным законом от 27.07.2004 № 79-ФЗ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 государственной гражданской службе Российской Федерации»;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301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Положением о кадровом резерве федерального государственного орга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на, кадровом резерве органа публичной власти федеральной территории, утвержденным Указом Президента Российской Федерации от 01.03.2017 № 96;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301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в, утвержденной Постановлением Правительства Российской Федерации от 31.03.2018 № 397;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301"/>
        <w:numPr>
          <w:ilvl w:val="0"/>
          <w:numId w:val="44"/>
        </w:numPr>
        <w:ind w:left="0"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Положением о кадровом резерве Федеральной службы по надзору в сфере природопользования, утвержденным Приказом Федеральной службы по надзору в сфере природопользования от 20.06.2018 № 216</w:t>
      </w:r>
      <w:r>
        <w:rPr>
          <w:rFonts w:ascii="Times New Roman" w:hAnsi="Times New Roman" w:eastAsia="Times New Roman" w:cs="Times New Roman"/>
          <w:bCs/>
          <w:spacing w:val="-4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5"/>
        <w:ind w:firstLine="567"/>
        <w:jc w:val="both"/>
        <w:spacing w:line="240" w:lineRule="auto"/>
        <w:rPr>
          <w:rFonts w:ascii="Times New Roman" w:hAnsi="Times New Roman" w:cs="Times New Roman"/>
          <w:spacing w:val="-4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  <w:highlight w:val="none"/>
        </w:rPr>
        <w:t xml:space="preserve">Конкурс проводится в два этапа. </w:t>
      </w:r>
      <w:r>
        <w:rPr>
          <w:rFonts w:ascii="Times New Roman" w:hAnsi="Times New Roman" w:cs="Times New Roman"/>
          <w:spacing w:val="-4"/>
          <w:sz w:val="24"/>
          <w:szCs w:val="24"/>
          <w:highlight w:val="none"/>
        </w:rPr>
      </w:r>
      <w:r>
        <w:rPr>
          <w:rFonts w:ascii="Times New Roman" w:hAnsi="Times New Roman" w:cs="Times New Roman"/>
          <w:spacing w:val="-4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spacing w:val="-4"/>
          <w:sz w:val="24"/>
          <w:szCs w:val="24"/>
          <w:highlight w:val="none"/>
        </w:rPr>
        <w:t xml:space="preserve">На первом этапе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на официальном сайте Северо-Восточного межрегионального управления Росприроднадзора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размещается объявление о приеме документов для участия в конкурсе.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15"/>
        <w:contextualSpacing/>
        <w:ind w:firstLine="567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Документы в течение 21 календарного дня со дня размещения объявления об их приеме представляют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ся в Управление гражданином (гражданским служащим) лично, посредством направления по почте или в электронном виде с использованием государственной информационной системы в области государственной службы в информационно-телекоммуникационной сети «Интернет».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1015"/>
        <w:contextualSpacing/>
        <w:ind w:firstLine="567"/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Порядок представления документов в электронном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виде установлен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Постановлением Правительства Российской Федерации от 05.03.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2018 № 227 «Правила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органа».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Гражданин (гражданский служащий) не допускается к участию в конкурсе: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а) в связи 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б) 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в) в связи с ограничениями, связанными с поступлением на гражданскую службу и ее прохождением и установленными законодательством Российской Федерации о государственной гражданской службе.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Второй этап конкурса проводится не позднее чем через 30 календарных дней после дня завершения приема документов для участия в конкурсе.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е позднее чем за 15 календарных дней до даты проведения конкурса размещается на  официальном сайте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Северо-Восточного межрегионального управления Росприроднадзора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информация о дате, месте и времени его пров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едения, список кандидатов и направляется кандидатам соответствующие сообщения.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На втором этапе конкурса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ции методов оценки профессионального уровня, профессиональных и личностных качеств кандидатов по вопросам, связанным с выполнением дол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жностных обязанностей.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Сообщения о результатах конкурса в 7-дневный срок со дня его завершения направляются кандидатам.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возвращены им по письменному заявлению в течение трех лет со дня завершения конкурса.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5"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i w:val="0"/>
          <w:iCs w:val="0"/>
          <w:sz w:val="24"/>
          <w:szCs w:val="24"/>
          <w:highlight w:val="none"/>
        </w:rPr>
        <w:t xml:space="preserve">Сведения о методах оценки:</w:t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i w:val="0"/>
          <w:iCs w:val="0"/>
          <w:sz w:val="24"/>
          <w:szCs w:val="24"/>
          <w:highlight w:val="none"/>
        </w:rPr>
      </w:r>
    </w:p>
    <w:p>
      <w:pPr>
        <w:pStyle w:val="1286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естирование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для оценки уровня владения государственным языком Российской Федерации (русским языком),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Российской Федерации, законодательства Российской Федерации о гражданской службе и о противодействии коррупции, зн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аниями и умениями в сфере информационно-коммуникационных технологий и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6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 тестировании используется единый перечень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6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40 вопросов, на каждый вопрос теста может быть только один верный вариант ответа.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6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Первая часть теста состоит из общих вопросов (для оценки уровня владения русским языком, знаниями основ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Конституции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законодательства о государственной гражданской службе и о противодействии коррупции, знаниями и умениями в сфере информационно-коммуникационных технологий).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6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Вторая часть теста состоит из специальных вопросов.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6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Кандидатам предоставляется одно и то же время (от 40 до 60 минут) для прохождения тестирования.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6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Подведение результатов тестирования основывается на количестве правильных ответов.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286"/>
        <w:ind w:firstLine="540"/>
        <w:jc w:val="both"/>
        <w:spacing w:before="0" w:beforeAutospacing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Тест содержит в себе 5 разделов по 7 вопросов. Раздел, содержащий тестовые вопросы на знание государственного языка Российской Федерации - русского языка, включает 5 вопросов.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Прохождение тестирования считается успешным при количестве правильных ответов не менее 70%.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Пройти предварительный квалификаци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онный тест вне рамок конкурса для самостоятельной оценки своего профессионального уровня можно на сайте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Министерства труда и социальной защиты Российской Федерации по ссылке </w:t>
      </w:r>
      <w:hyperlink r:id="rId21" w:tooltip="https://mintrud.gov.ru/testing/default/view/4" w:history="1">
        <w:r>
          <w:rPr>
            <w:rStyle w:val="1315"/>
            <w:rFonts w:ascii="Times New Roman" w:hAnsi="Times New Roman" w:eastAsia="Times New Roman" w:cs="Times New Roman"/>
            <w:sz w:val="24"/>
            <w:szCs w:val="24"/>
          </w:rPr>
          <w:t xml:space="preserve">https://mintrud.gov.ru/testing/default/view/4</w:t>
        </w:r>
      </w:hyperlink>
      <w:r>
        <w:rPr>
          <w:rFonts w:ascii="Times New Roman" w:hAnsi="Times New Roman" w:cs="Times New Roman"/>
          <w:sz w:val="24"/>
          <w:szCs w:val="24"/>
          <w:highlight w:val="cyan"/>
        </w:rPr>
      </w:r>
      <w:r>
        <w:rPr>
          <w:rFonts w:ascii="Times New Roman" w:hAnsi="Times New Roman" w:cs="Times New Roman"/>
          <w:sz w:val="24"/>
          <w:szCs w:val="24"/>
          <w:highlight w:val="cyan"/>
        </w:rPr>
      </w:r>
    </w:p>
    <w:p>
      <w:pPr>
        <w:pStyle w:val="1286"/>
        <w:ind w:left="0" w:right="0"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ндивиду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альное соб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еседование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проводится в форме свободной беседы с кандидатом по теме его будущей профессиональной служебной деятельности, в ходе которой члены конкурсной комиссии задают кандидату вопросы, направленные на оценку профессионального уровня кандидата.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5"/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both"/>
        <w:spacing w:line="240" w:lineRule="auto"/>
        <w:widowControl w:val="o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656" w:right="567" w:bottom="422" w:left="709" w:header="258" w:footer="192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3020204020204"/>
  </w:font>
  <w:font w:name="Calibri">
    <w:panose1 w:val="020F0502020204030204"/>
  </w:font>
  <w:font w:name="Sylfaen">
    <w:panose1 w:val="02040502050405020303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81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81"/>
                          </w:pPr>
                          <w:r/>
                          <w:r/>
                        </w:p>
                        <w:p>
                          <w:pPr>
                            <w:pStyle w:val="1015"/>
                          </w:pPr>
                          <w:r/>
                          <w:r/>
                        </w:p>
                      </w:txbxContent>
                    </wps:txbx>
                    <wps:bodyPr wrap="square" lIns="36000" tIns="36000" rIns="36000" bIns="3600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5pt;mso-position-vertical:absolute;width:10.00pt;height:11.50pt;mso-wrap-distance-left:0.00pt;mso-wrap-distance-top:0.00pt;mso-wrap-distance-right:0.00pt;mso-wrap-distance-bottom:0.00pt;visibility:visible;" fillcolor="#FFFFFF" stroked="f">
              <v:fill opacity="100f"/>
              <w10:wrap type="square"/>
              <v:textbox inset="0,0,0,0">
                <w:txbxContent>
                  <w:p>
                    <w:pPr>
                      <w:pStyle w:val="1281"/>
                    </w:pPr>
                    <w:r/>
                    <w:r/>
                  </w:p>
                  <w:p>
                    <w:pPr>
                      <w:pStyle w:val="1015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16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1017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1018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1019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1020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1021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1022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1023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1024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13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25" w:hanging="825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162" w:hanging="825"/>
        <w:tabs>
          <w:tab w:val="num" w:pos="0" w:leader="none"/>
        </w:tabs>
      </w:pPr>
      <w:rPr>
        <w:sz w:val="22"/>
        <w:szCs w:val="22"/>
      </w:rPr>
    </w:lvl>
    <w:lvl w:ilvl="2">
      <w:start w:val="18"/>
      <w:numFmt w:val="decimal"/>
      <w:isLgl w:val="false"/>
      <w:suff w:val="tab"/>
      <w:lvlText w:val="%1.%2.%3."/>
      <w:lvlJc w:val="left"/>
      <w:pPr>
        <w:ind w:left="1499" w:hanging="825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091" w:hanging="108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2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125" w:hanging="144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22" w:hanging="180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159" w:hanging="180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56" w:hanging="2160"/>
        <w:tabs>
          <w:tab w:val="num" w:pos="0" w:leader="none"/>
        </w:tabs>
      </w:pPr>
      <w:rPr>
        <w:sz w:val="22"/>
        <w:szCs w:val="22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  <w:tabs>
          <w:tab w:val="num" w:pos="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547" w:hanging="540"/>
        <w:tabs>
          <w:tab w:val="num" w:pos="0" w:leader="none"/>
        </w:tabs>
      </w:pPr>
      <w:rPr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734" w:hanging="720"/>
        <w:tabs>
          <w:tab w:val="num" w:pos="0" w:leader="none"/>
        </w:tabs>
      </w:pPr>
      <w:rPr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41" w:hanging="720"/>
        <w:tabs>
          <w:tab w:val="num" w:pos="0" w:leader="none"/>
        </w:tabs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108" w:hanging="1080"/>
        <w:tabs>
          <w:tab w:val="num" w:pos="0" w:leader="none"/>
        </w:tabs>
      </w:pPr>
      <w:rPr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115" w:hanging="1080"/>
        <w:tabs>
          <w:tab w:val="num" w:pos="0" w:leader="none"/>
        </w:tabs>
      </w:pPr>
      <w:rPr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82" w:hanging="1440"/>
        <w:tabs>
          <w:tab w:val="num" w:pos="0" w:leader="none"/>
        </w:tabs>
      </w:pPr>
      <w:rPr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89" w:hanging="1440"/>
        <w:tabs>
          <w:tab w:val="num" w:pos="0" w:leader="none"/>
        </w:tabs>
      </w:pPr>
      <w:rPr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56" w:hanging="1800"/>
        <w:tabs>
          <w:tab w:val="num" w:pos="0" w:leader="none"/>
        </w:tabs>
      </w:pPr>
      <w:rPr>
        <w:sz w:val="22"/>
        <w:szCs w:val="22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  <w:rPr>
        <w:b/>
        <w:i w:val="0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pStyle w:val="1294"/>
      <w:isLgl w:val="false"/>
      <w:suff w:val="tab"/>
      <w:lvlText w:val=""/>
      <w:lvlJc w:val="left"/>
      <w:pPr>
        <w:ind w:left="283" w:hanging="283"/>
        <w:tabs>
          <w:tab w:val="num" w:pos="283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2">
      <w:start w:val="9"/>
      <w:numFmt w:val="decimal"/>
      <w:isLgl w:val="false"/>
      <w:suff w:val="tab"/>
      <w:lvlText w:val="%1.%2.%3."/>
      <w:lvlJc w:val="left"/>
      <w:pPr>
        <w:ind w:left="3273" w:hanging="72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  <w:tabs>
          <w:tab w:val="num" w:pos="0" w:leader="none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3"/>
      <w:numFmt w:val="decimal"/>
      <w:isLgl w:val="false"/>
      <w:suff w:val="tab"/>
      <w:lvlText w:val="%1.%2."/>
      <w:lvlJc w:val="left"/>
      <w:pPr>
        <w:ind w:left="1074" w:hanging="720"/>
      </w:pPr>
    </w:lvl>
    <w:lvl w:ilvl="2">
      <w:start w:val="9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810" w:hanging="810"/>
      </w:pPr>
      <w:rPr>
        <w:rFonts w:cs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ind w:left="1165" w:hanging="810"/>
      </w:pPr>
      <w:rPr>
        <w:rFonts w:cs="Times New Roman"/>
      </w:rPr>
    </w:lvl>
    <w:lvl w:ilvl="2">
      <w:start w:val="20"/>
      <w:numFmt w:val="decimal"/>
      <w:isLgl w:val="false"/>
      <w:suff w:val="tab"/>
      <w:lvlText w:val="%1.%2.%3."/>
      <w:lvlJc w:val="left"/>
      <w:pPr>
        <w:ind w:left="1520" w:hanging="81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5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5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30" w:hanging="180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85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00" w:hanging="216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)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76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7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isLgl w:val="false"/>
      <w:suff w:val="tab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48">
    <w:multiLevelType w:val="hybridMultilevel"/>
    <w:lvl w:ilvl="0">
      <w:start w:val="17"/>
      <w:numFmt w:val="decimal"/>
      <w:isLgl w:val="false"/>
      <w:suff w:val="tab"/>
      <w:lvlText w:val="%1)"/>
      <w:lvlJc w:val="left"/>
      <w:pPr>
        <w:ind w:left="1083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38">
    <w:name w:val="Heading 1"/>
    <w:basedOn w:val="1015"/>
    <w:next w:val="1015"/>
    <w:link w:val="8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39">
    <w:name w:val="Heading 1 Char"/>
    <w:link w:val="838"/>
    <w:uiPriority w:val="9"/>
    <w:rPr>
      <w:rFonts w:ascii="Arial" w:hAnsi="Arial" w:eastAsia="Arial" w:cs="Arial"/>
      <w:sz w:val="40"/>
      <w:szCs w:val="40"/>
    </w:rPr>
  </w:style>
  <w:style w:type="paragraph" w:styleId="840">
    <w:name w:val="Heading 2"/>
    <w:basedOn w:val="1015"/>
    <w:next w:val="1015"/>
    <w:link w:val="8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41">
    <w:name w:val="Heading 2 Char"/>
    <w:link w:val="840"/>
    <w:uiPriority w:val="9"/>
    <w:rPr>
      <w:rFonts w:ascii="Arial" w:hAnsi="Arial" w:eastAsia="Arial" w:cs="Arial"/>
      <w:sz w:val="34"/>
    </w:rPr>
  </w:style>
  <w:style w:type="paragraph" w:styleId="842">
    <w:name w:val="Heading 3"/>
    <w:basedOn w:val="1015"/>
    <w:next w:val="1015"/>
    <w:link w:val="8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43">
    <w:name w:val="Heading 3 Char"/>
    <w:link w:val="842"/>
    <w:uiPriority w:val="9"/>
    <w:rPr>
      <w:rFonts w:ascii="Arial" w:hAnsi="Arial" w:eastAsia="Arial" w:cs="Arial"/>
      <w:sz w:val="30"/>
      <w:szCs w:val="30"/>
    </w:rPr>
  </w:style>
  <w:style w:type="paragraph" w:styleId="844">
    <w:name w:val="Heading 4"/>
    <w:basedOn w:val="1015"/>
    <w:next w:val="1015"/>
    <w:link w:val="8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5">
    <w:name w:val="Heading 4 Char"/>
    <w:link w:val="844"/>
    <w:uiPriority w:val="9"/>
    <w:rPr>
      <w:rFonts w:ascii="Arial" w:hAnsi="Arial" w:eastAsia="Arial" w:cs="Arial"/>
      <w:b/>
      <w:bCs/>
      <w:sz w:val="26"/>
      <w:szCs w:val="26"/>
    </w:rPr>
  </w:style>
  <w:style w:type="paragraph" w:styleId="846">
    <w:name w:val="Heading 5"/>
    <w:basedOn w:val="1015"/>
    <w:next w:val="1015"/>
    <w:link w:val="8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7">
    <w:name w:val="Heading 5 Char"/>
    <w:link w:val="846"/>
    <w:uiPriority w:val="9"/>
    <w:rPr>
      <w:rFonts w:ascii="Arial" w:hAnsi="Arial" w:eastAsia="Arial" w:cs="Arial"/>
      <w:b/>
      <w:bCs/>
      <w:sz w:val="24"/>
      <w:szCs w:val="24"/>
    </w:rPr>
  </w:style>
  <w:style w:type="paragraph" w:styleId="848">
    <w:name w:val="Heading 6"/>
    <w:basedOn w:val="1015"/>
    <w:next w:val="1015"/>
    <w:link w:val="8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9">
    <w:name w:val="Heading 6 Char"/>
    <w:link w:val="848"/>
    <w:uiPriority w:val="9"/>
    <w:rPr>
      <w:rFonts w:ascii="Arial" w:hAnsi="Arial" w:eastAsia="Arial" w:cs="Arial"/>
      <w:b/>
      <w:bCs/>
      <w:sz w:val="22"/>
      <w:szCs w:val="22"/>
    </w:rPr>
  </w:style>
  <w:style w:type="paragraph" w:styleId="850">
    <w:name w:val="Heading 7"/>
    <w:basedOn w:val="1015"/>
    <w:next w:val="1015"/>
    <w:link w:val="8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1">
    <w:name w:val="Heading 7 Char"/>
    <w:link w:val="8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52">
    <w:name w:val="Heading 8"/>
    <w:basedOn w:val="1015"/>
    <w:next w:val="1015"/>
    <w:link w:val="8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3">
    <w:name w:val="Heading 8 Char"/>
    <w:link w:val="852"/>
    <w:uiPriority w:val="9"/>
    <w:rPr>
      <w:rFonts w:ascii="Arial" w:hAnsi="Arial" w:eastAsia="Arial" w:cs="Arial"/>
      <w:i/>
      <w:iCs/>
      <w:sz w:val="22"/>
      <w:szCs w:val="22"/>
    </w:rPr>
  </w:style>
  <w:style w:type="paragraph" w:styleId="854">
    <w:name w:val="Heading 9"/>
    <w:basedOn w:val="1015"/>
    <w:next w:val="1015"/>
    <w:link w:val="8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5">
    <w:name w:val="Heading 9 Char"/>
    <w:link w:val="854"/>
    <w:uiPriority w:val="9"/>
    <w:rPr>
      <w:rFonts w:ascii="Arial" w:hAnsi="Arial" w:eastAsia="Arial" w:cs="Arial"/>
      <w:i/>
      <w:iCs/>
      <w:sz w:val="21"/>
      <w:szCs w:val="21"/>
    </w:rPr>
  </w:style>
  <w:style w:type="paragraph" w:styleId="856">
    <w:name w:val="No Spacing"/>
    <w:uiPriority w:val="1"/>
    <w:qFormat/>
    <w:pPr>
      <w:spacing w:before="0" w:after="0" w:line="240" w:lineRule="auto"/>
    </w:pPr>
  </w:style>
  <w:style w:type="paragraph" w:styleId="857">
    <w:name w:val="Title"/>
    <w:basedOn w:val="1015"/>
    <w:next w:val="1015"/>
    <w:link w:val="85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58">
    <w:name w:val="Title Char"/>
    <w:link w:val="857"/>
    <w:uiPriority w:val="10"/>
    <w:rPr>
      <w:sz w:val="48"/>
      <w:szCs w:val="48"/>
    </w:rPr>
  </w:style>
  <w:style w:type="paragraph" w:styleId="859">
    <w:name w:val="Subtitle"/>
    <w:basedOn w:val="1015"/>
    <w:next w:val="1015"/>
    <w:link w:val="860"/>
    <w:uiPriority w:val="11"/>
    <w:qFormat/>
    <w:pPr>
      <w:spacing w:before="200" w:after="200"/>
    </w:pPr>
    <w:rPr>
      <w:sz w:val="24"/>
      <w:szCs w:val="24"/>
    </w:rPr>
  </w:style>
  <w:style w:type="character" w:styleId="860">
    <w:name w:val="Subtitle Char"/>
    <w:link w:val="859"/>
    <w:uiPriority w:val="11"/>
    <w:rPr>
      <w:sz w:val="24"/>
      <w:szCs w:val="24"/>
    </w:rPr>
  </w:style>
  <w:style w:type="paragraph" w:styleId="861">
    <w:name w:val="Quote"/>
    <w:basedOn w:val="1015"/>
    <w:next w:val="1015"/>
    <w:link w:val="862"/>
    <w:uiPriority w:val="29"/>
    <w:qFormat/>
    <w:pPr>
      <w:ind w:left="720" w:right="720"/>
    </w:pPr>
    <w:rPr>
      <w:i/>
    </w:rPr>
  </w:style>
  <w:style w:type="character" w:styleId="862">
    <w:name w:val="Quote Char"/>
    <w:link w:val="861"/>
    <w:uiPriority w:val="29"/>
    <w:rPr>
      <w:i/>
    </w:rPr>
  </w:style>
  <w:style w:type="paragraph" w:styleId="863">
    <w:name w:val="Intense Quote"/>
    <w:basedOn w:val="1015"/>
    <w:next w:val="1015"/>
    <w:link w:val="86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64">
    <w:name w:val="Intense Quote Char"/>
    <w:link w:val="863"/>
    <w:uiPriority w:val="30"/>
    <w:rPr>
      <w:i/>
    </w:rPr>
  </w:style>
  <w:style w:type="paragraph" w:styleId="865">
    <w:name w:val="Header"/>
    <w:basedOn w:val="1015"/>
    <w:link w:val="8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66">
    <w:name w:val="Header Char"/>
    <w:link w:val="865"/>
    <w:uiPriority w:val="99"/>
  </w:style>
  <w:style w:type="paragraph" w:styleId="867">
    <w:name w:val="Footer"/>
    <w:basedOn w:val="1015"/>
    <w:link w:val="8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68">
    <w:name w:val="Footer Char"/>
    <w:link w:val="867"/>
    <w:uiPriority w:val="99"/>
  </w:style>
  <w:style w:type="paragraph" w:styleId="869">
    <w:name w:val="Caption"/>
    <w:basedOn w:val="1015"/>
    <w:next w:val="1015"/>
    <w:link w:val="8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70">
    <w:name w:val="Caption Char"/>
    <w:link w:val="869"/>
    <w:uiPriority w:val="35"/>
    <w:rPr>
      <w:b/>
      <w:bCs/>
      <w:color w:val="4f81bd" w:themeColor="accent1"/>
      <w:sz w:val="18"/>
      <w:szCs w:val="18"/>
    </w:rPr>
  </w:style>
  <w:style w:type="table" w:styleId="87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0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0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0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0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0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0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0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0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0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1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1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1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1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3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3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3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3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3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4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4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6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6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6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6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6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6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6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6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7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7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7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7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7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7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7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7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7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8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8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8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8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8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8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9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9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9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9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9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9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9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97">
    <w:name w:val="Hyperlink"/>
    <w:uiPriority w:val="99"/>
    <w:unhideWhenUsed/>
    <w:rPr>
      <w:color w:val="0000ff" w:themeColor="hyperlink"/>
      <w:u w:val="single"/>
    </w:rPr>
  </w:style>
  <w:style w:type="paragraph" w:styleId="998">
    <w:name w:val="footnote text"/>
    <w:basedOn w:val="1015"/>
    <w:link w:val="999"/>
    <w:uiPriority w:val="99"/>
    <w:semiHidden/>
    <w:unhideWhenUsed/>
    <w:pPr>
      <w:spacing w:after="40" w:line="240" w:lineRule="auto"/>
    </w:pPr>
    <w:rPr>
      <w:sz w:val="18"/>
    </w:rPr>
  </w:style>
  <w:style w:type="character" w:styleId="999">
    <w:name w:val="Footnote Text Char"/>
    <w:link w:val="998"/>
    <w:uiPriority w:val="99"/>
    <w:rPr>
      <w:sz w:val="18"/>
    </w:rPr>
  </w:style>
  <w:style w:type="character" w:styleId="1000">
    <w:name w:val="footnote reference"/>
    <w:uiPriority w:val="99"/>
    <w:unhideWhenUsed/>
    <w:rPr>
      <w:vertAlign w:val="superscript"/>
    </w:rPr>
  </w:style>
  <w:style w:type="paragraph" w:styleId="1001">
    <w:name w:val="endnote text"/>
    <w:basedOn w:val="1015"/>
    <w:link w:val="1002"/>
    <w:uiPriority w:val="99"/>
    <w:semiHidden/>
    <w:unhideWhenUsed/>
    <w:pPr>
      <w:spacing w:after="0" w:line="240" w:lineRule="auto"/>
    </w:pPr>
    <w:rPr>
      <w:sz w:val="20"/>
    </w:rPr>
  </w:style>
  <w:style w:type="character" w:styleId="1002">
    <w:name w:val="Endnote Text Char"/>
    <w:link w:val="1001"/>
    <w:uiPriority w:val="99"/>
    <w:rPr>
      <w:sz w:val="20"/>
    </w:rPr>
  </w:style>
  <w:style w:type="character" w:styleId="1003">
    <w:name w:val="endnote reference"/>
    <w:uiPriority w:val="99"/>
    <w:semiHidden/>
    <w:unhideWhenUsed/>
    <w:rPr>
      <w:vertAlign w:val="superscript"/>
    </w:rPr>
  </w:style>
  <w:style w:type="paragraph" w:styleId="1004">
    <w:name w:val="toc 1"/>
    <w:basedOn w:val="1015"/>
    <w:next w:val="1015"/>
    <w:uiPriority w:val="39"/>
    <w:unhideWhenUsed/>
    <w:pPr>
      <w:ind w:left="0" w:right="0" w:firstLine="0"/>
      <w:spacing w:after="57"/>
    </w:pPr>
  </w:style>
  <w:style w:type="paragraph" w:styleId="1005">
    <w:name w:val="toc 2"/>
    <w:basedOn w:val="1015"/>
    <w:next w:val="1015"/>
    <w:uiPriority w:val="39"/>
    <w:unhideWhenUsed/>
    <w:pPr>
      <w:ind w:left="283" w:right="0" w:firstLine="0"/>
      <w:spacing w:after="57"/>
    </w:pPr>
  </w:style>
  <w:style w:type="paragraph" w:styleId="1006">
    <w:name w:val="toc 3"/>
    <w:basedOn w:val="1015"/>
    <w:next w:val="1015"/>
    <w:uiPriority w:val="39"/>
    <w:unhideWhenUsed/>
    <w:pPr>
      <w:ind w:left="567" w:right="0" w:firstLine="0"/>
      <w:spacing w:after="57"/>
    </w:pPr>
  </w:style>
  <w:style w:type="paragraph" w:styleId="1007">
    <w:name w:val="toc 4"/>
    <w:basedOn w:val="1015"/>
    <w:next w:val="1015"/>
    <w:uiPriority w:val="39"/>
    <w:unhideWhenUsed/>
    <w:pPr>
      <w:ind w:left="850" w:right="0" w:firstLine="0"/>
      <w:spacing w:after="57"/>
    </w:pPr>
  </w:style>
  <w:style w:type="paragraph" w:styleId="1008">
    <w:name w:val="toc 5"/>
    <w:basedOn w:val="1015"/>
    <w:next w:val="1015"/>
    <w:uiPriority w:val="39"/>
    <w:unhideWhenUsed/>
    <w:pPr>
      <w:ind w:left="1134" w:right="0" w:firstLine="0"/>
      <w:spacing w:after="57"/>
    </w:pPr>
  </w:style>
  <w:style w:type="paragraph" w:styleId="1009">
    <w:name w:val="toc 6"/>
    <w:basedOn w:val="1015"/>
    <w:next w:val="1015"/>
    <w:uiPriority w:val="39"/>
    <w:unhideWhenUsed/>
    <w:pPr>
      <w:ind w:left="1417" w:right="0" w:firstLine="0"/>
      <w:spacing w:after="57"/>
    </w:pPr>
  </w:style>
  <w:style w:type="paragraph" w:styleId="1010">
    <w:name w:val="toc 7"/>
    <w:basedOn w:val="1015"/>
    <w:next w:val="1015"/>
    <w:uiPriority w:val="39"/>
    <w:unhideWhenUsed/>
    <w:pPr>
      <w:ind w:left="1701" w:right="0" w:firstLine="0"/>
      <w:spacing w:after="57"/>
    </w:pPr>
  </w:style>
  <w:style w:type="paragraph" w:styleId="1011">
    <w:name w:val="toc 8"/>
    <w:basedOn w:val="1015"/>
    <w:next w:val="1015"/>
    <w:uiPriority w:val="39"/>
    <w:unhideWhenUsed/>
    <w:pPr>
      <w:ind w:left="1984" w:right="0" w:firstLine="0"/>
      <w:spacing w:after="57"/>
    </w:pPr>
  </w:style>
  <w:style w:type="paragraph" w:styleId="1012">
    <w:name w:val="toc 9"/>
    <w:basedOn w:val="1015"/>
    <w:next w:val="1015"/>
    <w:uiPriority w:val="39"/>
    <w:unhideWhenUsed/>
    <w:pPr>
      <w:ind w:left="2268" w:right="0" w:firstLine="0"/>
      <w:spacing w:after="57"/>
    </w:pPr>
  </w:style>
  <w:style w:type="paragraph" w:styleId="1013">
    <w:name w:val="TOC Heading"/>
    <w:uiPriority w:val="39"/>
    <w:unhideWhenUsed/>
  </w:style>
  <w:style w:type="paragraph" w:styleId="1014">
    <w:name w:val="table of figures"/>
    <w:basedOn w:val="1015"/>
    <w:next w:val="1015"/>
    <w:uiPriority w:val="99"/>
    <w:unhideWhenUsed/>
    <w:pPr>
      <w:spacing w:after="0" w:afterAutospacing="0"/>
    </w:pPr>
  </w:style>
  <w:style w:type="paragraph" w:styleId="1015" w:default="1">
    <w:name w:val="Normal"/>
    <w:next w:val="1015"/>
    <w:link w:val="1015"/>
    <w:qFormat/>
    <w:rPr>
      <w:lang w:val="ru-RU" w:eastAsia="ar-SA" w:bidi="ar-SA"/>
    </w:rPr>
  </w:style>
  <w:style w:type="paragraph" w:styleId="1016">
    <w:name w:val="Заголовок 1"/>
    <w:basedOn w:val="1015"/>
    <w:next w:val="1015"/>
    <w:link w:val="1015"/>
    <w:qFormat/>
    <w:pPr>
      <w:numPr>
        <w:ilvl w:val="0"/>
        <w:numId w:val="1"/>
      </w:numPr>
      <w:jc w:val="both"/>
      <w:keepNext/>
      <w:outlineLvl w:val="0"/>
    </w:pPr>
    <w:rPr>
      <w:sz w:val="26"/>
    </w:rPr>
  </w:style>
  <w:style w:type="paragraph" w:styleId="1017">
    <w:name w:val="Заголовок 2"/>
    <w:basedOn w:val="1015"/>
    <w:next w:val="1015"/>
    <w:link w:val="1015"/>
    <w:qFormat/>
    <w:pPr>
      <w:numPr>
        <w:ilvl w:val="1"/>
        <w:numId w:val="1"/>
      </w:numPr>
      <w:jc w:val="both"/>
      <w:keepNext/>
      <w:outlineLvl w:val="1"/>
    </w:pPr>
    <w:rPr>
      <w:sz w:val="24"/>
    </w:rPr>
  </w:style>
  <w:style w:type="paragraph" w:styleId="1018">
    <w:name w:val="Заголовок 3"/>
    <w:basedOn w:val="1015"/>
    <w:next w:val="1015"/>
    <w:link w:val="1015"/>
    <w:qFormat/>
    <w:pPr>
      <w:numPr>
        <w:ilvl w:val="2"/>
        <w:numId w:val="1"/>
      </w:numPr>
      <w:jc w:val="center"/>
      <w:keepNext/>
      <w:outlineLvl w:val="2"/>
    </w:pPr>
    <w:rPr>
      <w:b/>
      <w:sz w:val="22"/>
    </w:rPr>
  </w:style>
  <w:style w:type="paragraph" w:styleId="1019">
    <w:name w:val="Заголовок 4"/>
    <w:basedOn w:val="1015"/>
    <w:next w:val="1015"/>
    <w:link w:val="1015"/>
    <w:qFormat/>
    <w:pPr>
      <w:numPr>
        <w:ilvl w:val="3"/>
        <w:numId w:val="1"/>
      </w:numPr>
      <w:jc w:val="center"/>
      <w:keepNext/>
      <w:outlineLvl w:val="3"/>
    </w:pPr>
    <w:rPr>
      <w:b/>
    </w:rPr>
  </w:style>
  <w:style w:type="paragraph" w:styleId="1020">
    <w:name w:val="Заголовок 5"/>
    <w:basedOn w:val="1015"/>
    <w:next w:val="1015"/>
    <w:link w:val="1015"/>
    <w:qFormat/>
    <w:pPr>
      <w:numPr>
        <w:ilvl w:val="4"/>
        <w:numId w:val="1"/>
      </w:numPr>
      <w:jc w:val="both"/>
      <w:keepNext/>
      <w:outlineLvl w:val="4"/>
    </w:pPr>
    <w:rPr>
      <w:b/>
    </w:rPr>
  </w:style>
  <w:style w:type="paragraph" w:styleId="1021">
    <w:name w:val="Заголовок 6"/>
    <w:basedOn w:val="1015"/>
    <w:next w:val="1015"/>
    <w:link w:val="1015"/>
    <w:qFormat/>
    <w:pPr>
      <w:numPr>
        <w:ilvl w:val="5"/>
        <w:numId w:val="1"/>
      </w:numPr>
      <w:jc w:val="center"/>
      <w:keepNext/>
      <w:outlineLvl w:val="5"/>
    </w:pPr>
    <w:rPr>
      <w:b/>
      <w:sz w:val="24"/>
    </w:rPr>
  </w:style>
  <w:style w:type="paragraph" w:styleId="1022">
    <w:name w:val="Заголовок 7"/>
    <w:basedOn w:val="1015"/>
    <w:next w:val="1015"/>
    <w:link w:val="1015"/>
    <w:qFormat/>
    <w:pPr>
      <w:numPr>
        <w:ilvl w:val="6"/>
        <w:numId w:val="1"/>
      </w:numPr>
      <w:keepNext/>
      <w:outlineLvl w:val="6"/>
    </w:pPr>
    <w:rPr>
      <w:sz w:val="24"/>
    </w:rPr>
  </w:style>
  <w:style w:type="paragraph" w:styleId="1023">
    <w:name w:val="Заголовок 8"/>
    <w:basedOn w:val="1015"/>
    <w:next w:val="1015"/>
    <w:link w:val="1015"/>
    <w:qFormat/>
    <w:pPr>
      <w:numPr>
        <w:ilvl w:val="7"/>
        <w:numId w:val="1"/>
      </w:numPr>
      <w:jc w:val="both"/>
      <w:keepNext/>
      <w:outlineLvl w:val="7"/>
    </w:pPr>
    <w:rPr>
      <w:sz w:val="28"/>
    </w:rPr>
  </w:style>
  <w:style w:type="paragraph" w:styleId="1024">
    <w:name w:val="Заголовок 9"/>
    <w:basedOn w:val="1015"/>
    <w:next w:val="1015"/>
    <w:link w:val="1015"/>
    <w:qFormat/>
    <w:pPr>
      <w:numPr>
        <w:ilvl w:val="8"/>
        <w:numId w:val="1"/>
      </w:numPr>
      <w:jc w:val="center"/>
      <w:keepNext/>
      <w:outlineLvl w:val="8"/>
    </w:pPr>
    <w:rPr>
      <w:sz w:val="28"/>
    </w:rPr>
  </w:style>
  <w:style w:type="character" w:styleId="1025">
    <w:name w:val="Основной шрифт абзаца"/>
    <w:next w:val="1025"/>
    <w:link w:val="1015"/>
    <w:uiPriority w:val="1"/>
    <w:semiHidden/>
    <w:unhideWhenUsed/>
  </w:style>
  <w:style w:type="table" w:styleId="1026">
    <w:name w:val="Обычная таблица"/>
    <w:next w:val="1026"/>
    <w:link w:val="1015"/>
    <w:uiPriority w:val="99"/>
    <w:semiHidden/>
    <w:unhideWhenUsed/>
    <w:tblPr/>
  </w:style>
  <w:style w:type="numbering" w:styleId="1027">
    <w:name w:val="Нет списка"/>
    <w:next w:val="1027"/>
    <w:link w:val="1015"/>
    <w:uiPriority w:val="99"/>
    <w:semiHidden/>
    <w:unhideWhenUsed/>
  </w:style>
  <w:style w:type="character" w:styleId="1028">
    <w:name w:val="WW8Num1z0"/>
    <w:next w:val="1028"/>
    <w:link w:val="1015"/>
    <w:rPr>
      <w:rFonts w:ascii="Times New Roman" w:hAnsi="Times New Roman" w:cs="Times New Roman"/>
      <w:sz w:val="22"/>
      <w:szCs w:val="22"/>
    </w:rPr>
  </w:style>
  <w:style w:type="character" w:styleId="1029">
    <w:name w:val="WW8Num2z0"/>
    <w:next w:val="1029"/>
    <w:link w:val="1015"/>
    <w:rPr>
      <w:b/>
      <w:i w:val="0"/>
      <w:sz w:val="22"/>
      <w:szCs w:val="22"/>
    </w:rPr>
  </w:style>
  <w:style w:type="character" w:styleId="1030">
    <w:name w:val="WW8Num2z1"/>
    <w:next w:val="1030"/>
    <w:link w:val="1015"/>
  </w:style>
  <w:style w:type="character" w:styleId="1031">
    <w:name w:val="WW8Num2z2"/>
    <w:next w:val="1031"/>
    <w:link w:val="1015"/>
  </w:style>
  <w:style w:type="character" w:styleId="1032">
    <w:name w:val="WW8Num2z3"/>
    <w:next w:val="1032"/>
    <w:link w:val="1015"/>
  </w:style>
  <w:style w:type="character" w:styleId="1033">
    <w:name w:val="WW8Num2z4"/>
    <w:next w:val="1033"/>
    <w:link w:val="1015"/>
  </w:style>
  <w:style w:type="character" w:styleId="1034">
    <w:name w:val="WW8Num2z5"/>
    <w:next w:val="1034"/>
    <w:link w:val="1015"/>
  </w:style>
  <w:style w:type="character" w:styleId="1035">
    <w:name w:val="WW8Num2z6"/>
    <w:next w:val="1035"/>
    <w:link w:val="1015"/>
  </w:style>
  <w:style w:type="character" w:styleId="1036">
    <w:name w:val="WW8Num2z7"/>
    <w:next w:val="1036"/>
    <w:link w:val="1015"/>
  </w:style>
  <w:style w:type="character" w:styleId="1037">
    <w:name w:val="WW8Num2z8"/>
    <w:next w:val="1037"/>
    <w:link w:val="1015"/>
  </w:style>
  <w:style w:type="character" w:styleId="1038">
    <w:name w:val="WW8Num3z0"/>
    <w:next w:val="1038"/>
    <w:link w:val="1015"/>
  </w:style>
  <w:style w:type="character" w:styleId="1039">
    <w:name w:val="WW8Num3z1"/>
    <w:next w:val="1039"/>
    <w:link w:val="1015"/>
  </w:style>
  <w:style w:type="character" w:styleId="1040">
    <w:name w:val="WW8Num3z2"/>
    <w:next w:val="1040"/>
    <w:link w:val="1015"/>
  </w:style>
  <w:style w:type="character" w:styleId="1041">
    <w:name w:val="WW8Num3z3"/>
    <w:next w:val="1041"/>
    <w:link w:val="1015"/>
  </w:style>
  <w:style w:type="character" w:styleId="1042">
    <w:name w:val="WW8Num3z4"/>
    <w:next w:val="1042"/>
    <w:link w:val="1015"/>
  </w:style>
  <w:style w:type="character" w:styleId="1043">
    <w:name w:val="WW8Num3z5"/>
    <w:next w:val="1043"/>
    <w:link w:val="1015"/>
  </w:style>
  <w:style w:type="character" w:styleId="1044">
    <w:name w:val="WW8Num3z6"/>
    <w:next w:val="1044"/>
    <w:link w:val="1015"/>
  </w:style>
  <w:style w:type="character" w:styleId="1045">
    <w:name w:val="WW8Num3z7"/>
    <w:next w:val="1045"/>
    <w:link w:val="1015"/>
  </w:style>
  <w:style w:type="character" w:styleId="1046">
    <w:name w:val="WW8Num3z8"/>
    <w:next w:val="1046"/>
    <w:link w:val="1015"/>
  </w:style>
  <w:style w:type="character" w:styleId="1047">
    <w:name w:val="WW8Num4z0"/>
    <w:next w:val="1047"/>
    <w:link w:val="1015"/>
  </w:style>
  <w:style w:type="character" w:styleId="1048">
    <w:name w:val="WW8Num4z1"/>
    <w:next w:val="1048"/>
    <w:link w:val="1015"/>
  </w:style>
  <w:style w:type="character" w:styleId="1049">
    <w:name w:val="WW8Num4z2"/>
    <w:next w:val="1049"/>
    <w:link w:val="1015"/>
  </w:style>
  <w:style w:type="character" w:styleId="1050">
    <w:name w:val="WW8Num4z3"/>
    <w:next w:val="1050"/>
    <w:link w:val="1015"/>
  </w:style>
  <w:style w:type="character" w:styleId="1051">
    <w:name w:val="WW8Num4z4"/>
    <w:next w:val="1051"/>
    <w:link w:val="1015"/>
  </w:style>
  <w:style w:type="character" w:styleId="1052">
    <w:name w:val="WW8Num4z5"/>
    <w:next w:val="1052"/>
    <w:link w:val="1015"/>
  </w:style>
  <w:style w:type="character" w:styleId="1053">
    <w:name w:val="WW8Num4z6"/>
    <w:next w:val="1053"/>
    <w:link w:val="1015"/>
  </w:style>
  <w:style w:type="character" w:styleId="1054">
    <w:name w:val="WW8Num4z7"/>
    <w:next w:val="1054"/>
    <w:link w:val="1015"/>
  </w:style>
  <w:style w:type="character" w:styleId="1055">
    <w:name w:val="WW8Num4z8"/>
    <w:next w:val="1055"/>
    <w:link w:val="1015"/>
  </w:style>
  <w:style w:type="character" w:styleId="1056">
    <w:name w:val="WW8Num5z0"/>
    <w:next w:val="1056"/>
    <w:link w:val="1015"/>
  </w:style>
  <w:style w:type="character" w:styleId="1057">
    <w:name w:val="WW8Num6z0"/>
    <w:next w:val="1057"/>
    <w:link w:val="1015"/>
    <w:rPr>
      <w:rFonts w:ascii="Times New Roman" w:hAnsi="Times New Roman" w:eastAsia="Times New Roman" w:cs="Times New Roman"/>
    </w:rPr>
  </w:style>
  <w:style w:type="character" w:styleId="1058">
    <w:name w:val="WW8Num7z0"/>
    <w:next w:val="1058"/>
    <w:link w:val="1015"/>
    <w:rPr>
      <w:rFonts w:ascii="Times New Roman" w:hAnsi="Times New Roman" w:eastAsia="Times New Roman" w:cs="Times New Roman"/>
      <w:b/>
    </w:rPr>
  </w:style>
  <w:style w:type="character" w:styleId="1059">
    <w:name w:val="WW8Num7z1"/>
    <w:next w:val="1059"/>
    <w:link w:val="1015"/>
  </w:style>
  <w:style w:type="character" w:styleId="1060">
    <w:name w:val="WW8Num7z2"/>
    <w:next w:val="1060"/>
    <w:link w:val="1015"/>
  </w:style>
  <w:style w:type="character" w:styleId="1061">
    <w:name w:val="WW8Num7z3"/>
    <w:next w:val="1061"/>
    <w:link w:val="1015"/>
  </w:style>
  <w:style w:type="character" w:styleId="1062">
    <w:name w:val="WW8Num7z4"/>
    <w:next w:val="1062"/>
    <w:link w:val="1015"/>
  </w:style>
  <w:style w:type="character" w:styleId="1063">
    <w:name w:val="WW8Num7z5"/>
    <w:next w:val="1063"/>
    <w:link w:val="1015"/>
  </w:style>
  <w:style w:type="character" w:styleId="1064">
    <w:name w:val="WW8Num7z6"/>
    <w:next w:val="1064"/>
    <w:link w:val="1015"/>
  </w:style>
  <w:style w:type="character" w:styleId="1065">
    <w:name w:val="WW8Num7z7"/>
    <w:next w:val="1065"/>
    <w:link w:val="1015"/>
  </w:style>
  <w:style w:type="character" w:styleId="1066">
    <w:name w:val="WW8Num7z8"/>
    <w:next w:val="1066"/>
    <w:link w:val="1015"/>
  </w:style>
  <w:style w:type="character" w:styleId="1067">
    <w:name w:val="WW8Num8z0"/>
    <w:next w:val="1067"/>
    <w:link w:val="1015"/>
    <w:rPr>
      <w:sz w:val="22"/>
      <w:szCs w:val="22"/>
    </w:rPr>
  </w:style>
  <w:style w:type="character" w:styleId="1068">
    <w:name w:val="WW8Num9z0"/>
    <w:next w:val="1068"/>
    <w:link w:val="1015"/>
    <w:rPr>
      <w:rFonts w:ascii="Wingdings" w:hAnsi="Wingdings" w:cs="Wingdings"/>
    </w:rPr>
  </w:style>
  <w:style w:type="character" w:styleId="1069">
    <w:name w:val="WW8Num9z1"/>
    <w:next w:val="1069"/>
    <w:link w:val="1015"/>
    <w:rPr>
      <w:rFonts w:ascii="Courier New" w:hAnsi="Courier New" w:cs="Courier New"/>
    </w:rPr>
  </w:style>
  <w:style w:type="character" w:styleId="1070">
    <w:name w:val="WW8Num9z3"/>
    <w:next w:val="1070"/>
    <w:link w:val="1015"/>
    <w:rPr>
      <w:rFonts w:ascii="Symbol" w:hAnsi="Symbol" w:cs="Symbol"/>
    </w:rPr>
  </w:style>
  <w:style w:type="character" w:styleId="1071">
    <w:name w:val="WW8Num10z0"/>
    <w:next w:val="1071"/>
    <w:link w:val="1015"/>
    <w:rPr>
      <w:rFonts w:ascii="Times New Roman" w:hAnsi="Times New Roman" w:cs="Times New Roman"/>
    </w:rPr>
  </w:style>
  <w:style w:type="character" w:styleId="1072">
    <w:name w:val="WW8Num11z0"/>
    <w:next w:val="1072"/>
    <w:link w:val="1015"/>
  </w:style>
  <w:style w:type="character" w:styleId="1073">
    <w:name w:val="WW8Num11z1"/>
    <w:next w:val="1073"/>
    <w:link w:val="1015"/>
  </w:style>
  <w:style w:type="character" w:styleId="1074">
    <w:name w:val="WW8Num11z2"/>
    <w:next w:val="1074"/>
    <w:link w:val="1015"/>
  </w:style>
  <w:style w:type="character" w:styleId="1075">
    <w:name w:val="WW8Num11z3"/>
    <w:next w:val="1075"/>
    <w:link w:val="1015"/>
  </w:style>
  <w:style w:type="character" w:styleId="1076">
    <w:name w:val="WW8Num11z4"/>
    <w:next w:val="1076"/>
    <w:link w:val="1015"/>
  </w:style>
  <w:style w:type="character" w:styleId="1077">
    <w:name w:val="WW8Num11z5"/>
    <w:next w:val="1077"/>
    <w:link w:val="1015"/>
  </w:style>
  <w:style w:type="character" w:styleId="1078">
    <w:name w:val="WW8Num11z6"/>
    <w:next w:val="1078"/>
    <w:link w:val="1015"/>
  </w:style>
  <w:style w:type="character" w:styleId="1079">
    <w:name w:val="WW8Num11z7"/>
    <w:next w:val="1079"/>
    <w:link w:val="1015"/>
  </w:style>
  <w:style w:type="character" w:styleId="1080">
    <w:name w:val="WW8Num11z8"/>
    <w:next w:val="1080"/>
    <w:link w:val="1015"/>
  </w:style>
  <w:style w:type="character" w:styleId="1081">
    <w:name w:val="WW8Num12z0"/>
    <w:next w:val="1081"/>
    <w:link w:val="1015"/>
  </w:style>
  <w:style w:type="character" w:styleId="1082">
    <w:name w:val="WW8Num12z1"/>
    <w:next w:val="1082"/>
    <w:link w:val="1015"/>
  </w:style>
  <w:style w:type="character" w:styleId="1083">
    <w:name w:val="WW8Num12z2"/>
    <w:next w:val="1083"/>
    <w:link w:val="1015"/>
  </w:style>
  <w:style w:type="character" w:styleId="1084">
    <w:name w:val="WW8Num12z3"/>
    <w:next w:val="1084"/>
    <w:link w:val="1015"/>
  </w:style>
  <w:style w:type="character" w:styleId="1085">
    <w:name w:val="WW8Num12z4"/>
    <w:next w:val="1085"/>
    <w:link w:val="1015"/>
  </w:style>
  <w:style w:type="character" w:styleId="1086">
    <w:name w:val="WW8Num12z5"/>
    <w:next w:val="1086"/>
    <w:link w:val="1015"/>
  </w:style>
  <w:style w:type="character" w:styleId="1087">
    <w:name w:val="WW8Num12z6"/>
    <w:next w:val="1087"/>
    <w:link w:val="1015"/>
  </w:style>
  <w:style w:type="character" w:styleId="1088">
    <w:name w:val="WW8Num12z7"/>
    <w:next w:val="1088"/>
    <w:link w:val="1015"/>
  </w:style>
  <w:style w:type="character" w:styleId="1089">
    <w:name w:val="WW8Num12z8"/>
    <w:next w:val="1089"/>
    <w:link w:val="1015"/>
  </w:style>
  <w:style w:type="character" w:styleId="1090">
    <w:name w:val="WW8Num13z0"/>
    <w:next w:val="1090"/>
    <w:link w:val="1015"/>
  </w:style>
  <w:style w:type="character" w:styleId="1091">
    <w:name w:val="WW8Num13z1"/>
    <w:next w:val="1091"/>
    <w:link w:val="1015"/>
  </w:style>
  <w:style w:type="character" w:styleId="1092">
    <w:name w:val="WW8Num13z2"/>
    <w:next w:val="1092"/>
    <w:link w:val="1015"/>
  </w:style>
  <w:style w:type="character" w:styleId="1093">
    <w:name w:val="WW8Num13z3"/>
    <w:next w:val="1093"/>
    <w:link w:val="1015"/>
  </w:style>
  <w:style w:type="character" w:styleId="1094">
    <w:name w:val="WW8Num13z4"/>
    <w:next w:val="1094"/>
    <w:link w:val="1015"/>
  </w:style>
  <w:style w:type="character" w:styleId="1095">
    <w:name w:val="WW8Num13z5"/>
    <w:next w:val="1095"/>
    <w:link w:val="1015"/>
  </w:style>
  <w:style w:type="character" w:styleId="1096">
    <w:name w:val="WW8Num13z6"/>
    <w:next w:val="1096"/>
    <w:link w:val="1015"/>
  </w:style>
  <w:style w:type="character" w:styleId="1097">
    <w:name w:val="WW8Num13z7"/>
    <w:next w:val="1097"/>
    <w:link w:val="1015"/>
  </w:style>
  <w:style w:type="character" w:styleId="1098">
    <w:name w:val="WW8Num13z8"/>
    <w:next w:val="1098"/>
    <w:link w:val="1015"/>
  </w:style>
  <w:style w:type="character" w:styleId="1099">
    <w:name w:val="WW8Num14z0"/>
    <w:next w:val="1099"/>
    <w:link w:val="1015"/>
  </w:style>
  <w:style w:type="character" w:styleId="1100">
    <w:name w:val="WW8Num15z0"/>
    <w:next w:val="1100"/>
    <w:link w:val="1015"/>
  </w:style>
  <w:style w:type="character" w:styleId="1101">
    <w:name w:val="WW8Num16z0"/>
    <w:next w:val="1101"/>
    <w:link w:val="1015"/>
  </w:style>
  <w:style w:type="character" w:styleId="1102">
    <w:name w:val="WW8Num16z1"/>
    <w:next w:val="1102"/>
    <w:link w:val="1015"/>
  </w:style>
  <w:style w:type="character" w:styleId="1103">
    <w:name w:val="WW8Num16z2"/>
    <w:next w:val="1103"/>
    <w:link w:val="1015"/>
  </w:style>
  <w:style w:type="character" w:styleId="1104">
    <w:name w:val="WW8Num16z3"/>
    <w:next w:val="1104"/>
    <w:link w:val="1015"/>
  </w:style>
  <w:style w:type="character" w:styleId="1105">
    <w:name w:val="WW8Num16z4"/>
    <w:next w:val="1105"/>
    <w:link w:val="1015"/>
  </w:style>
  <w:style w:type="character" w:styleId="1106">
    <w:name w:val="WW8Num16z5"/>
    <w:next w:val="1106"/>
    <w:link w:val="1015"/>
  </w:style>
  <w:style w:type="character" w:styleId="1107">
    <w:name w:val="WW8Num16z6"/>
    <w:next w:val="1107"/>
    <w:link w:val="1015"/>
  </w:style>
  <w:style w:type="character" w:styleId="1108">
    <w:name w:val="WW8Num16z7"/>
    <w:next w:val="1108"/>
    <w:link w:val="1015"/>
  </w:style>
  <w:style w:type="character" w:styleId="1109">
    <w:name w:val="WW8Num16z8"/>
    <w:next w:val="1109"/>
    <w:link w:val="1015"/>
  </w:style>
  <w:style w:type="character" w:styleId="1110">
    <w:name w:val="WW8Num17z0"/>
    <w:next w:val="1110"/>
    <w:link w:val="1015"/>
    <w:rPr>
      <w:b/>
    </w:rPr>
  </w:style>
  <w:style w:type="character" w:styleId="1111">
    <w:name w:val="WW8Num17z1"/>
    <w:next w:val="1111"/>
    <w:link w:val="1015"/>
  </w:style>
  <w:style w:type="character" w:styleId="1112">
    <w:name w:val="WW8Num17z2"/>
    <w:next w:val="1112"/>
    <w:link w:val="1015"/>
  </w:style>
  <w:style w:type="character" w:styleId="1113">
    <w:name w:val="WW8Num17z3"/>
    <w:next w:val="1113"/>
    <w:link w:val="1015"/>
  </w:style>
  <w:style w:type="character" w:styleId="1114">
    <w:name w:val="WW8Num17z4"/>
    <w:next w:val="1114"/>
    <w:link w:val="1015"/>
  </w:style>
  <w:style w:type="character" w:styleId="1115">
    <w:name w:val="WW8Num17z5"/>
    <w:next w:val="1115"/>
    <w:link w:val="1015"/>
  </w:style>
  <w:style w:type="character" w:styleId="1116">
    <w:name w:val="WW8Num17z6"/>
    <w:next w:val="1116"/>
    <w:link w:val="1015"/>
  </w:style>
  <w:style w:type="character" w:styleId="1117">
    <w:name w:val="WW8Num17z7"/>
    <w:next w:val="1117"/>
    <w:link w:val="1015"/>
  </w:style>
  <w:style w:type="character" w:styleId="1118">
    <w:name w:val="WW8Num17z8"/>
    <w:next w:val="1118"/>
    <w:link w:val="1015"/>
  </w:style>
  <w:style w:type="character" w:styleId="1119">
    <w:name w:val="WW8Num18z0"/>
    <w:next w:val="1119"/>
    <w:link w:val="1015"/>
    <w:rPr>
      <w:rFonts w:ascii="Wingdings" w:hAnsi="Wingdings" w:cs="Wingdings"/>
    </w:rPr>
  </w:style>
  <w:style w:type="character" w:styleId="1120">
    <w:name w:val="WW8Num18z1"/>
    <w:next w:val="1120"/>
    <w:link w:val="1015"/>
    <w:rPr>
      <w:rFonts w:ascii="Courier New" w:hAnsi="Courier New" w:cs="Courier New"/>
    </w:rPr>
  </w:style>
  <w:style w:type="character" w:styleId="1121">
    <w:name w:val="WW8Num18z3"/>
    <w:next w:val="1121"/>
    <w:link w:val="1015"/>
    <w:rPr>
      <w:rFonts w:ascii="Symbol" w:hAnsi="Symbol" w:cs="Symbol"/>
    </w:rPr>
  </w:style>
  <w:style w:type="character" w:styleId="1122">
    <w:name w:val="WW8Num19z0"/>
    <w:next w:val="1122"/>
    <w:link w:val="1015"/>
  </w:style>
  <w:style w:type="character" w:styleId="1123">
    <w:name w:val="WW8Num20z0"/>
    <w:next w:val="1123"/>
    <w:link w:val="1015"/>
  </w:style>
  <w:style w:type="character" w:styleId="1124">
    <w:name w:val="WW8Num20z1"/>
    <w:next w:val="1124"/>
    <w:link w:val="1015"/>
  </w:style>
  <w:style w:type="character" w:styleId="1125">
    <w:name w:val="WW8Num20z2"/>
    <w:next w:val="1125"/>
    <w:link w:val="1015"/>
  </w:style>
  <w:style w:type="character" w:styleId="1126">
    <w:name w:val="WW8Num20z3"/>
    <w:next w:val="1126"/>
    <w:link w:val="1015"/>
  </w:style>
  <w:style w:type="character" w:styleId="1127">
    <w:name w:val="WW8Num20z4"/>
    <w:next w:val="1127"/>
    <w:link w:val="1015"/>
  </w:style>
  <w:style w:type="character" w:styleId="1128">
    <w:name w:val="WW8Num20z5"/>
    <w:next w:val="1128"/>
    <w:link w:val="1015"/>
  </w:style>
  <w:style w:type="character" w:styleId="1129">
    <w:name w:val="WW8Num20z6"/>
    <w:next w:val="1129"/>
    <w:link w:val="1015"/>
  </w:style>
  <w:style w:type="character" w:styleId="1130">
    <w:name w:val="WW8Num20z7"/>
    <w:next w:val="1130"/>
    <w:link w:val="1015"/>
  </w:style>
  <w:style w:type="character" w:styleId="1131">
    <w:name w:val="WW8Num20z8"/>
    <w:next w:val="1131"/>
    <w:link w:val="1015"/>
  </w:style>
  <w:style w:type="character" w:styleId="1132">
    <w:name w:val="WW8Num21z0"/>
    <w:next w:val="1132"/>
    <w:link w:val="1015"/>
  </w:style>
  <w:style w:type="character" w:styleId="1133">
    <w:name w:val="WW8Num22z0"/>
    <w:next w:val="1133"/>
    <w:link w:val="1015"/>
    <w:rPr>
      <w:rFonts w:ascii="Wingdings" w:hAnsi="Wingdings" w:cs="Wingdings"/>
    </w:rPr>
  </w:style>
  <w:style w:type="character" w:styleId="1134">
    <w:name w:val="WW8Num22z1"/>
    <w:next w:val="1134"/>
    <w:link w:val="1015"/>
    <w:rPr>
      <w:rFonts w:ascii="Courier New" w:hAnsi="Courier New" w:cs="Courier New"/>
    </w:rPr>
  </w:style>
  <w:style w:type="character" w:styleId="1135">
    <w:name w:val="WW8Num22z3"/>
    <w:next w:val="1135"/>
    <w:link w:val="1015"/>
    <w:rPr>
      <w:rFonts w:ascii="Symbol" w:hAnsi="Symbol" w:cs="Symbol"/>
    </w:rPr>
  </w:style>
  <w:style w:type="character" w:styleId="1136">
    <w:name w:val="WW8Num23z0"/>
    <w:next w:val="1136"/>
    <w:link w:val="1015"/>
  </w:style>
  <w:style w:type="character" w:styleId="1137">
    <w:name w:val="WW8Num23z1"/>
    <w:next w:val="1137"/>
    <w:link w:val="1015"/>
  </w:style>
  <w:style w:type="character" w:styleId="1138">
    <w:name w:val="WW8Num23z2"/>
    <w:next w:val="1138"/>
    <w:link w:val="1015"/>
  </w:style>
  <w:style w:type="character" w:styleId="1139">
    <w:name w:val="WW8Num23z3"/>
    <w:next w:val="1139"/>
    <w:link w:val="1015"/>
  </w:style>
  <w:style w:type="character" w:styleId="1140">
    <w:name w:val="WW8Num23z4"/>
    <w:next w:val="1140"/>
    <w:link w:val="1015"/>
  </w:style>
  <w:style w:type="character" w:styleId="1141">
    <w:name w:val="WW8Num23z5"/>
    <w:next w:val="1141"/>
    <w:link w:val="1015"/>
  </w:style>
  <w:style w:type="character" w:styleId="1142">
    <w:name w:val="WW8Num23z6"/>
    <w:next w:val="1142"/>
    <w:link w:val="1015"/>
  </w:style>
  <w:style w:type="character" w:styleId="1143">
    <w:name w:val="WW8Num23z7"/>
    <w:next w:val="1143"/>
    <w:link w:val="1015"/>
  </w:style>
  <w:style w:type="character" w:styleId="1144">
    <w:name w:val="WW8Num23z8"/>
    <w:next w:val="1144"/>
    <w:link w:val="1015"/>
  </w:style>
  <w:style w:type="character" w:styleId="1145">
    <w:name w:val="WW8Num24z0"/>
    <w:next w:val="1145"/>
    <w:link w:val="1015"/>
    <w:rPr>
      <w:i w:val="0"/>
    </w:rPr>
  </w:style>
  <w:style w:type="character" w:styleId="1146">
    <w:name w:val="WW8Num24z1"/>
    <w:next w:val="1146"/>
    <w:link w:val="1015"/>
  </w:style>
  <w:style w:type="character" w:styleId="1147">
    <w:name w:val="WW8Num24z2"/>
    <w:next w:val="1147"/>
    <w:link w:val="1015"/>
  </w:style>
  <w:style w:type="character" w:styleId="1148">
    <w:name w:val="WW8Num24z3"/>
    <w:next w:val="1148"/>
    <w:link w:val="1015"/>
  </w:style>
  <w:style w:type="character" w:styleId="1149">
    <w:name w:val="WW8Num24z4"/>
    <w:next w:val="1149"/>
    <w:link w:val="1015"/>
  </w:style>
  <w:style w:type="character" w:styleId="1150">
    <w:name w:val="WW8Num24z5"/>
    <w:next w:val="1150"/>
    <w:link w:val="1015"/>
  </w:style>
  <w:style w:type="character" w:styleId="1151">
    <w:name w:val="WW8Num24z6"/>
    <w:next w:val="1151"/>
    <w:link w:val="1015"/>
  </w:style>
  <w:style w:type="character" w:styleId="1152">
    <w:name w:val="WW8Num24z7"/>
    <w:next w:val="1152"/>
    <w:link w:val="1015"/>
  </w:style>
  <w:style w:type="character" w:styleId="1153">
    <w:name w:val="WW8Num24z8"/>
    <w:next w:val="1153"/>
    <w:link w:val="1015"/>
  </w:style>
  <w:style w:type="character" w:styleId="1154">
    <w:name w:val="WW8Num25z0"/>
    <w:next w:val="1154"/>
    <w:link w:val="1015"/>
  </w:style>
  <w:style w:type="character" w:styleId="1155">
    <w:name w:val="WW8Num25z1"/>
    <w:next w:val="1155"/>
    <w:link w:val="1015"/>
  </w:style>
  <w:style w:type="character" w:styleId="1156">
    <w:name w:val="WW8Num25z2"/>
    <w:next w:val="1156"/>
    <w:link w:val="1015"/>
  </w:style>
  <w:style w:type="character" w:styleId="1157">
    <w:name w:val="WW8Num25z3"/>
    <w:next w:val="1157"/>
    <w:link w:val="1015"/>
  </w:style>
  <w:style w:type="character" w:styleId="1158">
    <w:name w:val="WW8Num25z4"/>
    <w:next w:val="1158"/>
    <w:link w:val="1015"/>
  </w:style>
  <w:style w:type="character" w:styleId="1159">
    <w:name w:val="WW8Num25z5"/>
    <w:next w:val="1159"/>
    <w:link w:val="1015"/>
  </w:style>
  <w:style w:type="character" w:styleId="1160">
    <w:name w:val="WW8Num25z6"/>
    <w:next w:val="1160"/>
    <w:link w:val="1015"/>
  </w:style>
  <w:style w:type="character" w:styleId="1161">
    <w:name w:val="WW8Num25z7"/>
    <w:next w:val="1161"/>
    <w:link w:val="1015"/>
  </w:style>
  <w:style w:type="character" w:styleId="1162">
    <w:name w:val="WW8Num25z8"/>
    <w:next w:val="1162"/>
    <w:link w:val="1015"/>
  </w:style>
  <w:style w:type="character" w:styleId="1163">
    <w:name w:val="WW8Num26z0"/>
    <w:next w:val="1163"/>
    <w:link w:val="1015"/>
  </w:style>
  <w:style w:type="character" w:styleId="1164">
    <w:name w:val="WW8Num26z1"/>
    <w:next w:val="1164"/>
    <w:link w:val="1015"/>
  </w:style>
  <w:style w:type="character" w:styleId="1165">
    <w:name w:val="WW8Num26z2"/>
    <w:next w:val="1165"/>
    <w:link w:val="1015"/>
  </w:style>
  <w:style w:type="character" w:styleId="1166">
    <w:name w:val="WW8Num26z3"/>
    <w:next w:val="1166"/>
    <w:link w:val="1015"/>
  </w:style>
  <w:style w:type="character" w:styleId="1167">
    <w:name w:val="WW8Num26z4"/>
    <w:next w:val="1167"/>
    <w:link w:val="1015"/>
  </w:style>
  <w:style w:type="character" w:styleId="1168">
    <w:name w:val="WW8Num26z5"/>
    <w:next w:val="1168"/>
    <w:link w:val="1015"/>
  </w:style>
  <w:style w:type="character" w:styleId="1169">
    <w:name w:val="WW8Num26z6"/>
    <w:next w:val="1169"/>
    <w:link w:val="1015"/>
  </w:style>
  <w:style w:type="character" w:styleId="1170">
    <w:name w:val="WW8Num26z7"/>
    <w:next w:val="1170"/>
    <w:link w:val="1015"/>
  </w:style>
  <w:style w:type="character" w:styleId="1171">
    <w:name w:val="WW8Num26z8"/>
    <w:next w:val="1171"/>
    <w:link w:val="1015"/>
  </w:style>
  <w:style w:type="character" w:styleId="1172">
    <w:name w:val="WW8Num27z0"/>
    <w:next w:val="1172"/>
    <w:link w:val="1015"/>
    <w:rPr>
      <w:rFonts w:eastAsia="Times New Roman"/>
    </w:rPr>
  </w:style>
  <w:style w:type="character" w:styleId="1173">
    <w:name w:val="WW8Num28z0"/>
    <w:next w:val="1173"/>
    <w:link w:val="1015"/>
  </w:style>
  <w:style w:type="character" w:styleId="1174">
    <w:name w:val="WW8Num29z0"/>
    <w:next w:val="1174"/>
    <w:link w:val="1015"/>
  </w:style>
  <w:style w:type="character" w:styleId="1175">
    <w:name w:val="WW8Num29z1"/>
    <w:next w:val="1175"/>
    <w:link w:val="1015"/>
  </w:style>
  <w:style w:type="character" w:styleId="1176">
    <w:name w:val="WW8Num29z2"/>
    <w:next w:val="1176"/>
    <w:link w:val="1015"/>
  </w:style>
  <w:style w:type="character" w:styleId="1177">
    <w:name w:val="WW8Num29z3"/>
    <w:next w:val="1177"/>
    <w:link w:val="1015"/>
  </w:style>
  <w:style w:type="character" w:styleId="1178">
    <w:name w:val="WW8Num29z4"/>
    <w:next w:val="1178"/>
    <w:link w:val="1015"/>
  </w:style>
  <w:style w:type="character" w:styleId="1179">
    <w:name w:val="WW8Num29z5"/>
    <w:next w:val="1179"/>
    <w:link w:val="1015"/>
  </w:style>
  <w:style w:type="character" w:styleId="1180">
    <w:name w:val="WW8Num29z6"/>
    <w:next w:val="1180"/>
    <w:link w:val="1015"/>
  </w:style>
  <w:style w:type="character" w:styleId="1181">
    <w:name w:val="WW8Num29z7"/>
    <w:next w:val="1181"/>
    <w:link w:val="1015"/>
  </w:style>
  <w:style w:type="character" w:styleId="1182">
    <w:name w:val="WW8Num29z8"/>
    <w:next w:val="1182"/>
    <w:link w:val="1015"/>
  </w:style>
  <w:style w:type="character" w:styleId="1183">
    <w:name w:val="WW8Num30z0"/>
    <w:next w:val="1183"/>
    <w:link w:val="1015"/>
    <w:rPr>
      <w:rFonts w:ascii="Times New Roman" w:hAnsi="Times New Roman" w:eastAsia="Times New Roman" w:cs="Times New Roman"/>
    </w:rPr>
  </w:style>
  <w:style w:type="character" w:styleId="1184">
    <w:name w:val="WW8Num30z1"/>
    <w:next w:val="1184"/>
    <w:link w:val="1015"/>
    <w:rPr>
      <w:rFonts w:ascii="Courier New" w:hAnsi="Courier New" w:cs="Courier New"/>
    </w:rPr>
  </w:style>
  <w:style w:type="character" w:styleId="1185">
    <w:name w:val="WW8Num30z2"/>
    <w:next w:val="1185"/>
    <w:link w:val="1015"/>
    <w:rPr>
      <w:rFonts w:ascii="Wingdings" w:hAnsi="Wingdings" w:cs="Wingdings"/>
    </w:rPr>
  </w:style>
  <w:style w:type="character" w:styleId="1186">
    <w:name w:val="WW8Num30z3"/>
    <w:next w:val="1186"/>
    <w:link w:val="1015"/>
    <w:rPr>
      <w:rFonts w:ascii="Symbol" w:hAnsi="Symbol" w:cs="Symbol"/>
    </w:rPr>
  </w:style>
  <w:style w:type="character" w:styleId="1187">
    <w:name w:val="WW8Num31z0"/>
    <w:next w:val="1187"/>
    <w:link w:val="1015"/>
  </w:style>
  <w:style w:type="character" w:styleId="1188">
    <w:name w:val="WW8Num32z0"/>
    <w:next w:val="1188"/>
    <w:link w:val="1015"/>
  </w:style>
  <w:style w:type="character" w:styleId="1189">
    <w:name w:val="WW8Num33z0"/>
    <w:next w:val="1189"/>
    <w:link w:val="1015"/>
    <w:rPr>
      <w:rFonts w:eastAsia="Times New Roman"/>
    </w:rPr>
  </w:style>
  <w:style w:type="character" w:styleId="1190">
    <w:name w:val="WW8Num34z0"/>
    <w:next w:val="1190"/>
    <w:link w:val="1015"/>
  </w:style>
  <w:style w:type="character" w:styleId="1191">
    <w:name w:val="WW8Num35z0"/>
    <w:next w:val="1191"/>
    <w:link w:val="1015"/>
    <w:rPr>
      <w:rFonts w:ascii="Times New Roman" w:hAnsi="Times New Roman" w:eastAsia="Times New Roman" w:cs="Times New Roman"/>
    </w:rPr>
  </w:style>
  <w:style w:type="character" w:styleId="1192">
    <w:name w:val="WW8Num35z1"/>
    <w:next w:val="1192"/>
    <w:link w:val="1015"/>
  </w:style>
  <w:style w:type="character" w:styleId="1193">
    <w:name w:val="WW8Num35z2"/>
    <w:next w:val="1193"/>
    <w:link w:val="1015"/>
  </w:style>
  <w:style w:type="character" w:styleId="1194">
    <w:name w:val="WW8Num35z3"/>
    <w:next w:val="1194"/>
    <w:link w:val="1015"/>
  </w:style>
  <w:style w:type="character" w:styleId="1195">
    <w:name w:val="WW8Num35z4"/>
    <w:next w:val="1195"/>
    <w:link w:val="1015"/>
  </w:style>
  <w:style w:type="character" w:styleId="1196">
    <w:name w:val="WW8Num35z5"/>
    <w:next w:val="1196"/>
    <w:link w:val="1015"/>
  </w:style>
  <w:style w:type="character" w:styleId="1197">
    <w:name w:val="WW8Num35z6"/>
    <w:next w:val="1197"/>
    <w:link w:val="1015"/>
  </w:style>
  <w:style w:type="character" w:styleId="1198">
    <w:name w:val="WW8Num35z7"/>
    <w:next w:val="1198"/>
    <w:link w:val="1015"/>
  </w:style>
  <w:style w:type="character" w:styleId="1199">
    <w:name w:val="WW8Num35z8"/>
    <w:next w:val="1199"/>
    <w:link w:val="1015"/>
  </w:style>
  <w:style w:type="character" w:styleId="1200">
    <w:name w:val="WW8Num36z0"/>
    <w:next w:val="1200"/>
    <w:link w:val="1015"/>
  </w:style>
  <w:style w:type="character" w:styleId="1201">
    <w:name w:val="WW8Num36z1"/>
    <w:next w:val="1201"/>
    <w:link w:val="1015"/>
  </w:style>
  <w:style w:type="character" w:styleId="1202">
    <w:name w:val="WW8Num36z2"/>
    <w:next w:val="1202"/>
    <w:link w:val="1015"/>
  </w:style>
  <w:style w:type="character" w:styleId="1203">
    <w:name w:val="WW8Num36z3"/>
    <w:next w:val="1203"/>
    <w:link w:val="1015"/>
  </w:style>
  <w:style w:type="character" w:styleId="1204">
    <w:name w:val="WW8Num36z4"/>
    <w:next w:val="1204"/>
    <w:link w:val="1015"/>
  </w:style>
  <w:style w:type="character" w:styleId="1205">
    <w:name w:val="WW8Num36z5"/>
    <w:next w:val="1205"/>
    <w:link w:val="1015"/>
  </w:style>
  <w:style w:type="character" w:styleId="1206">
    <w:name w:val="WW8Num36z6"/>
    <w:next w:val="1206"/>
    <w:link w:val="1015"/>
  </w:style>
  <w:style w:type="character" w:styleId="1207">
    <w:name w:val="WW8Num36z7"/>
    <w:next w:val="1207"/>
    <w:link w:val="1015"/>
  </w:style>
  <w:style w:type="character" w:styleId="1208">
    <w:name w:val="WW8Num36z8"/>
    <w:next w:val="1208"/>
    <w:link w:val="1015"/>
  </w:style>
  <w:style w:type="character" w:styleId="1209">
    <w:name w:val="WW8Num37z0"/>
    <w:next w:val="1209"/>
    <w:link w:val="1015"/>
    <w:rPr>
      <w:sz w:val="22"/>
      <w:szCs w:val="22"/>
    </w:rPr>
  </w:style>
  <w:style w:type="character" w:styleId="1210">
    <w:name w:val="WW8Num38z0"/>
    <w:next w:val="1210"/>
    <w:link w:val="1015"/>
    <w:rPr>
      <w:b/>
      <w:i w:val="0"/>
      <w:sz w:val="22"/>
      <w:szCs w:val="22"/>
    </w:rPr>
  </w:style>
  <w:style w:type="character" w:styleId="1211">
    <w:name w:val="WW8Num38z1"/>
    <w:next w:val="1211"/>
    <w:link w:val="1015"/>
  </w:style>
  <w:style w:type="character" w:styleId="1212">
    <w:name w:val="WW8Num38z2"/>
    <w:next w:val="1212"/>
    <w:link w:val="1015"/>
  </w:style>
  <w:style w:type="character" w:styleId="1213">
    <w:name w:val="WW8Num38z3"/>
    <w:next w:val="1213"/>
    <w:link w:val="1015"/>
  </w:style>
  <w:style w:type="character" w:styleId="1214">
    <w:name w:val="WW8Num38z4"/>
    <w:next w:val="1214"/>
    <w:link w:val="1015"/>
  </w:style>
  <w:style w:type="character" w:styleId="1215">
    <w:name w:val="WW8Num38z5"/>
    <w:next w:val="1215"/>
    <w:link w:val="1015"/>
  </w:style>
  <w:style w:type="character" w:styleId="1216">
    <w:name w:val="WW8Num38z6"/>
    <w:next w:val="1216"/>
    <w:link w:val="1015"/>
  </w:style>
  <w:style w:type="character" w:styleId="1217">
    <w:name w:val="WW8Num38z7"/>
    <w:next w:val="1217"/>
    <w:link w:val="1015"/>
  </w:style>
  <w:style w:type="character" w:styleId="1218">
    <w:name w:val="WW8Num38z8"/>
    <w:next w:val="1218"/>
    <w:link w:val="1015"/>
  </w:style>
  <w:style w:type="character" w:styleId="1219">
    <w:name w:val="WW8Num39z0"/>
    <w:next w:val="1219"/>
    <w:link w:val="1015"/>
  </w:style>
  <w:style w:type="character" w:styleId="1220">
    <w:name w:val="WW8Num39z1"/>
    <w:next w:val="1220"/>
    <w:link w:val="1015"/>
  </w:style>
  <w:style w:type="character" w:styleId="1221">
    <w:name w:val="WW8Num39z2"/>
    <w:next w:val="1221"/>
    <w:link w:val="1015"/>
  </w:style>
  <w:style w:type="character" w:styleId="1222">
    <w:name w:val="WW8Num39z3"/>
    <w:next w:val="1222"/>
    <w:link w:val="1015"/>
  </w:style>
  <w:style w:type="character" w:styleId="1223">
    <w:name w:val="WW8Num39z4"/>
    <w:next w:val="1223"/>
    <w:link w:val="1015"/>
  </w:style>
  <w:style w:type="character" w:styleId="1224">
    <w:name w:val="WW8Num39z5"/>
    <w:next w:val="1224"/>
    <w:link w:val="1015"/>
  </w:style>
  <w:style w:type="character" w:styleId="1225">
    <w:name w:val="WW8Num39z6"/>
    <w:next w:val="1225"/>
    <w:link w:val="1015"/>
  </w:style>
  <w:style w:type="character" w:styleId="1226">
    <w:name w:val="WW8Num39z7"/>
    <w:next w:val="1226"/>
    <w:link w:val="1015"/>
  </w:style>
  <w:style w:type="character" w:styleId="1227">
    <w:name w:val="WW8Num39z8"/>
    <w:next w:val="1227"/>
    <w:link w:val="1015"/>
  </w:style>
  <w:style w:type="character" w:styleId="1228">
    <w:name w:val="WW8Num40z0"/>
    <w:next w:val="1228"/>
    <w:link w:val="1015"/>
    <w:rPr>
      <w:rFonts w:ascii="Symbol" w:hAnsi="Symbol" w:cs="Symbol"/>
    </w:rPr>
  </w:style>
  <w:style w:type="character" w:styleId="1229">
    <w:name w:val="WW8Num40z1"/>
    <w:next w:val="1229"/>
    <w:link w:val="1015"/>
    <w:rPr>
      <w:rFonts w:ascii="Courier New" w:hAnsi="Courier New" w:cs="Courier New"/>
    </w:rPr>
  </w:style>
  <w:style w:type="character" w:styleId="1230">
    <w:name w:val="WW8Num40z2"/>
    <w:next w:val="1230"/>
    <w:link w:val="1015"/>
    <w:rPr>
      <w:rFonts w:ascii="Wingdings" w:hAnsi="Wingdings" w:cs="Wingdings"/>
    </w:rPr>
  </w:style>
  <w:style w:type="character" w:styleId="1231">
    <w:name w:val="WW8Num41z0"/>
    <w:next w:val="1231"/>
    <w:link w:val="1015"/>
    <w:rPr>
      <w:rFonts w:ascii="Wingdings" w:hAnsi="Wingdings" w:cs="Wingdings"/>
    </w:rPr>
  </w:style>
  <w:style w:type="character" w:styleId="1232">
    <w:name w:val="WW8Num41z1"/>
    <w:next w:val="1232"/>
    <w:link w:val="1015"/>
    <w:rPr>
      <w:rFonts w:ascii="Courier New" w:hAnsi="Courier New" w:cs="Courier New"/>
    </w:rPr>
  </w:style>
  <w:style w:type="character" w:styleId="1233">
    <w:name w:val="WW8Num41z3"/>
    <w:next w:val="1233"/>
    <w:link w:val="1015"/>
    <w:rPr>
      <w:rFonts w:ascii="Symbol" w:hAnsi="Symbol" w:cs="Symbol"/>
    </w:rPr>
  </w:style>
  <w:style w:type="character" w:styleId="1234">
    <w:name w:val="WW8Num42z0"/>
    <w:next w:val="1234"/>
    <w:link w:val="1015"/>
  </w:style>
  <w:style w:type="character" w:styleId="1235">
    <w:name w:val="WW8Num42z1"/>
    <w:next w:val="1235"/>
    <w:link w:val="1015"/>
  </w:style>
  <w:style w:type="character" w:styleId="1236">
    <w:name w:val="WW8Num42z2"/>
    <w:next w:val="1236"/>
    <w:link w:val="1015"/>
  </w:style>
  <w:style w:type="character" w:styleId="1237">
    <w:name w:val="WW8Num42z3"/>
    <w:next w:val="1237"/>
    <w:link w:val="1015"/>
  </w:style>
  <w:style w:type="character" w:styleId="1238">
    <w:name w:val="WW8Num42z4"/>
    <w:next w:val="1238"/>
    <w:link w:val="1015"/>
  </w:style>
  <w:style w:type="character" w:styleId="1239">
    <w:name w:val="WW8Num42z5"/>
    <w:next w:val="1239"/>
    <w:link w:val="1015"/>
  </w:style>
  <w:style w:type="character" w:styleId="1240">
    <w:name w:val="WW8Num42z6"/>
    <w:next w:val="1240"/>
    <w:link w:val="1015"/>
  </w:style>
  <w:style w:type="character" w:styleId="1241">
    <w:name w:val="WW8Num42z7"/>
    <w:next w:val="1241"/>
    <w:link w:val="1015"/>
  </w:style>
  <w:style w:type="character" w:styleId="1242">
    <w:name w:val="WW8Num42z8"/>
    <w:next w:val="1242"/>
    <w:link w:val="1015"/>
  </w:style>
  <w:style w:type="character" w:styleId="1243">
    <w:name w:val="WW8Num43z0"/>
    <w:next w:val="1243"/>
    <w:link w:val="1015"/>
  </w:style>
  <w:style w:type="character" w:styleId="1244">
    <w:name w:val="WW8Num43z1"/>
    <w:next w:val="1244"/>
    <w:link w:val="1015"/>
  </w:style>
  <w:style w:type="character" w:styleId="1245">
    <w:name w:val="WW8Num43z2"/>
    <w:next w:val="1245"/>
    <w:link w:val="1015"/>
  </w:style>
  <w:style w:type="character" w:styleId="1246">
    <w:name w:val="WW8Num43z3"/>
    <w:next w:val="1246"/>
    <w:link w:val="1015"/>
  </w:style>
  <w:style w:type="character" w:styleId="1247">
    <w:name w:val="WW8Num43z4"/>
    <w:next w:val="1247"/>
    <w:link w:val="1015"/>
  </w:style>
  <w:style w:type="character" w:styleId="1248">
    <w:name w:val="WW8Num43z5"/>
    <w:next w:val="1248"/>
    <w:link w:val="1015"/>
  </w:style>
  <w:style w:type="character" w:styleId="1249">
    <w:name w:val="WW8Num43z6"/>
    <w:next w:val="1249"/>
    <w:link w:val="1015"/>
  </w:style>
  <w:style w:type="character" w:styleId="1250">
    <w:name w:val="WW8Num43z7"/>
    <w:next w:val="1250"/>
    <w:link w:val="1015"/>
  </w:style>
  <w:style w:type="character" w:styleId="1251">
    <w:name w:val="WW8Num43z8"/>
    <w:next w:val="1251"/>
    <w:link w:val="1015"/>
  </w:style>
  <w:style w:type="character" w:styleId="1252">
    <w:name w:val="WW8Num44z0"/>
    <w:next w:val="1252"/>
    <w:link w:val="1015"/>
  </w:style>
  <w:style w:type="character" w:styleId="1253">
    <w:name w:val="Основной шрифт абзаца1"/>
    <w:next w:val="1253"/>
    <w:link w:val="1015"/>
  </w:style>
  <w:style w:type="character" w:styleId="1254">
    <w:name w:val="Номер страницы"/>
    <w:basedOn w:val="1253"/>
    <w:next w:val="1254"/>
    <w:link w:val="1015"/>
  </w:style>
  <w:style w:type="character" w:styleId="1255">
    <w:name w:val="Font Style19"/>
    <w:next w:val="1255"/>
    <w:link w:val="1015"/>
    <w:rPr>
      <w:rFonts w:ascii="Sylfaen" w:hAnsi="Sylfaen" w:cs="Sylfaen"/>
      <w:sz w:val="24"/>
      <w:szCs w:val="24"/>
    </w:rPr>
  </w:style>
  <w:style w:type="character" w:styleId="1256">
    <w:name w:val="Текст Знак"/>
    <w:next w:val="1256"/>
    <w:link w:val="1015"/>
    <w:rPr>
      <w:rFonts w:ascii="Courier New" w:hAnsi="Courier New" w:cs="Courier New"/>
    </w:rPr>
  </w:style>
  <w:style w:type="character" w:styleId="1257">
    <w:name w:val="Гиперссылка"/>
    <w:next w:val="1257"/>
    <w:link w:val="1015"/>
    <w:uiPriority w:val="99"/>
    <w:rPr>
      <w:color w:val="0000ff"/>
      <w:u w:val="single"/>
    </w:rPr>
  </w:style>
  <w:style w:type="character" w:styleId="1258">
    <w:name w:val="Font Style28"/>
    <w:next w:val="1258"/>
    <w:link w:val="1015"/>
    <w:rPr>
      <w:rFonts w:ascii="Times New Roman" w:hAnsi="Times New Roman" w:cs="Times New Roman"/>
      <w:sz w:val="26"/>
      <w:szCs w:val="26"/>
    </w:rPr>
  </w:style>
  <w:style w:type="character" w:styleId="1259">
    <w:name w:val="Font Style13"/>
    <w:next w:val="1259"/>
    <w:link w:val="1015"/>
    <w:rPr>
      <w:rFonts w:ascii="Times New Roman" w:hAnsi="Times New Roman" w:cs="Times New Roman"/>
      <w:sz w:val="24"/>
      <w:szCs w:val="24"/>
    </w:rPr>
  </w:style>
  <w:style w:type="character" w:styleId="1260">
    <w:name w:val="Основной текст Знак"/>
    <w:next w:val="1260"/>
    <w:link w:val="1015"/>
    <w:rPr>
      <w:sz w:val="24"/>
    </w:rPr>
  </w:style>
  <w:style w:type="character" w:styleId="1261">
    <w:name w:val="Абзац списка Знак"/>
    <w:next w:val="1261"/>
    <w:link w:val="1015"/>
    <w:uiPriority w:val="34"/>
  </w:style>
  <w:style w:type="character" w:styleId="1262">
    <w:name w:val="Font Style17"/>
    <w:next w:val="1262"/>
    <w:link w:val="1015"/>
    <w:rPr>
      <w:rFonts w:ascii="Sylfaen" w:hAnsi="Sylfaen" w:cs="Sylfaen"/>
      <w:b/>
      <w:bCs/>
      <w:sz w:val="24"/>
      <w:szCs w:val="24"/>
    </w:rPr>
  </w:style>
  <w:style w:type="character" w:styleId="1263">
    <w:name w:val="Без интервала Знак"/>
    <w:next w:val="1263"/>
    <w:link w:val="1015"/>
    <w:rPr>
      <w:rFonts w:ascii="Calibri" w:hAnsi="Calibri" w:cs="Calibri"/>
      <w:sz w:val="22"/>
      <w:szCs w:val="22"/>
      <w:lang w:val="en-US" w:eastAsia="en-US" w:bidi="en-US"/>
    </w:rPr>
  </w:style>
  <w:style w:type="character" w:styleId="1264">
    <w:name w:val="Font Style29"/>
    <w:next w:val="1264"/>
    <w:link w:val="1015"/>
    <w:uiPriority w:val="99"/>
    <w:rPr>
      <w:rFonts w:ascii="Times New Roman" w:hAnsi="Times New Roman" w:cs="Times New Roman"/>
      <w:sz w:val="26"/>
      <w:szCs w:val="26"/>
    </w:rPr>
  </w:style>
  <w:style w:type="character" w:styleId="1265">
    <w:name w:val="Font Style22"/>
    <w:next w:val="1265"/>
    <w:link w:val="1015"/>
    <w:rPr>
      <w:rFonts w:ascii="Times New Roman" w:hAnsi="Times New Roman" w:cs="Times New Roman"/>
      <w:sz w:val="26"/>
      <w:szCs w:val="26"/>
    </w:rPr>
  </w:style>
  <w:style w:type="character" w:styleId="1266">
    <w:name w:val="Font Style32"/>
    <w:next w:val="1266"/>
    <w:link w:val="1015"/>
    <w:rPr>
      <w:rFonts w:ascii="Times New Roman" w:hAnsi="Times New Roman" w:cs="Times New Roman"/>
      <w:sz w:val="26"/>
      <w:szCs w:val="26"/>
    </w:rPr>
  </w:style>
  <w:style w:type="character" w:styleId="1267">
    <w:name w:val="Основной текст с отступом Знак"/>
    <w:next w:val="1267"/>
    <w:link w:val="1015"/>
    <w:rPr>
      <w:sz w:val="26"/>
    </w:rPr>
  </w:style>
  <w:style w:type="character" w:styleId="1268">
    <w:name w:val="Текст выноски Знак"/>
    <w:next w:val="1268"/>
    <w:link w:val="1015"/>
    <w:rPr>
      <w:rFonts w:ascii="Segoe UI" w:hAnsi="Segoe UI" w:cs="Segoe UI"/>
      <w:sz w:val="18"/>
      <w:szCs w:val="18"/>
    </w:rPr>
  </w:style>
  <w:style w:type="character" w:styleId="1269">
    <w:name w:val="ConsPlusNormal Знак"/>
    <w:next w:val="1269"/>
    <w:link w:val="1015"/>
    <w:rPr>
      <w:rFonts w:ascii="Arial" w:hAnsi="Arial" w:cs="Arial"/>
      <w:lang w:val="ru-RU" w:eastAsia="ar-SA" w:bidi="ar-SA"/>
    </w:rPr>
  </w:style>
  <w:style w:type="character" w:styleId="1270">
    <w:name w:val="Font Style27"/>
    <w:next w:val="1270"/>
    <w:link w:val="1015"/>
    <w:rPr>
      <w:rFonts w:ascii="Times New Roman" w:hAnsi="Times New Roman" w:cs="Times New Roman"/>
      <w:sz w:val="26"/>
      <w:szCs w:val="26"/>
    </w:rPr>
  </w:style>
  <w:style w:type="character" w:styleId="1271">
    <w:name w:val="Просмотренная гиперссылка"/>
    <w:next w:val="1271"/>
    <w:link w:val="1015"/>
    <w:rPr>
      <w:color w:val="800080"/>
      <w:u w:val="single"/>
    </w:rPr>
  </w:style>
  <w:style w:type="paragraph" w:styleId="1272">
    <w:name w:val="Заголовок"/>
    <w:basedOn w:val="1015"/>
    <w:next w:val="1273"/>
    <w:link w:val="1015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1273">
    <w:name w:val="Основной текст"/>
    <w:basedOn w:val="1015"/>
    <w:next w:val="1273"/>
    <w:link w:val="1015"/>
    <w:pPr>
      <w:jc w:val="both"/>
    </w:pPr>
    <w:rPr>
      <w:sz w:val="24"/>
      <w:lang w:val="en-US"/>
    </w:rPr>
  </w:style>
  <w:style w:type="paragraph" w:styleId="1274">
    <w:name w:val="Список"/>
    <w:basedOn w:val="1273"/>
    <w:next w:val="1274"/>
    <w:link w:val="1015"/>
    <w:rPr>
      <w:rFonts w:cs="Arial"/>
    </w:rPr>
  </w:style>
  <w:style w:type="paragraph" w:styleId="1275">
    <w:name w:val="Название1"/>
    <w:basedOn w:val="1015"/>
    <w:next w:val="1275"/>
    <w:link w:val="1015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276">
    <w:name w:val="Указатель1"/>
    <w:basedOn w:val="1015"/>
    <w:next w:val="1276"/>
    <w:link w:val="1015"/>
    <w:pPr>
      <w:suppressLineNumbers/>
    </w:pPr>
    <w:rPr>
      <w:rFonts w:cs="Arial"/>
    </w:rPr>
  </w:style>
  <w:style w:type="paragraph" w:styleId="1277">
    <w:name w:val="Основной текст с отступом"/>
    <w:basedOn w:val="1015"/>
    <w:next w:val="1277"/>
    <w:link w:val="1015"/>
    <w:pPr>
      <w:ind w:left="2410" w:right="0" w:hanging="2410"/>
      <w:jc w:val="both"/>
    </w:pPr>
    <w:rPr>
      <w:sz w:val="26"/>
      <w:lang w:val="en-US"/>
    </w:rPr>
  </w:style>
  <w:style w:type="paragraph" w:styleId="1278">
    <w:name w:val="Основной текст с отступом 21"/>
    <w:basedOn w:val="1015"/>
    <w:next w:val="1278"/>
    <w:link w:val="1015"/>
    <w:pPr>
      <w:ind w:left="1985" w:right="0" w:hanging="1985"/>
      <w:jc w:val="both"/>
    </w:pPr>
    <w:rPr>
      <w:sz w:val="26"/>
    </w:rPr>
  </w:style>
  <w:style w:type="paragraph" w:styleId="1279">
    <w:name w:val="Основной текст с отступом 31"/>
    <w:basedOn w:val="1015"/>
    <w:next w:val="1279"/>
    <w:link w:val="1015"/>
    <w:pPr>
      <w:ind w:left="1985" w:right="0" w:firstLine="0"/>
      <w:jc w:val="both"/>
    </w:pPr>
    <w:rPr>
      <w:sz w:val="26"/>
    </w:rPr>
  </w:style>
  <w:style w:type="paragraph" w:styleId="1280">
    <w:name w:val="Основной текст 21"/>
    <w:basedOn w:val="1015"/>
    <w:next w:val="1280"/>
    <w:link w:val="1015"/>
    <w:rPr>
      <w:sz w:val="22"/>
    </w:rPr>
  </w:style>
  <w:style w:type="paragraph" w:styleId="1281">
    <w:name w:val="Верхний колонтитул"/>
    <w:basedOn w:val="1015"/>
    <w:next w:val="1281"/>
    <w:link w:val="1015"/>
    <w:pPr>
      <w:tabs>
        <w:tab w:val="center" w:pos="4153" w:leader="none"/>
        <w:tab w:val="right" w:pos="8306" w:leader="none"/>
      </w:tabs>
    </w:pPr>
  </w:style>
  <w:style w:type="paragraph" w:styleId="1282">
    <w:name w:val="Нижний колонтитул"/>
    <w:basedOn w:val="1015"/>
    <w:next w:val="1282"/>
    <w:link w:val="1015"/>
    <w:pPr>
      <w:tabs>
        <w:tab w:val="center" w:pos="4153" w:leader="none"/>
        <w:tab w:val="right" w:pos="8306" w:leader="none"/>
      </w:tabs>
    </w:pPr>
  </w:style>
  <w:style w:type="paragraph" w:styleId="1283">
    <w:name w:val="ConsTitle"/>
    <w:next w:val="1283"/>
    <w:link w:val="1015"/>
    <w:rPr>
      <w:rFonts w:ascii="Arial" w:hAnsi="Arial" w:cs="Arial"/>
      <w:b/>
      <w:bCs/>
      <w:lang w:val="ru-RU" w:eastAsia="ar-SA" w:bidi="ar-SA"/>
    </w:rPr>
  </w:style>
  <w:style w:type="paragraph" w:styleId="1284">
    <w:name w:val="Знак Знак Знак"/>
    <w:basedOn w:val="1015"/>
    <w:next w:val="1284"/>
    <w:link w:val="1015"/>
    <w:pPr>
      <w:jc w:val="both"/>
      <w:spacing w:before="100" w:after="100"/>
    </w:pPr>
    <w:rPr>
      <w:rFonts w:ascii="Tahoma" w:hAnsi="Tahoma" w:cs="Tahoma"/>
      <w:lang w:val="en-US"/>
    </w:rPr>
  </w:style>
  <w:style w:type="paragraph" w:styleId="1285">
    <w:name w:val="Заголовок статьи"/>
    <w:basedOn w:val="1015"/>
    <w:next w:val="1015"/>
    <w:link w:val="1015"/>
    <w:pPr>
      <w:ind w:left="1612" w:right="0" w:hanging="892"/>
      <w:jc w:val="both"/>
    </w:pPr>
    <w:rPr>
      <w:rFonts w:ascii="Arial" w:hAnsi="Arial" w:cs="Arial"/>
      <w:sz w:val="24"/>
      <w:szCs w:val="24"/>
    </w:rPr>
  </w:style>
  <w:style w:type="paragraph" w:styleId="1286">
    <w:name w:val="ConsPlusNormal"/>
    <w:next w:val="1286"/>
    <w:link w:val="1015"/>
    <w:pPr>
      <w:ind w:firstLine="720"/>
      <w:widowControl w:val="off"/>
    </w:pPr>
    <w:rPr>
      <w:rFonts w:ascii="Arial" w:hAnsi="Arial" w:cs="Arial"/>
      <w:lang w:val="ru-RU" w:eastAsia="ar-SA" w:bidi="ar-SA"/>
    </w:rPr>
  </w:style>
  <w:style w:type="paragraph" w:styleId="1287">
    <w:name w:val="Style3"/>
    <w:basedOn w:val="1015"/>
    <w:next w:val="1287"/>
    <w:link w:val="1015"/>
    <w:pPr>
      <w:ind w:left="0" w:right="0" w:firstLine="685"/>
      <w:jc w:val="both"/>
      <w:spacing w:line="325" w:lineRule="exact"/>
      <w:widowControl w:val="off"/>
    </w:pPr>
    <w:rPr>
      <w:rFonts w:ascii="Sylfaen" w:hAnsi="Sylfaen" w:cs="Sylfaen"/>
      <w:sz w:val="24"/>
      <w:szCs w:val="24"/>
    </w:rPr>
  </w:style>
  <w:style w:type="paragraph" w:styleId="1288">
    <w:name w:val="Текст1"/>
    <w:basedOn w:val="1015"/>
    <w:next w:val="1288"/>
    <w:link w:val="1015"/>
    <w:rPr>
      <w:rFonts w:ascii="Courier New" w:hAnsi="Courier New" w:cs="Courier New"/>
      <w:lang w:val="en-US"/>
    </w:rPr>
  </w:style>
  <w:style w:type="paragraph" w:styleId="1289">
    <w:name w:val="Style21"/>
    <w:basedOn w:val="1015"/>
    <w:next w:val="1289"/>
    <w:link w:val="1015"/>
    <w:pPr>
      <w:ind w:left="0" w:right="0" w:firstLine="734"/>
      <w:jc w:val="both"/>
      <w:spacing w:line="370" w:lineRule="exact"/>
      <w:widowControl w:val="off"/>
    </w:pPr>
    <w:rPr>
      <w:rFonts w:eastAsia="Times New Roman"/>
      <w:sz w:val="24"/>
      <w:szCs w:val="24"/>
    </w:rPr>
  </w:style>
  <w:style w:type="paragraph" w:styleId="1290">
    <w:name w:val="Абзац списка"/>
    <w:basedOn w:val="1015"/>
    <w:next w:val="1290"/>
    <w:link w:val="1015"/>
    <w:uiPriority w:val="34"/>
    <w:qFormat/>
    <w:pPr>
      <w:ind w:left="720" w:right="0" w:firstLine="0"/>
    </w:pPr>
  </w:style>
  <w:style w:type="paragraph" w:styleId="1291">
    <w:name w:val="Style1"/>
    <w:basedOn w:val="1015"/>
    <w:next w:val="1291"/>
    <w:link w:val="1015"/>
    <w:pPr>
      <w:widowControl w:val="off"/>
    </w:pPr>
    <w:rPr>
      <w:sz w:val="24"/>
      <w:szCs w:val="24"/>
    </w:rPr>
  </w:style>
  <w:style w:type="paragraph" w:styleId="1292">
    <w:name w:val="Style2"/>
    <w:basedOn w:val="1015"/>
    <w:next w:val="1292"/>
    <w:link w:val="1015"/>
    <w:pPr>
      <w:widowControl w:val="off"/>
    </w:pPr>
    <w:rPr>
      <w:sz w:val="24"/>
      <w:szCs w:val="24"/>
    </w:rPr>
  </w:style>
  <w:style w:type="paragraph" w:styleId="1293">
    <w:name w:val="Style4"/>
    <w:basedOn w:val="1015"/>
    <w:next w:val="1293"/>
    <w:link w:val="1015"/>
    <w:pPr>
      <w:widowControl w:val="off"/>
    </w:pPr>
    <w:rPr>
      <w:sz w:val="24"/>
      <w:szCs w:val="24"/>
    </w:rPr>
  </w:style>
  <w:style w:type="paragraph" w:styleId="1294">
    <w:name w:val="Обычный полуторный маркированый"/>
    <w:basedOn w:val="1015"/>
    <w:next w:val="1294"/>
    <w:link w:val="1015"/>
    <w:pPr>
      <w:numPr>
        <w:ilvl w:val="0"/>
        <w:numId w:val="8"/>
      </w:numPr>
      <w:jc w:val="both"/>
    </w:pPr>
    <w:rPr>
      <w:sz w:val="24"/>
      <w:szCs w:val="24"/>
    </w:rPr>
  </w:style>
  <w:style w:type="paragraph" w:styleId="1295">
    <w:name w:val="Стиль"/>
    <w:next w:val="1295"/>
    <w:link w:val="1015"/>
    <w:pPr>
      <w:widowControl w:val="off"/>
    </w:pPr>
    <w:rPr>
      <w:sz w:val="24"/>
      <w:szCs w:val="24"/>
      <w:lang w:val="ru-RU" w:eastAsia="ar-SA" w:bidi="ar-SA"/>
    </w:rPr>
  </w:style>
  <w:style w:type="paragraph" w:styleId="1296">
    <w:name w:val="Style11"/>
    <w:basedOn w:val="1015"/>
    <w:next w:val="1296"/>
    <w:link w:val="1015"/>
    <w:pPr>
      <w:ind w:left="0" w:right="0" w:firstLine="697"/>
      <w:jc w:val="both"/>
      <w:spacing w:line="322" w:lineRule="exact"/>
      <w:widowControl w:val="off"/>
    </w:pPr>
    <w:rPr>
      <w:rFonts w:ascii="Sylfaen" w:hAnsi="Sylfaen" w:cs="Sylfaen"/>
      <w:sz w:val="24"/>
      <w:szCs w:val="24"/>
    </w:rPr>
  </w:style>
  <w:style w:type="paragraph" w:styleId="1297">
    <w:name w:val="ConsPlusNonformat"/>
    <w:next w:val="1297"/>
    <w:link w:val="1015"/>
    <w:pPr>
      <w:widowControl w:val="off"/>
    </w:pPr>
    <w:rPr>
      <w:rFonts w:ascii="Courier New" w:hAnsi="Courier New" w:cs="Courier New"/>
      <w:lang w:val="ru-RU" w:eastAsia="ar-SA" w:bidi="ar-SA"/>
    </w:rPr>
  </w:style>
  <w:style w:type="paragraph" w:styleId="1298">
    <w:name w:val="Прижатый влево"/>
    <w:basedOn w:val="1015"/>
    <w:next w:val="1015"/>
    <w:link w:val="1015"/>
    <w:rPr>
      <w:rFonts w:ascii="Arial" w:hAnsi="Arial" w:cs="Arial"/>
      <w:sz w:val="24"/>
      <w:szCs w:val="24"/>
    </w:rPr>
  </w:style>
  <w:style w:type="paragraph" w:styleId="1299">
    <w:name w:val="Без интервала"/>
    <w:next w:val="1299"/>
    <w:link w:val="1015"/>
    <w:qFormat/>
    <w:rPr>
      <w:rFonts w:ascii="Calibri" w:hAnsi="Calibri" w:cs="Calibri"/>
      <w:sz w:val="22"/>
      <w:szCs w:val="22"/>
      <w:lang w:val="en-US" w:eastAsia="en-US" w:bidi="en-US"/>
    </w:rPr>
  </w:style>
  <w:style w:type="paragraph" w:styleId="1300">
    <w:name w:val="Текст выноски"/>
    <w:basedOn w:val="1015"/>
    <w:next w:val="1300"/>
    <w:link w:val="1015"/>
    <w:rPr>
      <w:rFonts w:ascii="Segoe UI" w:hAnsi="Segoe UI" w:cs="Segoe UI"/>
      <w:sz w:val="18"/>
      <w:szCs w:val="18"/>
      <w:lang w:val="en-US"/>
    </w:rPr>
  </w:style>
  <w:style w:type="paragraph" w:styleId="1301">
    <w:name w:val="List Paragraph"/>
    <w:basedOn w:val="1015"/>
    <w:next w:val="1301"/>
    <w:link w:val="1306"/>
    <w:pPr>
      <w:ind w:left="720" w:right="0" w:firstLine="0"/>
    </w:pPr>
  </w:style>
  <w:style w:type="paragraph" w:styleId="1302">
    <w:name w:val="Содержимое таблицы"/>
    <w:basedOn w:val="1015"/>
    <w:next w:val="1302"/>
    <w:link w:val="1015"/>
    <w:pPr>
      <w:suppressLineNumbers/>
    </w:pPr>
  </w:style>
  <w:style w:type="paragraph" w:styleId="1303">
    <w:name w:val="Заголовок таблицы"/>
    <w:basedOn w:val="1302"/>
    <w:next w:val="1303"/>
    <w:link w:val="1015"/>
    <w:pPr>
      <w:jc w:val="center"/>
      <w:suppressLineNumbers/>
    </w:pPr>
    <w:rPr>
      <w:b/>
      <w:bCs/>
    </w:rPr>
  </w:style>
  <w:style w:type="paragraph" w:styleId="1304">
    <w:name w:val="Содержимое врезки"/>
    <w:basedOn w:val="1273"/>
    <w:next w:val="1304"/>
    <w:link w:val="1015"/>
  </w:style>
  <w:style w:type="character" w:styleId="1305">
    <w:name w:val="Font Style11"/>
    <w:next w:val="1305"/>
    <w:link w:val="1015"/>
    <w:rPr>
      <w:rFonts w:ascii="Times New Roman" w:hAnsi="Times New Roman" w:cs="Times New Roman"/>
      <w:sz w:val="26"/>
      <w:szCs w:val="26"/>
    </w:rPr>
  </w:style>
  <w:style w:type="character" w:styleId="1306">
    <w:name w:val="List Paragraph Char"/>
    <w:next w:val="1306"/>
    <w:link w:val="1301"/>
    <w:rPr>
      <w:lang w:val="ru-RU" w:eastAsia="ar-SA" w:bidi="ar-SA"/>
    </w:rPr>
  </w:style>
  <w:style w:type="character" w:styleId="1307">
    <w:name w:val="Основной текст (2)_"/>
    <w:next w:val="1307"/>
    <w:link w:val="1308"/>
    <w:rPr>
      <w:sz w:val="28"/>
      <w:shd w:val="clear" w:color="auto" w:fill="ffffff"/>
      <w:lang w:bidi="ar-SA"/>
    </w:rPr>
  </w:style>
  <w:style w:type="paragraph" w:styleId="1308">
    <w:name w:val="Основной текст (2)"/>
    <w:basedOn w:val="1015"/>
    <w:next w:val="1308"/>
    <w:link w:val="1307"/>
    <w:pPr>
      <w:jc w:val="center"/>
      <w:spacing w:before="120" w:after="120" w:line="308" w:lineRule="exact"/>
      <w:shd w:val="clear" w:color="auto" w:fill="ffffff"/>
      <w:widowControl w:val="off"/>
    </w:pPr>
    <w:rPr>
      <w:sz w:val="28"/>
      <w:shd w:val="clear" w:color="auto" w:fill="ffffff"/>
    </w:rPr>
  </w:style>
  <w:style w:type="paragraph" w:styleId="1309">
    <w:name w:val="ConsPlusTitle"/>
    <w:next w:val="1309"/>
    <w:link w:val="1015"/>
    <w:pPr>
      <w:widowControl w:val="off"/>
    </w:pPr>
    <w:rPr>
      <w:b/>
      <w:sz w:val="28"/>
      <w:lang w:val="ru-RU" w:eastAsia="ru-RU" w:bidi="ar-SA"/>
    </w:rPr>
  </w:style>
  <w:style w:type="character" w:styleId="1310" w:default="1">
    <w:name w:val="Default Paragraph Font"/>
    <w:uiPriority w:val="1"/>
    <w:semiHidden/>
    <w:unhideWhenUsed/>
  </w:style>
  <w:style w:type="numbering" w:styleId="1311" w:default="1">
    <w:name w:val="No List"/>
    <w:uiPriority w:val="99"/>
    <w:semiHidden/>
    <w:unhideWhenUsed/>
  </w:style>
  <w:style w:type="table" w:styleId="1312" w:default="1">
    <w:name w:val="Normal Table"/>
    <w:uiPriority w:val="99"/>
    <w:semiHidden/>
    <w:unhideWhenUsed/>
    <w:tblPr/>
  </w:style>
  <w:style w:type="paragraph" w:styleId="1313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314" w:customStyle="1">
    <w:name w:val="Body Text"/>
    <w:link w:val="956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315" w:customStyle="1">
    <w:name w:val="Гиперссылка1"/>
    <w:rPr>
      <w:color w:val="0000ff"/>
      <w:u w:val="single"/>
    </w:rPr>
  </w:style>
  <w:style w:type="paragraph" w:styleId="1316" w:customStyle="1">
    <w:name w:val="Body Text Indent 3"/>
    <w:basedOn w:val="869"/>
    <w:link w:val="895"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317" w:customStyle="1">
    <w:name w:val="Font Style16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https://login.consultant.ru/link/?req=doc&amp;base=LAW&amp;n=464881" TargetMode="External"/><Relationship Id="rId16" Type="http://schemas.openxmlformats.org/officeDocument/2006/relationships/hyperlink" Target="http://pravo.gov.ru" TargetMode="External"/><Relationship Id="rId17" Type="http://schemas.openxmlformats.org/officeDocument/2006/relationships/hyperlink" Target="consultantplus://offline/ref=896CD84A69BBD268F75F29E825A951CE9AC5EC046DBAFEAAAA51220A44E10D5E7C5B9EB270AFA1DF8DED04CB712B5C502E7A211FC3263AB4m178A" TargetMode="External"/><Relationship Id="rId18" Type="http://schemas.openxmlformats.org/officeDocument/2006/relationships/hyperlink" Target="https://login.consultant.ru/link/?req=doc&amp;base=LAW&amp;n=471078&amp;dst=813" TargetMode="External"/><Relationship Id="rId19" Type="http://schemas.openxmlformats.org/officeDocument/2006/relationships/hyperlink" Target="https://rpn.gov.ru/regions/49/hr/order-requirement/" TargetMode="External"/><Relationship Id="rId20" Type="http://schemas.openxmlformats.org/officeDocument/2006/relationships/hyperlink" Target="https://rpn.gov.ru/regions/49/hr/order-requirement/" TargetMode="External"/><Relationship Id="rId21" Type="http://schemas.openxmlformats.org/officeDocument/2006/relationships/hyperlink" Target="https://mintrud.gov.ru/testing/default/view/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надбавке за квалификационный разряд                                               ОК,бухг</dc:title>
  <dc:subject>JOГO JARDIM x8?! PORRA! DIA 8 VOTA NГO!</dc:subject>
  <dc:creator>VOTA NГO А REGIONALIZAЗГO! SIM AO REFORЗO DO MUNICIPALISMO!</dc:creator>
  <dc:description>A REGIONALIZAЗГO Й UM ERRO COLOSSAL!</dc:description>
  <cp:lastModifiedBy>petrovskaya.mv</cp:lastModifiedBy>
  <cp:revision>110</cp:revision>
  <dcterms:created xsi:type="dcterms:W3CDTF">2022-08-15T05:13:00Z</dcterms:created>
  <dcterms:modified xsi:type="dcterms:W3CDTF">2026-05-15T00:54:23Z</dcterms:modified>
  <cp:version>1048576</cp:version>
</cp:coreProperties>
</file>