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F1" w:rsidRDefault="007C55F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55F1" w:rsidRDefault="007C55F1">
      <w:pPr>
        <w:pStyle w:val="ConsPlusNormal"/>
        <w:jc w:val="both"/>
        <w:outlineLvl w:val="0"/>
      </w:pPr>
    </w:p>
    <w:p w:rsidR="007C55F1" w:rsidRDefault="007C55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5F1" w:rsidRDefault="007C55F1">
      <w:pPr>
        <w:pStyle w:val="ConsPlusTitle"/>
        <w:jc w:val="center"/>
      </w:pPr>
    </w:p>
    <w:p w:rsidR="007C55F1" w:rsidRDefault="007C55F1">
      <w:pPr>
        <w:pStyle w:val="ConsPlusTitle"/>
        <w:jc w:val="center"/>
      </w:pPr>
      <w:r>
        <w:t>ПОСТАНОВЛЕНИЕ</w:t>
      </w:r>
    </w:p>
    <w:p w:rsidR="007C55F1" w:rsidRDefault="007C55F1">
      <w:pPr>
        <w:pStyle w:val="ConsPlusTitle"/>
        <w:jc w:val="center"/>
      </w:pPr>
      <w:r>
        <w:t>от 9 сентября 2020 г. N 1374</w:t>
      </w:r>
    </w:p>
    <w:p w:rsidR="007C55F1" w:rsidRDefault="007C55F1">
      <w:pPr>
        <w:pStyle w:val="ConsPlusTitle"/>
        <w:jc w:val="center"/>
      </w:pPr>
    </w:p>
    <w:p w:rsidR="007C55F1" w:rsidRDefault="007C55F1">
      <w:pPr>
        <w:pStyle w:val="ConsPlusTitle"/>
        <w:jc w:val="center"/>
      </w:pPr>
      <w:r>
        <w:t>О ПРЕОБРАЗОВАНИИ</w:t>
      </w:r>
    </w:p>
    <w:p w:rsidR="007C55F1" w:rsidRDefault="007C55F1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7C55F1" w:rsidRDefault="007C55F1">
      <w:pPr>
        <w:pStyle w:val="ConsPlusTitle"/>
        <w:jc w:val="center"/>
      </w:pPr>
      <w:r>
        <w:t>РАЗВИТИЯ "КРАСНОКАМЕНСК"</w:t>
      </w: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3 статьи 35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преобразовать территорию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 xml:space="preserve">", созданную на основании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июля 2016 г. N 675 "О создании территории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 xml:space="preserve">" в соответствии с требованиями </w:t>
      </w:r>
      <w:hyperlink r:id="rId8">
        <w:r>
          <w:rPr>
            <w:color w:val="0000FF"/>
          </w:rPr>
          <w:t>части 1 статьи 34</w:t>
        </w:r>
      </w:hyperlink>
      <w:r>
        <w:t xml:space="preserve"> Федерального закона "О территориях опережающего социально-экономического развития в</w:t>
      </w:r>
      <w:proofErr w:type="gramEnd"/>
      <w:r>
        <w:t xml:space="preserve"> Российской Федерации", в территорию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 xml:space="preserve">" на территории муниципального образования городское поселение "Город </w:t>
      </w:r>
      <w:proofErr w:type="spellStart"/>
      <w:r>
        <w:t>Краснокаменск</w:t>
      </w:r>
      <w:proofErr w:type="spellEnd"/>
      <w:r>
        <w:t xml:space="preserve">" (Забайкальский край) (далее - территория опережающего развития) в соответствии со </w:t>
      </w:r>
      <w:hyperlink r:id="rId9">
        <w:r>
          <w:rPr>
            <w:color w:val="0000FF"/>
          </w:rPr>
          <w:t>статьей 3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2. Установить, что местоположение границ территории опережающего развития определяется по границам территории муниципального образования городское поселение "Город </w:t>
      </w:r>
      <w:proofErr w:type="spellStart"/>
      <w:r>
        <w:t>Краснокаменск</w:t>
      </w:r>
      <w:proofErr w:type="spellEnd"/>
      <w:r>
        <w:t>" (Забайкальский край).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развития не предоставляется при осуществлении видов экономической деятельности, предусмотренных Общероссийским </w:t>
      </w:r>
      <w:hyperlink r:id="rId1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</w:t>
      </w:r>
      <w:hyperlink w:anchor="P35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7C55F1" w:rsidRDefault="007C55F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31.08.2022 N 1525)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500 тыс. рублей.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>5.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 и законодательством Российской Федерации.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Установить, что резиденты территории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 xml:space="preserve">", созданной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июля 2016 г. N 675 "О создании территории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>", сохраняют статус резидента, полученный до вступления в силу настоящего постановления, и пользуются всеми льготами до окончания действия соглашения об осуществлении деятельности на территории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>".</w:t>
      </w:r>
      <w:proofErr w:type="gramEnd"/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675 "О создании территории опережающего социально-экономического развития "</w:t>
      </w:r>
      <w:proofErr w:type="spellStart"/>
      <w:r>
        <w:t>Краснокаменск</w:t>
      </w:r>
      <w:proofErr w:type="spellEnd"/>
      <w:r>
        <w:t>" (Собрание законодательства Российской Федерации, 2016, N 30, ст. 4917).</w:t>
      </w: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right"/>
      </w:pPr>
      <w:r>
        <w:t>Председатель Правительства</w:t>
      </w:r>
    </w:p>
    <w:p w:rsidR="007C55F1" w:rsidRDefault="007C55F1">
      <w:pPr>
        <w:pStyle w:val="ConsPlusNormal"/>
        <w:jc w:val="right"/>
      </w:pPr>
      <w:r>
        <w:t>Российской Федерации</w:t>
      </w:r>
    </w:p>
    <w:p w:rsidR="007C55F1" w:rsidRDefault="007C55F1">
      <w:pPr>
        <w:pStyle w:val="ConsPlusNormal"/>
        <w:jc w:val="right"/>
      </w:pPr>
      <w:r>
        <w:t>М.МИШУСТИН</w:t>
      </w: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right"/>
        <w:outlineLvl w:val="0"/>
      </w:pPr>
      <w:r>
        <w:t>Приложение</w:t>
      </w:r>
    </w:p>
    <w:p w:rsidR="007C55F1" w:rsidRDefault="007C55F1">
      <w:pPr>
        <w:pStyle w:val="ConsPlusNormal"/>
        <w:jc w:val="right"/>
      </w:pPr>
      <w:r>
        <w:t>к постановлению Правительства</w:t>
      </w:r>
    </w:p>
    <w:p w:rsidR="007C55F1" w:rsidRDefault="007C55F1">
      <w:pPr>
        <w:pStyle w:val="ConsPlusNormal"/>
        <w:jc w:val="right"/>
      </w:pPr>
      <w:r>
        <w:t>Российской Федерации</w:t>
      </w:r>
    </w:p>
    <w:p w:rsidR="007C55F1" w:rsidRDefault="007C55F1">
      <w:pPr>
        <w:pStyle w:val="ConsPlusNormal"/>
        <w:jc w:val="right"/>
      </w:pPr>
      <w:r>
        <w:t>от 9 сентября 2020 г. N 1374</w:t>
      </w: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Title"/>
        <w:jc w:val="center"/>
      </w:pPr>
      <w:bookmarkStart w:id="0" w:name="P35"/>
      <w:bookmarkEnd w:id="0"/>
      <w:r>
        <w:t>ПЕРЕЧЕНЬ</w:t>
      </w:r>
    </w:p>
    <w:p w:rsidR="007C55F1" w:rsidRDefault="007C55F1">
      <w:pPr>
        <w:pStyle w:val="ConsPlusTitle"/>
        <w:jc w:val="center"/>
      </w:pPr>
      <w:r>
        <w:t>ВИДОВ ЭКОНОМИЧЕСКОЙ ДЕЯТЕЛЬНОСТИ, ПРЕДУСМОТРЕННЫХ</w:t>
      </w:r>
    </w:p>
    <w:p w:rsidR="007C55F1" w:rsidRDefault="007C55F1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7C55F1" w:rsidRDefault="007C55F1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 2), ПРИ ОСУЩЕСТВЛЕНИИ</w:t>
      </w:r>
    </w:p>
    <w:p w:rsidR="007C55F1" w:rsidRDefault="007C55F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НЕ ПРЕДОСТАВЛЯЕТСЯ ОСОБЫЙ ПРАВОВОЙ РЕЖИМ</w:t>
      </w:r>
    </w:p>
    <w:p w:rsidR="007C55F1" w:rsidRDefault="007C55F1">
      <w:pPr>
        <w:pStyle w:val="ConsPlusTitle"/>
        <w:jc w:val="center"/>
      </w:pPr>
      <w:r>
        <w:t>ОСУЩЕСТВЛЕНИЯ ПРЕДПРИНИМАТЕЛЬСКОЙ ДЕЯТЕЛЬНОСТИ</w:t>
      </w:r>
    </w:p>
    <w:p w:rsidR="007C55F1" w:rsidRDefault="007C55F1">
      <w:pPr>
        <w:pStyle w:val="ConsPlusTitle"/>
        <w:jc w:val="center"/>
      </w:pPr>
      <w:r>
        <w:t xml:space="preserve">НА 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7C55F1" w:rsidRDefault="007C55F1">
      <w:pPr>
        <w:pStyle w:val="ConsPlusTitle"/>
        <w:jc w:val="center"/>
      </w:pPr>
      <w:r>
        <w:t>РАЗВИТИЯ "КРАСНОКАМЕНСК"</w:t>
      </w:r>
    </w:p>
    <w:p w:rsidR="007C55F1" w:rsidRDefault="007C55F1">
      <w:pPr>
        <w:pStyle w:val="ConsPlusNormal"/>
        <w:ind w:firstLine="540"/>
        <w:jc w:val="both"/>
      </w:pPr>
      <w:bookmarkStart w:id="1" w:name="_GoBack"/>
      <w:bookmarkEnd w:id="1"/>
    </w:p>
    <w:p w:rsidR="007C55F1" w:rsidRDefault="007C55F1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14">
        <w:r>
          <w:rPr>
            <w:color w:val="0000FF"/>
          </w:rPr>
          <w:t>подкласс</w:t>
        </w:r>
      </w:hyperlink>
      <w:r>
        <w:t xml:space="preserve"> "Лесозаготовки".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15">
        <w:r>
          <w:rPr>
            <w:color w:val="0000FF"/>
          </w:rPr>
          <w:t>класс</w:t>
        </w:r>
      </w:hyperlink>
      <w:r>
        <w:t xml:space="preserve"> "Добыча нефти и природного газа".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16">
        <w:r>
          <w:rPr>
            <w:color w:val="0000FF"/>
          </w:rPr>
          <w:t>класс</w:t>
        </w:r>
      </w:hyperlink>
      <w:r>
        <w:t xml:space="preserve"> "Производство напитков", за исключением видов экономической деятельности, включенных в </w:t>
      </w:r>
      <w:hyperlink r:id="rId17">
        <w:r>
          <w:rPr>
            <w:color w:val="0000FF"/>
          </w:rPr>
          <w:t>группу</w:t>
        </w:r>
      </w:hyperlink>
      <w:r>
        <w:t xml:space="preserve"> "Производство безалкогольных напитков; производство упакованных питьевых вод, включая минеральные воды".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18">
        <w:r>
          <w:rPr>
            <w:color w:val="0000FF"/>
          </w:rPr>
          <w:t>класс</w:t>
        </w:r>
      </w:hyperlink>
      <w:r>
        <w:t xml:space="preserve"> "Производство табачных изделий".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19">
        <w:r>
          <w:rPr>
            <w:color w:val="0000FF"/>
          </w:rPr>
          <w:t>класс</w:t>
        </w:r>
      </w:hyperlink>
      <w:r>
        <w:t xml:space="preserve"> "Торговля оптовая и розничная автотранспортными средствами и мотоциклами и их ремонт".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20">
        <w:r>
          <w:rPr>
            <w:color w:val="0000FF"/>
          </w:rPr>
          <w:t>класс</w:t>
        </w:r>
      </w:hyperlink>
      <w:r>
        <w:t xml:space="preserve"> "Торговля оптовая, кроме оптовой торговли автотранспортными средствами и мотоциклами".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21">
        <w:r>
          <w:rPr>
            <w:color w:val="0000FF"/>
          </w:rPr>
          <w:t>класс</w:t>
        </w:r>
      </w:hyperlink>
      <w:r>
        <w:t xml:space="preserve"> "Торговля розничная, кроме торговли автотранспортными средствами и мотоциклами".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22">
        <w:r>
          <w:rPr>
            <w:color w:val="0000FF"/>
          </w:rPr>
          <w:t>класс</w:t>
        </w:r>
      </w:hyperlink>
      <w:r>
        <w:t xml:space="preserve"> "Деятельность по предоставлению финансовых услуг, кроме услуг по страхованию и пенсионному обеспечению", за исключением видов экономической деятельности, включенных в </w:t>
      </w:r>
      <w:hyperlink r:id="rId23">
        <w:r>
          <w:rPr>
            <w:color w:val="0000FF"/>
          </w:rPr>
          <w:t>группу</w:t>
        </w:r>
      </w:hyperlink>
      <w:r>
        <w:t xml:space="preserve"> "Деятельность по финансовой аренде (лизингу/</w:t>
      </w:r>
      <w:proofErr w:type="spellStart"/>
      <w:r>
        <w:t>сублизингу</w:t>
      </w:r>
      <w:proofErr w:type="spellEnd"/>
      <w:r>
        <w:t>)".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24">
        <w:r>
          <w:rPr>
            <w:color w:val="0000FF"/>
          </w:rPr>
          <w:t>класс</w:t>
        </w:r>
      </w:hyperlink>
      <w:r>
        <w:t xml:space="preserve"> "Страхование, перестрахование, деятельность негосударственных пенсионных фондов, кроме обязательного социального обеспечения".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25">
        <w:r>
          <w:rPr>
            <w:color w:val="0000FF"/>
          </w:rPr>
          <w:t>класс</w:t>
        </w:r>
      </w:hyperlink>
      <w:r>
        <w:t xml:space="preserve"> "Деятельность </w:t>
      </w:r>
      <w:r>
        <w:lastRenderedPageBreak/>
        <w:t>вспомогательная в сфере финансовых услуг и страхования".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26">
        <w:r>
          <w:rPr>
            <w:color w:val="0000FF"/>
          </w:rPr>
          <w:t>класс</w:t>
        </w:r>
      </w:hyperlink>
      <w:r>
        <w:t xml:space="preserve"> "Деятельность по обеспечению безопасности и проведению расследований".</w:t>
      </w:r>
    </w:p>
    <w:p w:rsidR="007C55F1" w:rsidRDefault="007C55F1">
      <w:pPr>
        <w:pStyle w:val="ConsPlusNormal"/>
        <w:spacing w:before="220"/>
        <w:ind w:firstLine="540"/>
        <w:jc w:val="both"/>
      </w:pPr>
      <w:r>
        <w:t xml:space="preserve">12. Все виды экономической деятельности, включенные в </w:t>
      </w:r>
      <w:hyperlink r:id="rId27">
        <w:r>
          <w:rPr>
            <w:color w:val="0000FF"/>
          </w:rPr>
          <w:t>класс</w:t>
        </w:r>
      </w:hyperlink>
      <w:r>
        <w:t xml:space="preserve"> "Деятельность по организации и проведению азартных игр и заключению пари, по организации и проведению лотерей".</w:t>
      </w: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jc w:val="both"/>
      </w:pPr>
    </w:p>
    <w:p w:rsidR="007C55F1" w:rsidRDefault="007C55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EFE" w:rsidRDefault="00A62EFE"/>
    <w:sectPr w:rsidR="00A62EFE" w:rsidSect="000D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F1"/>
    <w:rsid w:val="007C55F1"/>
    <w:rsid w:val="00A62EFE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5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55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55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5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55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55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D02D04AE22DBB55464A18C599DB6D33F9DCAA25A35A195CF98F62652F8E284E748357B55F095CBBD0C5884D0893E3D6753534822331CCmAu9C" TargetMode="External"/><Relationship Id="rId13" Type="http://schemas.openxmlformats.org/officeDocument/2006/relationships/hyperlink" Target="consultantplus://offline/ref=0E3D02D04AE22DBB55464A18C599DB6D35FCDFAD2AA25A195CF98F62652F8E285C74DB5BB75F145CB2C593D90Bm5uEC" TargetMode="External"/><Relationship Id="rId18" Type="http://schemas.openxmlformats.org/officeDocument/2006/relationships/hyperlink" Target="consultantplus://offline/ref=0E3D02D04AE22DBB55464A18C599DB6D33F9D5A525AB5A195CF98F62652F8E284E748357B55E0A58B1D0C5884D0893E3D6753534822331CCmAu9C" TargetMode="External"/><Relationship Id="rId26" Type="http://schemas.openxmlformats.org/officeDocument/2006/relationships/hyperlink" Target="consultantplus://offline/ref=0E3D02D04AE22DBB55464A18C599DB6D33F9D5A525AB5A195CF98F62652F8E284E748357B55A0B59B6D0C5884D0893E3D6753534822331CCmAu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3D02D04AE22DBB55464A18C599DB6D33F9D5A525AB5A195CF98F62652F8E284E748357B55C0F5BB6D0C5884D0893E3D6753534822331CCmAu9C" TargetMode="External"/><Relationship Id="rId7" Type="http://schemas.openxmlformats.org/officeDocument/2006/relationships/hyperlink" Target="consultantplus://offline/ref=0E3D02D04AE22DBB55464A18C599DB6D35FCDFAD2AA25A195CF98F62652F8E284E748357B55F0A5DB6D0C5884D0893E3D6753534822331CCmAu9C" TargetMode="External"/><Relationship Id="rId12" Type="http://schemas.openxmlformats.org/officeDocument/2006/relationships/hyperlink" Target="consultantplus://offline/ref=0E3D02D04AE22DBB55464A18C599DB6D35FCDFAD2AA25A195CF98F62652F8E285C74DB5BB75F145CB2C593D90Bm5uEC" TargetMode="External"/><Relationship Id="rId17" Type="http://schemas.openxmlformats.org/officeDocument/2006/relationships/hyperlink" Target="consultantplus://offline/ref=0E3D02D04AE22DBB55464A18C599DB6D33F9D5A525AB5A195CF98F62652F8E284E748357B55E0A59B5D0C5884D0893E3D6753534822331CCmAu9C" TargetMode="External"/><Relationship Id="rId25" Type="http://schemas.openxmlformats.org/officeDocument/2006/relationships/hyperlink" Target="consultantplus://offline/ref=0E3D02D04AE22DBB55464A18C599DB6D33F9D5A525AB5A195CF98F62652F8E284E748357B55B0C59BBD0C5884D0893E3D6753534822331CCmAu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3D02D04AE22DBB55464A18C599DB6D33F9D5A525AB5A195CF98F62652F8E284E748357B55E0A5FB2D0C5884D0893E3D6753534822331CCmAu9C" TargetMode="External"/><Relationship Id="rId20" Type="http://schemas.openxmlformats.org/officeDocument/2006/relationships/hyperlink" Target="consultantplus://offline/ref=0E3D02D04AE22DBB55464A18C599DB6D33F9D5A525AB5A195CF98F62652F8E284E748357B55C0B5DB7D0C5884D0893E3D6753534822331CCmAu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D02D04AE22DBB55464A18C599DB6D33F9DCAA25A35A195CF98F62652F8E284E748352BD545E0CF78E9CDB09439FE0C8693437m9uFC" TargetMode="External"/><Relationship Id="rId11" Type="http://schemas.openxmlformats.org/officeDocument/2006/relationships/hyperlink" Target="consultantplus://offline/ref=0E3D02D04AE22DBB55464A18C599DB6D33F9DFA424A25A195CF98F62652F8E284E748357B55F0E5EBAD0C5884D0893E3D6753534822331CCmAu9C" TargetMode="External"/><Relationship Id="rId24" Type="http://schemas.openxmlformats.org/officeDocument/2006/relationships/hyperlink" Target="consultantplus://offline/ref=0E3D02D04AE22DBB55464A18C599DB6D33F9D5A525AB5A195CF98F62652F8E284E748357B55B0C5CB4D0C5884D0893E3D6753534822331CCmAu9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E3D02D04AE22DBB55464A18C599DB6D33F9D5A525AB5A195CF98F62652F8E284E748357B55F0F59B2D0C5884D0893E3D6753534822331CCmAu9C" TargetMode="External"/><Relationship Id="rId23" Type="http://schemas.openxmlformats.org/officeDocument/2006/relationships/hyperlink" Target="consultantplus://offline/ref=0E3D02D04AE22DBB55464A18C599DB6D33F9D5A525AB5A195CF98F62652F8E284E748357B55B0F5AB4D0C5884D0893E3D6753534822331CCmAu9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3D02D04AE22DBB55464A18C599DB6D33F9D5A525AB5A195CF98F62652F8E285C74DB5BB75F145CB2C593D90Bm5uEC" TargetMode="External"/><Relationship Id="rId19" Type="http://schemas.openxmlformats.org/officeDocument/2006/relationships/hyperlink" Target="consultantplus://offline/ref=0E3D02D04AE22DBB55464A18C599DB6D33F9D5A525AB5A195CF98F62652F8E284E748357B55C0A5CBAD0C5884D0893E3D6753534822331CCmAu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D02D04AE22DBB55464A18C599DB6D33F9DCAA25A35A195CF98F62652F8E284E748354B5545E0CF78E9CDB09439FE0C8693437m9uFC" TargetMode="External"/><Relationship Id="rId14" Type="http://schemas.openxmlformats.org/officeDocument/2006/relationships/hyperlink" Target="consultantplus://offline/ref=0E3D02D04AE22DBB55464A18C599DB6D33F9D5A525AB5A195CF98F62652F8E284E748357B55F0E5CB3D0C5884D0893E3D6753534822331CCmAu9C" TargetMode="External"/><Relationship Id="rId22" Type="http://schemas.openxmlformats.org/officeDocument/2006/relationships/hyperlink" Target="consultantplus://offline/ref=0E3D02D04AE22DBB55464A18C599DB6D33F9D5A525AB5A195CF98F62652F8E284E748357B55B0F58BBD0C5884D0893E3D6753534822331CCmAu9C" TargetMode="External"/><Relationship Id="rId27" Type="http://schemas.openxmlformats.org/officeDocument/2006/relationships/hyperlink" Target="consultantplus://offline/ref=0E3D02D04AE22DBB55464A18C599DB6D33F9D5A525AB5A195CF98F62652F8E284E748357B55A0E55BBD0C5884D0893E3D6753534822331CCmA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Анохова Анна Артемовна</dc:creator>
  <cp:lastModifiedBy>Анохова Анна Артемовна</cp:lastModifiedBy>
  <cp:revision>4</cp:revision>
  <dcterms:created xsi:type="dcterms:W3CDTF">2023-11-20T02:46:00Z</dcterms:created>
  <dcterms:modified xsi:type="dcterms:W3CDTF">2023-11-24T05:10:00Z</dcterms:modified>
</cp:coreProperties>
</file>