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116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1162D" w:rsidRDefault="00FD444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62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1162D" w:rsidRDefault="00FD444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03.12.2020 N 2010</w:t>
            </w:r>
            <w:r>
              <w:rPr>
                <w:sz w:val="48"/>
              </w:rPr>
              <w:br/>
              <w:t>(ред. от 26.04.2022)</w:t>
            </w:r>
            <w:r>
              <w:rPr>
                <w:sz w:val="48"/>
              </w:rPr>
              <w:br/>
              <w:t>"Об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товаров"</w:t>
            </w:r>
          </w:p>
        </w:tc>
      </w:tr>
      <w:tr w:rsidR="00E116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1162D" w:rsidRDefault="00FD444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E1162D" w:rsidRDefault="00E1162D">
      <w:pPr>
        <w:pStyle w:val="ConsPlusNormal0"/>
        <w:sectPr w:rsidR="00E1162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1162D" w:rsidRDefault="00E1162D">
      <w:pPr>
        <w:pStyle w:val="ConsPlusNormal0"/>
        <w:jc w:val="both"/>
        <w:outlineLvl w:val="0"/>
      </w:pPr>
    </w:p>
    <w:p w:rsidR="00E1162D" w:rsidRDefault="00FD444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1162D" w:rsidRDefault="00E1162D">
      <w:pPr>
        <w:pStyle w:val="ConsPlusTitle0"/>
        <w:jc w:val="center"/>
      </w:pPr>
    </w:p>
    <w:p w:rsidR="00E1162D" w:rsidRDefault="00FD444D">
      <w:pPr>
        <w:pStyle w:val="ConsPlusTitle0"/>
        <w:jc w:val="center"/>
      </w:pPr>
      <w:r>
        <w:t>ПОСТАНОВЛЕНИЕ</w:t>
      </w:r>
    </w:p>
    <w:p w:rsidR="00E1162D" w:rsidRDefault="00FD444D">
      <w:pPr>
        <w:pStyle w:val="ConsPlusTitle0"/>
        <w:jc w:val="center"/>
      </w:pPr>
      <w:r>
        <w:t>от 3 декабря 2020 г. N 2010</w:t>
      </w:r>
    </w:p>
    <w:p w:rsidR="00E1162D" w:rsidRDefault="00E1162D">
      <w:pPr>
        <w:pStyle w:val="ConsPlusTitle0"/>
        <w:jc w:val="center"/>
      </w:pPr>
    </w:p>
    <w:p w:rsidR="00E1162D" w:rsidRDefault="00FD444D">
      <w:pPr>
        <w:pStyle w:val="ConsPlusTitle0"/>
        <w:jc w:val="center"/>
      </w:pPr>
      <w:r>
        <w:t>ОБ УТВЕРЖДЕНИИ ПРАВИЛ</w:t>
      </w:r>
    </w:p>
    <w:p w:rsidR="00E1162D" w:rsidRDefault="00FD444D">
      <w:pPr>
        <w:pStyle w:val="ConsPlusTitle0"/>
        <w:jc w:val="center"/>
      </w:pPr>
      <w:r>
        <w:t>ПРЕДСТАВЛЕНИЯ ПРОИЗВОДИТЕЛЯМИ ТОВАРОВ, ИМПОРТЕРАМИ ТОВАРОВ</w:t>
      </w:r>
    </w:p>
    <w:p w:rsidR="00E1162D" w:rsidRDefault="00FD444D">
      <w:pPr>
        <w:pStyle w:val="ConsPlusTitle0"/>
        <w:jc w:val="center"/>
      </w:pPr>
      <w:r>
        <w:t>ОТЧЕТНОСТИ О ВЫПОЛНЕНИИ НОРМАТИВОВ УТИЛИЗАЦИИ ОТХОДОВ</w:t>
      </w:r>
    </w:p>
    <w:p w:rsidR="00E1162D" w:rsidRDefault="00FD444D">
      <w:pPr>
        <w:pStyle w:val="ConsPlusTitle0"/>
        <w:jc w:val="center"/>
      </w:pPr>
      <w:r>
        <w:t>ОТ ИСПОЛЬЗОВАНИЯ ТОВ</w:t>
      </w:r>
      <w:r>
        <w:t>АРОВ</w:t>
      </w:r>
    </w:p>
    <w:p w:rsidR="00E1162D" w:rsidRDefault="00E116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11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62D" w:rsidRDefault="00FD44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62D" w:rsidRDefault="00FD444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29.12.2021 </w:t>
            </w:r>
            <w:hyperlink r:id="rId9" w:tooltip="Постановление Правительства РФ от 29.12.2021 N 2529 &quot;О внесении изменения в пункт 2 постановления Правительства Российской Федерации от 3 декабря 2020 г. N 2010&quot; {КонсультантПлюс}">
              <w:r>
                <w:rPr>
                  <w:color w:val="0000FF"/>
                </w:rPr>
                <w:t>N 2529</w:t>
              </w:r>
            </w:hyperlink>
            <w:r>
              <w:rPr>
                <w:color w:val="392C69"/>
              </w:rPr>
              <w:t>,</w:t>
            </w:r>
          </w:p>
          <w:p w:rsidR="00E1162D" w:rsidRDefault="00FD444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26.04.2022 </w:t>
            </w:r>
            <w:hyperlink r:id="rId10" w:tooltip="Постановление Правительства РФ от 26.04.2022 N 758 (ред. от 26.05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758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</w:tr>
    </w:tbl>
    <w:p w:rsidR="00E1162D" w:rsidRDefault="00E1162D">
      <w:pPr>
        <w:pStyle w:val="ConsPlusNormal0"/>
        <w:jc w:val="both"/>
      </w:pPr>
    </w:p>
    <w:p w:rsidR="00E1162D" w:rsidRDefault="00FD444D">
      <w:pPr>
        <w:pStyle w:val="ConsPlusNormal0"/>
        <w:ind w:firstLine="540"/>
        <w:jc w:val="both"/>
      </w:pPr>
      <w:r>
        <w:t xml:space="preserve">В целях реализации </w:t>
      </w:r>
      <w:hyperlink r:id="rId1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 16 статьи 24.2</w:t>
        </w:r>
      </w:hyperlink>
      <w:r>
        <w:t xml:space="preserve"> Федерального закона "Об отходах производ</w:t>
      </w:r>
      <w:r>
        <w:t>ства и потребления" Правительство Российской Федерации постановляет: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2" w:tooltip="ПРАВИЛА">
        <w:r>
          <w:rPr>
            <w:color w:val="0000FF"/>
          </w:rPr>
          <w:t>Правила</w:t>
        </w:r>
      </w:hyperlink>
      <w:r>
        <w:t xml:space="preserve"> представления производителями товаров, импортерами товаров отчетности о выполнении нормативов утилизации отходов от</w:t>
      </w:r>
      <w:r>
        <w:t xml:space="preserve"> использования товаров.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2021 г. и действует до 1 сентября 2027 г.</w:t>
      </w:r>
    </w:p>
    <w:p w:rsidR="00E1162D" w:rsidRDefault="00FD444D">
      <w:pPr>
        <w:pStyle w:val="ConsPlusNormal0"/>
        <w:jc w:val="both"/>
      </w:pPr>
      <w:r>
        <w:t xml:space="preserve">(в ред. </w:t>
      </w:r>
      <w:hyperlink r:id="rId12" w:tooltip="Постановление Правительства РФ от 29.12.2021 N 2529 &quot;О внесении изменения в пункт 2 постановления Правительства Российской Федерации от 3 декабря 2020 г. N 201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29.12.2021 N 2529)</w:t>
      </w:r>
    </w:p>
    <w:p w:rsidR="00E1162D" w:rsidRDefault="00E1162D">
      <w:pPr>
        <w:pStyle w:val="ConsPlusNormal0"/>
        <w:jc w:val="both"/>
      </w:pPr>
    </w:p>
    <w:p w:rsidR="00E1162D" w:rsidRDefault="00FD444D">
      <w:pPr>
        <w:pStyle w:val="ConsPlusNormal0"/>
        <w:jc w:val="right"/>
      </w:pPr>
      <w:r>
        <w:t>Председатель Правительства</w:t>
      </w:r>
    </w:p>
    <w:p w:rsidR="00E1162D" w:rsidRDefault="00FD444D">
      <w:pPr>
        <w:pStyle w:val="ConsPlusNormal0"/>
        <w:jc w:val="right"/>
      </w:pPr>
      <w:r>
        <w:t>Российской Федерации</w:t>
      </w:r>
    </w:p>
    <w:p w:rsidR="00E1162D" w:rsidRDefault="00FD444D">
      <w:pPr>
        <w:pStyle w:val="ConsPlusNormal0"/>
        <w:jc w:val="right"/>
      </w:pPr>
      <w:r>
        <w:t>М.МИШУСТИН</w:t>
      </w: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FD444D">
      <w:pPr>
        <w:pStyle w:val="ConsPlusNormal0"/>
        <w:jc w:val="right"/>
        <w:outlineLvl w:val="0"/>
      </w:pPr>
      <w:r>
        <w:t>Утверждены</w:t>
      </w:r>
    </w:p>
    <w:p w:rsidR="00E1162D" w:rsidRDefault="00FD444D">
      <w:pPr>
        <w:pStyle w:val="ConsPlusNormal0"/>
        <w:jc w:val="right"/>
      </w:pPr>
      <w:r>
        <w:t>постановлением Правительства</w:t>
      </w:r>
    </w:p>
    <w:p w:rsidR="00E1162D" w:rsidRDefault="00FD444D">
      <w:pPr>
        <w:pStyle w:val="ConsPlusNormal0"/>
        <w:jc w:val="right"/>
      </w:pPr>
      <w:r>
        <w:t>Российской Федерации</w:t>
      </w:r>
    </w:p>
    <w:p w:rsidR="00E1162D" w:rsidRDefault="00FD444D">
      <w:pPr>
        <w:pStyle w:val="ConsPlusNormal0"/>
        <w:jc w:val="right"/>
      </w:pPr>
      <w:r>
        <w:t>от 3 декабря 2020 г. N 2010</w:t>
      </w:r>
    </w:p>
    <w:p w:rsidR="00E1162D" w:rsidRDefault="00E1162D">
      <w:pPr>
        <w:pStyle w:val="ConsPlusNormal0"/>
        <w:jc w:val="both"/>
      </w:pPr>
    </w:p>
    <w:p w:rsidR="00E1162D" w:rsidRDefault="00FD444D">
      <w:pPr>
        <w:pStyle w:val="ConsPlusTitle0"/>
        <w:jc w:val="center"/>
      </w:pPr>
      <w:bookmarkStart w:id="1" w:name="P32"/>
      <w:bookmarkEnd w:id="1"/>
      <w:r>
        <w:t>ПРАВИЛА</w:t>
      </w:r>
    </w:p>
    <w:p w:rsidR="00E1162D" w:rsidRDefault="00FD444D">
      <w:pPr>
        <w:pStyle w:val="ConsPlusTitle0"/>
        <w:jc w:val="center"/>
      </w:pPr>
      <w:r>
        <w:t>ПРЕДСТАВЛЕНИЯ ПРОИЗВОДИТЕЛЯМИ ТОВАРОВ, ИМПОРТЕРАМИ ТОВАРОВ</w:t>
      </w:r>
    </w:p>
    <w:p w:rsidR="00E1162D" w:rsidRDefault="00FD444D">
      <w:pPr>
        <w:pStyle w:val="ConsPlusTitle0"/>
        <w:jc w:val="center"/>
      </w:pPr>
      <w:r>
        <w:t>ОТЧЕТНОСТИ О ВЫПОЛНЕНИИ НОРМАТИВОВ УТИЛИЗАЦИИ ОТХОДОВ</w:t>
      </w:r>
    </w:p>
    <w:p w:rsidR="00E1162D" w:rsidRDefault="00FD444D">
      <w:pPr>
        <w:pStyle w:val="ConsPlusTitle0"/>
        <w:jc w:val="center"/>
      </w:pPr>
      <w:r>
        <w:t>ОТ ИСПОЛЬЗОВАНИЯ ТОВАРОВ</w:t>
      </w:r>
    </w:p>
    <w:p w:rsidR="00E1162D" w:rsidRDefault="00E116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11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62D" w:rsidRDefault="00FD44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62D" w:rsidRDefault="00FD444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РФ от 26.04.2022 N 758 (ред. от 26.05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26.04.2022 N 758)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</w:tr>
    </w:tbl>
    <w:p w:rsidR="00E1162D" w:rsidRDefault="00E1162D">
      <w:pPr>
        <w:pStyle w:val="ConsPlusNormal0"/>
        <w:jc w:val="both"/>
      </w:pPr>
    </w:p>
    <w:p w:rsidR="00E1162D" w:rsidRDefault="00FD444D">
      <w:pPr>
        <w:pStyle w:val="ConsPlusNormal0"/>
        <w:ind w:firstLine="540"/>
        <w:jc w:val="both"/>
      </w:pPr>
      <w:r>
        <w:lastRenderedPageBreak/>
        <w:t xml:space="preserve">1. Настоящие Правила устанавливают порядок, форму и сроки представления отчетности о выполнении нормативов утилизации отходов от использования товаров (далее </w:t>
      </w:r>
      <w:r>
        <w:t>соответственно - отчетность, нормативы утилизации, отходы) производителями товаров, импортерами товаров, а также осуществление учета и контроля выполнения установленных нормативов утилизации в отношении отходов от использования товаров, произведенных на те</w:t>
      </w:r>
      <w:r>
        <w:t>рритории Российской Федерации или ввезенных в Российскую Федерацию.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2. При составлении отчетности не учитываются: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а) товары, которые вывозятся из Российской Федерации;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б) упаковка товаров, которые вывозятся из Российской Федерации.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3. Отчетность в отношении многооборотной упаковки как готового товара представляется производителем товаров, импортером товаров, выпустившими в обращение на территории Российской Федерации такую упаковку.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4. Отчетность представляется: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а) производителями то</w:t>
      </w:r>
      <w:r>
        <w:t>варов в отношении: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товаров, произведенных на территории Российской Федерации;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упаковки товаров, произведенных на территории Российской Федерации;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б) импортерами товаров в отношении: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товаров, ввезенных из государств - членов Евразийского экономического союз</w:t>
      </w:r>
      <w:r>
        <w:t>а;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товаров, импортированных из третьих стран в Российскую Федерацию и прошедших соответствующие таможенные операции;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упаковки товаров, ввезенных из государств - членов Евразийского экономического союза;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упаковки товаров, импортированных из третьих стран в </w:t>
      </w:r>
      <w:r>
        <w:t>Российскую Федерацию и прошедших соответствующие таможенные операции;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в) ассоциацией, созданной производителями товаров, импортерами товаров в целях обеспечения выполнения нормативов утилизации (далее - ассоциация), российским экологическим оператором - в </w:t>
      </w:r>
      <w:r>
        <w:t xml:space="preserve">случае, установленном </w:t>
      </w:r>
      <w:hyperlink r:id="rId1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24.2</w:t>
        </w:r>
      </w:hyperlink>
      <w:r>
        <w:t xml:space="preserve"> Федерального закона "Об отходах производства и потребления", в отношении: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товаров, произведенных на территории Российской Федерации;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упаковки товаров, произведенных на терр</w:t>
      </w:r>
      <w:r>
        <w:t>итории Российской Федерации;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товаров, ввезенных из государств - членов Евразийского экономического союза;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товаров, импортированных из третьих стран в Российскую Федерацию и прошедших </w:t>
      </w:r>
      <w:r>
        <w:lastRenderedPageBreak/>
        <w:t>соответствующие таможенные операции;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упаковки товаров, ввезенных из госуд</w:t>
      </w:r>
      <w:r>
        <w:t>арств - членов Евразийского экономического союза;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упаковки товаров, импортированных из третьих стран в Российскую Федерацию и прошедших соответствующие таможенные операции.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2" w:name="P60"/>
      <w:bookmarkEnd w:id="2"/>
      <w:r>
        <w:t>5. Отчетность представляется в Федеральную службу по надзору в сфере природопользов</w:t>
      </w:r>
      <w:r>
        <w:t>ания по форме согласно приложению в форме электронного документа, подписанного простой электронной подписью, посредством информационно-телекоммуникационных сетей с использованием электронных сервисов системы учета отходов от использования товаров, предусмо</w:t>
      </w:r>
      <w:r>
        <w:t xml:space="preserve">тренной </w:t>
      </w:r>
      <w:hyperlink r:id="rId15" w:tooltip="Постановление Правительства РФ от 30.12.2015 N 1520 (ред. от 26.04.2022) &quot;О единой государственной информационной системе учета отходов от использования товаров&quot; (вместе с &quot;Правилами создания, эксплуатации и модернизации единой государственной информационной с">
        <w:r>
          <w:rPr>
            <w:color w:val="0000FF"/>
          </w:rPr>
          <w:t>Правилами</w:t>
        </w:r>
      </w:hyperlink>
      <w:r>
        <w:t xml:space="preserve"> создания, эксплуатации и модернизации единой государственной информационной системы учета отходо</w:t>
      </w:r>
      <w:r>
        <w:t>в от использования товаров, утвержденными постановлением Правительства Российской Федерации от 30 декабря 2015 г. N 1520 "О единой государственной информационной системе учета отходов от использования товаров" (далее - система учета отходов).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6. При подаче</w:t>
      </w:r>
      <w:r>
        <w:t xml:space="preserve"> отчетности в форме электронного документа, подписанного простой электронной подписью, путем использования электронных сервисов системы учета отходов дополнительное представление отчетности на бумажном носителе не требуется.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" w:name="P62"/>
      <w:bookmarkEnd w:id="3"/>
      <w:r>
        <w:t>7. В случае отсутствия возможно</w:t>
      </w:r>
      <w:r>
        <w:t xml:space="preserve">сти подачи отчетности в форме электронного документа, подписанного простой электронной подписью, отчетность представляется на бумажном носителе в одном экземпляре с обязательным представлением копии на электронном носителе, сформированной с использованием </w:t>
      </w:r>
      <w:r>
        <w:t xml:space="preserve">электронных сервисов системы учета отходов, которые предоставляются Федеральной службой по надзору в сфере природопользования в соответствии с </w:t>
      </w:r>
      <w:hyperlink w:anchor="P68" w:tooltip="9. Федеральная служба по надзору в сфере природопользования на своем официальном сайте в информационно-телекоммуникационной сети &quot;Интернет&quot; на безвозмездной основе обеспечивает доступ к электронным сервисам системы учета отходов производителей товаров, импорте">
        <w:r>
          <w:rPr>
            <w:color w:val="0000FF"/>
          </w:rPr>
          <w:t>пунктом 9</w:t>
        </w:r>
      </w:hyperlink>
      <w:r>
        <w:t xml:space="preserve"> настоящих Правил, посредством почтового отправления с описью влож</w:t>
      </w:r>
      <w:r>
        <w:t>ения и уведомлением о вручении или лично, а также через представителя или курьером: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производителем товаров - в территориальный орган Федеральной службы по надзору в сфере природопользования по месту государственной регистрации производителя;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импортером тов</w:t>
      </w:r>
      <w:r>
        <w:t>аров, ассоциацией, российским экологическим оператором - в Федеральную службу по надзору в сфере природопользования.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В случае если юридическое лицо или индивидуальный предприниматель одновременно являются производителями товаров и импортерами товаров, отче</w:t>
      </w:r>
      <w:r>
        <w:t>тность представляется в Федеральную службу по надзору в сфере природопользования.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8. Датой приема отчетности в форме электронного документа считается дата ее отправления через электронные сервисы системы учета отходов.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Датой приема отчетности на бумажном н</w:t>
      </w:r>
      <w:r>
        <w:t>осителе в одном экземпляре с обязательным представлением копии на электронном носителе, сформированной с использованием электронных сервисов системы учета отходов, считается дата уведомления о вручении при направлении посредством почтового отправления либо</w:t>
      </w:r>
      <w:r>
        <w:t xml:space="preserve"> дата проставления отметки о получении Федеральной службой по надзору в сфере природопользования (ее территориальным органом) при представлении лично, а также через представителя или курьером.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" w:name="P68"/>
      <w:bookmarkEnd w:id="4"/>
      <w:r>
        <w:lastRenderedPageBreak/>
        <w:t>9. Федеральная служба по надзору в сфере природопользования на своем официальном сайте в информационно-телекоммуникационной сети "Интернет" на безвозмездной основе обеспечивает доступ к электронным сервисам системы учета отходов производителей товаров, имп</w:t>
      </w:r>
      <w:r>
        <w:t>ортеров товаров, ассоциаций, российского экологического оператора для составления и представления отчетности ежедневно круглосуточно.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10. Отчетным периодом для представления отчетности признается календарный год.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11. В случае начала осуществления хозяйственной и иной деятельности производителем товаров или импортером товаров в течение отчетного календарного года отчетный период исчисляется с даты государственной регистрации физического лица, зарегистрированного в к</w:t>
      </w:r>
      <w:r>
        <w:t>ачестве индивидуального предпринимателя, или государственной регистрации юридического лица, которые являются производителями товаров или импортерами товаров.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" w:name="P71"/>
      <w:bookmarkEnd w:id="5"/>
      <w:r>
        <w:t>12. Отчетность представляется до 1 апреля года, следующего за отчетным.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13. Производители товаров,</w:t>
      </w:r>
      <w:r>
        <w:t xml:space="preserve"> импортеры товаров, ассоциации, российский экологический оператор обеспечивают полноту и достоверность сведений, указанных в отчетности.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6" w:name="P73"/>
      <w:bookmarkEnd w:id="6"/>
      <w:r>
        <w:t>14. Производитель товаров, импортер товаров, ассоциация, российский экологический оператор представляют по запросу Феде</w:t>
      </w:r>
      <w:r>
        <w:t>ральной службы по надзору в сфере природопользования (ее территориальных органов) в целях осуществления контроля за выполнением установленных нормативов утилизации: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а) копии договоров, предусмотренных </w:t>
      </w:r>
      <w:hyperlink r:id="rId1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1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5 статьи 24.2</w:t>
        </w:r>
      </w:hyperlink>
      <w:r>
        <w:t xml:space="preserve"> Федерального закона "Об отходах производства и потребления";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б) копии актов утилизации отходов по </w:t>
      </w:r>
      <w:hyperlink r:id="rId18" w:tooltip="Приказ Минприроды России от 15.11.2023 N 762 &quot;Об утверждении формы акта утилизации отходов от использования товаров и (или) упаковки&quot; (Зарегистрировано в Минюсте России 01.12.2023 N 76223) {КонсультантПлюс}">
        <w:r>
          <w:rPr>
            <w:color w:val="0000FF"/>
          </w:rPr>
          <w:t>формам</w:t>
        </w:r>
      </w:hyperlink>
      <w:r>
        <w:t>, установленн</w:t>
      </w:r>
      <w:r>
        <w:t>ым Федеральной службой по надзору в сфере природопользования по согласованию с Министерством природных ресурсов и экологии Российской Федерации.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15. Копии документов, указанных в </w:t>
      </w:r>
      <w:hyperlink w:anchor="P73" w:tooltip="14. Производитель товаров, импортер товаров, ассоциация, российский экологический оператор представляют по запросу Федеральной службы по надзору в сфере природопользования (ее территориальных органов) в целях осуществления контроля за выполнением установленных">
        <w:r>
          <w:rPr>
            <w:color w:val="0000FF"/>
          </w:rPr>
          <w:t>пункте 14</w:t>
        </w:r>
      </w:hyperlink>
      <w:r>
        <w:t xml:space="preserve"> настоящих Правил, направляются </w:t>
      </w:r>
      <w:r>
        <w:t>производителем товаров, импортером товаров, ассоциацией, российским экологическим оператором в Федеральную службу по надзору в сфере природопользования (ее территориальные органы) в течение 10 рабочих дней со дня получения соответствующего запроса.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7" w:name="P77"/>
      <w:bookmarkEnd w:id="7"/>
      <w:r>
        <w:t>16. Коп</w:t>
      </w:r>
      <w:r>
        <w:t xml:space="preserve">ии документов, указанных в </w:t>
      </w:r>
      <w:hyperlink w:anchor="P73" w:tooltip="14. Производитель товаров, импортер товаров, ассоциация, российский экологический оператор представляют по запросу Федеральной службы по надзору в сфере природопользования (ее территориальных органов) в целях осуществления контроля за выполнением установленных">
        <w:r>
          <w:rPr>
            <w:color w:val="0000FF"/>
          </w:rPr>
          <w:t>пункте 14</w:t>
        </w:r>
      </w:hyperlink>
      <w:r>
        <w:t xml:space="preserve"> настоящих Правил, должны быть заверены производителем товаров, импортером товаров, ассоциацией, российским экологическим оператором: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а) в случае, указанном в </w:t>
      </w:r>
      <w:hyperlink w:anchor="P60" w:tooltip="5. Отчетность представляется в Федеральную службу по надзору в сфере природопользования по форме согласно приложению в форме электронного документа, подписанного простой электронной подписью, посредством информационно-телекоммуникационных сетей с использование">
        <w:r>
          <w:rPr>
            <w:color w:val="0000FF"/>
          </w:rPr>
          <w:t>пункте 5</w:t>
        </w:r>
      </w:hyperlink>
      <w:r>
        <w:t xml:space="preserve"> настоящих Правил, - простой электронной подписью;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б) в случае, указанном в </w:t>
      </w:r>
      <w:hyperlink w:anchor="P62" w:tooltip="7. В случае отсутствия возможности подачи отчетности в форме электронного документа, подписанного простой электронной подписью, отчетность представляется на бумажном носителе в одном экземпляре с обязательным представлением копии на электронном носителе, сформ">
        <w:r>
          <w:rPr>
            <w:color w:val="0000FF"/>
          </w:rPr>
          <w:t>пункте 7</w:t>
        </w:r>
      </w:hyperlink>
      <w:r>
        <w:t xml:space="preserve"> настоящих Правил, - подписью руководителя юридического лица или лица, уполномоченного на осуществление действий от и</w:t>
      </w:r>
      <w:r>
        <w:t>мени юридического лица, либо подписью физического лица, зарегистрированного в качестве индивидуального предпринимателя, и печатью (при ее наличии).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17. Контроль за выполнением установленных нормативов утилизации осуществляется </w:t>
      </w:r>
      <w:r>
        <w:lastRenderedPageBreak/>
        <w:t>Федеральной службой по надзор</w:t>
      </w:r>
      <w:r>
        <w:t xml:space="preserve">у в сфере природопользования (ее территориальными органами) с учетом </w:t>
      </w:r>
      <w:hyperlink w:anchor="P62" w:tooltip="7. В случае отсутствия возможности подачи отчетности в форме электронного документа, подписанного простой электронной подписью, отчетность представляется на бумажном носителе в одном экземпляре с обязательным представлением копии на электронном носителе, сформ">
        <w:r>
          <w:rPr>
            <w:color w:val="0000FF"/>
          </w:rPr>
          <w:t>пункта 7</w:t>
        </w:r>
      </w:hyperlink>
      <w:r>
        <w:t xml:space="preserve"> настоящих Правил в течение 3 месяцев со дня приема отчетности.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Учет выполнения установленных нормативов утилизации осуществляется Федеральной </w:t>
      </w:r>
      <w:r>
        <w:t>службой по надзору в сфере природопользования (ее территориальными органами) с использованием электронных сервисов системы учета отходов посредством включения в указанную систему информации, содержащейся в отчетности.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8" w:name="P82"/>
      <w:bookmarkEnd w:id="8"/>
      <w:r>
        <w:t>18. Федеральная служба по надзору в сф</w:t>
      </w:r>
      <w:r>
        <w:t xml:space="preserve">ере природопользования (ее территориальные органы) осуществляет контроль за выполнением установленных нормативов утилизации посредством проверки полноты и правильности заполнения отчетности, достоверности сведений, указанных в ней, и соблюдением сроков ее </w:t>
      </w:r>
      <w:r>
        <w:t>представления (далее - проверка отчетности) с учетом информации, имеющейся в распоряжении Федеральной службы по надзору в сфере природопользования (ее территориальных органов) и (или) полученной им (ими) в установленном порядке при декларировании количеств</w:t>
      </w:r>
      <w:r>
        <w:t>а выпущенных в обращение на территории Российской Федерации товаров, упаковки товаров, реализованных для внутреннего потребления на территории Российской Федерации за год, предшествующий отчетному периоду (далее - декларирование товаров и упаковки товаров)</w:t>
      </w:r>
      <w:r>
        <w:t>, при осуществлении контроля за правильностью исчисления, полнотой и своевременностью внесения экологического сбора и при осуществлении федерального государственного экологического надзора.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19. При проверке отчетности устанавливается соответствие сведений,</w:t>
      </w:r>
      <w:r>
        <w:t xml:space="preserve"> указанных производителем товаров, импортером товаров, ассоциацией, российским экологическим оператором в составе отчетности, </w:t>
      </w:r>
      <w:hyperlink w:anchor="P117" w:tooltip="                                ОТЧЕТНОСТЬ">
        <w:r>
          <w:rPr>
            <w:color w:val="0000FF"/>
          </w:rPr>
          <w:t>положениям</w:t>
        </w:r>
      </w:hyperlink>
      <w:r>
        <w:t xml:space="preserve"> настоящих Правил.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В целях подтверждения пред</w:t>
      </w:r>
      <w:r>
        <w:t>ставленных производителем товаров, импортером товаров, ассоциацией, российским экологическим оператором в составе отчетности сведений Федеральная служба по надзору в сфере природопользования (ее территориальный орган) вправе запросить необходимую для контр</w:t>
      </w:r>
      <w:r>
        <w:t xml:space="preserve">оля информацию у федеральных органов исполнительной власти, в распоряжении которых находятся эти сведения, а также у юридических лиц и индивидуальных предпринимателей, с которыми производителем товаров или импортером товаров заключен договор на утилизацию </w:t>
      </w:r>
      <w:r>
        <w:t>отходов от использования товаров, в том числе информацию о наличии соответствующих мощностей оборудования для утилизации отходов от использования товаров.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Представление в Федеральную службу по надзору в сфере природопользования (ее территориальные органы) </w:t>
      </w:r>
      <w:r>
        <w:t>указанной информации организациями, осуществляющими утилизацию отходов от использования товаров, осуществляется в 30-дневный срок.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20. В случае если при проведении проверки отчетности в отчетности и представляемых в соответствии с </w:t>
      </w:r>
      <w:hyperlink w:anchor="P77" w:tooltip="16. Копии документов, указанных в пункте 14 настоящих Правил, должны быть заверены производителем товаров, импортером товаров, ассоциацией, российским экологическим оператором:">
        <w:r>
          <w:rPr>
            <w:color w:val="0000FF"/>
          </w:rPr>
          <w:t>пунктом 16</w:t>
        </w:r>
      </w:hyperlink>
      <w:r>
        <w:t xml:space="preserve"> настоящих Правил документах выявлены ошибки и (или) противореч</w:t>
      </w:r>
      <w:r>
        <w:t xml:space="preserve">ия либо выявлено несоответствие сведений, представленных производителем товаров, импортером товаров, ассоциацией, российским экологическим оператором, информации, указанной в </w:t>
      </w:r>
      <w:hyperlink w:anchor="P82" w:tooltip="18. Федеральная служба по надзору в сфере природопользования (ее территориальные органы) осуществляет контроль за выполнением установленных нормативов утилизации посредством проверки полноты и правильности заполнения отчетности, достоверности сведений, указанн">
        <w:r>
          <w:rPr>
            <w:color w:val="0000FF"/>
          </w:rPr>
          <w:t>пункте 18</w:t>
        </w:r>
      </w:hyperlink>
      <w:r>
        <w:t xml:space="preserve"> настоящих Правил, Федеральная служб</w:t>
      </w:r>
      <w:r>
        <w:t>а по надзору в сфере природопользования (ее территориальные органы) составляет акт о проведении контрольных мероприятий за выполнением установленных нормативов утилизации, форма которого утверждается Федеральной службой по надзору в сфере природопользовани</w:t>
      </w:r>
      <w:r>
        <w:t>я (далее - акт).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9" w:name="P87"/>
      <w:bookmarkEnd w:id="9"/>
      <w:r>
        <w:t>21. В акте указываются: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10" w:name="P88"/>
      <w:bookmarkEnd w:id="10"/>
      <w:r>
        <w:lastRenderedPageBreak/>
        <w:t xml:space="preserve">а) факты выявления ошибок, допущенных при заполнении отчетности, и противоречий (несоответствия) сведений, содержащихся в отчетности, информации, указанной в </w:t>
      </w:r>
      <w:hyperlink w:anchor="P82" w:tooltip="18. Федеральная служба по надзору в сфере природопользования (ее территориальные органы) осуществляет контроль за выполнением установленных нормативов утилизации посредством проверки полноты и правильности заполнения отчетности, достоверности сведений, указанн">
        <w:r>
          <w:rPr>
            <w:color w:val="0000FF"/>
          </w:rPr>
          <w:t>пункте 18</w:t>
        </w:r>
      </w:hyperlink>
      <w:r>
        <w:t xml:space="preserve"> настоящих Правил;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б) факты неисполнения либо исполнения не в полном объеме установленных нормативов утилизации;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в) требование о представлении Росприроднадзору (его территориальным органам) в течение 10 рабочих дн</w:t>
      </w:r>
      <w:r>
        <w:t xml:space="preserve">ей со дня получения такого требования обоснованных пояснений, касающихся отчетности, и (или) о внесении в нее изменений для устранения фактов, указанных в </w:t>
      </w:r>
      <w:hyperlink w:anchor="P88" w:tooltip="а) факты выявления ошибок, допущенных при заполнении отчетности, и противоречий (несоответствия) сведений, содержащихся в отчетности, информации, указанной в пункте 18 настоящих Правил;">
        <w:r>
          <w:rPr>
            <w:color w:val="0000FF"/>
          </w:rPr>
          <w:t>подпункте "а"</w:t>
        </w:r>
      </w:hyperlink>
      <w:r>
        <w:t xml:space="preserve"> настоящего пункта, которые направляются в Федеральную службу по надзору в сфере природопользования (ее территориальные органы)</w:t>
      </w:r>
      <w:r>
        <w:t>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22. Акт в течение 3 рабочих дней после его подписания направляется Росприроднадзором (его территориальными органами) производителям товаров, импортерам товаров, ассоциации, российскому экологическому оператору.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23. В случае если отчетность представлялась</w:t>
      </w:r>
      <w:r>
        <w:t xml:space="preserve"> производителем товаров, импортером товаров, ассоциацией, российским экологическим оператором, в отношении которых проводится проверка отчетности, посредством телекоммуникационных сетей в форме электронного документа, подписанного электронной подписью, акт</w:t>
      </w:r>
      <w:r>
        <w:t xml:space="preserve"> направляется Федеральной службой по надзору в сфере природопользования (ее территориальными органами) производителю товаров, импортеру товаров, ассоциации, российскому экологическому оператору посредством телекоммуникационных сетей в форме электронного до</w:t>
      </w:r>
      <w:r>
        <w:t>кумента, подписанного простой электронной подписью.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24. В случае если отчетность представлялась производителем товаров, импортером товаров, ассоциацией, российским экологическим оператором, в отношении которых проводится проверка отчетности, на бумажном но</w:t>
      </w:r>
      <w:r>
        <w:t>сителе, акт направляется Федеральной службой по надзору в сфере природопользования (ее территориальными органами) производителю товаров, импортеру товаров, ассоциации, российскому экологическому оператору почтовым отправлением с уведомлением о вручении.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11" w:name="P94"/>
      <w:bookmarkEnd w:id="11"/>
      <w:r>
        <w:t>25</w:t>
      </w:r>
      <w:r>
        <w:t xml:space="preserve">. В случае несогласия с требованием, указанным в </w:t>
      </w:r>
      <w:hyperlink w:anchor="P87" w:tooltip="21. В акте указываются:">
        <w:r>
          <w:rPr>
            <w:color w:val="0000FF"/>
          </w:rPr>
          <w:t>пункте 21</w:t>
        </w:r>
      </w:hyperlink>
      <w:r>
        <w:t xml:space="preserve"> настоящих Правил, производитель товаров, импортер товаров, ассоциация, российский экологический оператор направляют в Федеральную службу по на</w:t>
      </w:r>
      <w:r>
        <w:t>дзору в сфере природопользования (ее территориальные органы) копии документов, подтверждающих обоснованность сведений, представленных в отчетности, а также пояснения относительно причин несоответствия сведений, представленных в отчетности, информации, указ</w:t>
      </w:r>
      <w:r>
        <w:t xml:space="preserve">анной в </w:t>
      </w:r>
      <w:hyperlink w:anchor="P82" w:tooltip="18. Федеральная служба по надзору в сфере природопользования (ее территориальные органы) осуществляет контроль за выполнением установленных нормативов утилизации посредством проверки полноты и правильности заполнения отчетности, достоверности сведений, указанн">
        <w:r>
          <w:rPr>
            <w:color w:val="0000FF"/>
          </w:rPr>
          <w:t>пункте 18</w:t>
        </w:r>
      </w:hyperlink>
      <w:r>
        <w:t xml:space="preserve"> настоящих Правил.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26. При проведении проверки отчетности Федеральной службой по надзору в сфере природопользования (ее территориальными органами) в обязательном порядке рассматриваются документы и поясн</w:t>
      </w:r>
      <w:r>
        <w:t xml:space="preserve">ения, представленные производителем товаров, импортером товаров, ассоциацией, российским экологическим оператором в соответствии с </w:t>
      </w:r>
      <w:hyperlink w:anchor="P77" w:tooltip="16. Копии документов, указанных в пункте 14 настоящих Правил, должны быть заверены производителем товаров, импортером товаров, ассоциацией, российским экологическим оператором:">
        <w:r>
          <w:rPr>
            <w:color w:val="0000FF"/>
          </w:rPr>
          <w:t>пунктами 16</w:t>
        </w:r>
      </w:hyperlink>
      <w:r>
        <w:t xml:space="preserve"> и </w:t>
      </w:r>
      <w:hyperlink w:anchor="P94" w:tooltip="25. В случае несогласия с требованием, указанным в пункте 21 настоящих Правил, производитель товаров, импортер товаров, ассоциация, российский экологический оператор направляют в Федеральную службу по надзору в сфере природопользования (ее территориальные орга">
        <w:r>
          <w:rPr>
            <w:color w:val="0000FF"/>
          </w:rPr>
          <w:t>25</w:t>
        </w:r>
      </w:hyperlink>
      <w:r>
        <w:t xml:space="preserve"> настоящих Правил.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27. Контроль за выполнением установленных нормативов утилизации осуществляется в соответствии с Федера</w:t>
      </w:r>
      <w:r>
        <w:t xml:space="preserve">льным </w:t>
      </w:r>
      <w:hyperlink r:id="rId1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 xml:space="preserve">28. В случае непредставления отчетности в сроки, установленные </w:t>
      </w:r>
      <w:hyperlink w:anchor="P71" w:tooltip="12. Отчетность представляется до 1 апреля года, следующего за отчетным.">
        <w:r>
          <w:rPr>
            <w:color w:val="0000FF"/>
          </w:rPr>
          <w:t>пунктом 12</w:t>
        </w:r>
      </w:hyperlink>
      <w:r>
        <w:t xml:space="preserve"> настоящих Правил, Федеральная служба по надзору в сфере природопользования (ее территориальный орган) направляет производителю товаров, импортеру товаров требовани</w:t>
      </w:r>
      <w:r>
        <w:t>е о необходимости представления отчетности.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29. За непредставление (несвоевременное представление) отчетности, а также за представление недостоверных сведений в отчетности производители товаров, импортеры товаров, ассоциации, российский экологический оператор несут ответственность в соответствии с з</w:t>
      </w:r>
      <w:r>
        <w:t>аконодательством Российской Федерации.</w:t>
      </w: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FD444D">
      <w:pPr>
        <w:pStyle w:val="ConsPlusNormal0"/>
        <w:jc w:val="right"/>
        <w:outlineLvl w:val="1"/>
      </w:pPr>
      <w:r>
        <w:t>Приложение</w:t>
      </w:r>
    </w:p>
    <w:p w:rsidR="00E1162D" w:rsidRDefault="00FD444D">
      <w:pPr>
        <w:pStyle w:val="ConsPlusNormal0"/>
        <w:jc w:val="right"/>
      </w:pPr>
      <w:r>
        <w:t>к Правилам представления</w:t>
      </w:r>
    </w:p>
    <w:p w:rsidR="00E1162D" w:rsidRDefault="00FD444D">
      <w:pPr>
        <w:pStyle w:val="ConsPlusNormal0"/>
        <w:jc w:val="right"/>
      </w:pPr>
      <w:r>
        <w:t>производителями товаров, импортерами</w:t>
      </w:r>
    </w:p>
    <w:p w:rsidR="00E1162D" w:rsidRDefault="00FD444D">
      <w:pPr>
        <w:pStyle w:val="ConsPlusNormal0"/>
        <w:jc w:val="right"/>
      </w:pPr>
      <w:r>
        <w:t>товаров отчетности о выполнении</w:t>
      </w:r>
    </w:p>
    <w:p w:rsidR="00E1162D" w:rsidRDefault="00FD444D">
      <w:pPr>
        <w:pStyle w:val="ConsPlusNormal0"/>
        <w:jc w:val="right"/>
      </w:pPr>
      <w:r>
        <w:t>нормативов утилизации отходов</w:t>
      </w:r>
    </w:p>
    <w:p w:rsidR="00E1162D" w:rsidRDefault="00FD444D">
      <w:pPr>
        <w:pStyle w:val="ConsPlusNormal0"/>
        <w:jc w:val="right"/>
      </w:pPr>
      <w:r>
        <w:t>от использования товаров</w:t>
      </w:r>
    </w:p>
    <w:p w:rsidR="00E1162D" w:rsidRDefault="00E116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11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62D" w:rsidRDefault="00FD44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62D" w:rsidRDefault="00FD444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Правительства РФ от 26.04.2022 N 758 (ред. от 26.05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26.04.2022 N 758)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62D" w:rsidRDefault="00E1162D">
            <w:pPr>
              <w:pStyle w:val="ConsPlusNormal0"/>
            </w:pPr>
          </w:p>
        </w:tc>
      </w:tr>
    </w:tbl>
    <w:p w:rsidR="00E1162D" w:rsidRDefault="00E1162D">
      <w:pPr>
        <w:pStyle w:val="ConsPlusNormal0"/>
        <w:jc w:val="both"/>
      </w:pPr>
    </w:p>
    <w:p w:rsidR="00E1162D" w:rsidRDefault="00FD444D">
      <w:pPr>
        <w:pStyle w:val="ConsPlusNormal0"/>
        <w:jc w:val="right"/>
      </w:pPr>
      <w:r>
        <w:t>(форма)</w:t>
      </w:r>
    </w:p>
    <w:p w:rsidR="00E1162D" w:rsidRDefault="00E1162D">
      <w:pPr>
        <w:pStyle w:val="ConsPlusNormal0"/>
        <w:jc w:val="both"/>
      </w:pPr>
    </w:p>
    <w:p w:rsidR="00E1162D" w:rsidRDefault="00FD444D">
      <w:pPr>
        <w:pStyle w:val="ConsPlusNonformat0"/>
        <w:jc w:val="both"/>
      </w:pPr>
      <w:r>
        <w:t>"__" __________ 20__ г.</w:t>
      </w:r>
    </w:p>
    <w:p w:rsidR="00E1162D" w:rsidRDefault="00E1162D">
      <w:pPr>
        <w:pStyle w:val="ConsPlusNonformat0"/>
        <w:jc w:val="both"/>
      </w:pPr>
    </w:p>
    <w:p w:rsidR="00E1162D" w:rsidRDefault="00FD444D">
      <w:pPr>
        <w:pStyle w:val="ConsPlusNonformat0"/>
        <w:jc w:val="both"/>
      </w:pPr>
      <w:bookmarkStart w:id="12" w:name="P117"/>
      <w:bookmarkEnd w:id="12"/>
      <w:r>
        <w:t xml:space="preserve">                                ОТЧЕТНОСТЬ</w:t>
      </w:r>
    </w:p>
    <w:p w:rsidR="00E1162D" w:rsidRDefault="00FD444D">
      <w:pPr>
        <w:pStyle w:val="ConsPlusNonformat0"/>
        <w:jc w:val="both"/>
      </w:pPr>
      <w:r>
        <w:t xml:space="preserve">        о выполнении нормативов утилизации отходов от использования</w:t>
      </w:r>
    </w:p>
    <w:p w:rsidR="00E1162D" w:rsidRDefault="00FD444D">
      <w:pPr>
        <w:pStyle w:val="ConsPlusNonformat0"/>
        <w:jc w:val="both"/>
      </w:pPr>
      <w:r>
        <w:t xml:space="preserve">                            товаров за ____ год</w:t>
      </w:r>
    </w:p>
    <w:p w:rsidR="00E1162D" w:rsidRDefault="00E1162D">
      <w:pPr>
        <w:pStyle w:val="ConsPlusNonformat0"/>
        <w:jc w:val="both"/>
      </w:pPr>
    </w:p>
    <w:p w:rsidR="00E1162D" w:rsidRDefault="00FD444D">
      <w:pPr>
        <w:pStyle w:val="ConsPlusNonformat0"/>
        <w:jc w:val="both"/>
      </w:pPr>
      <w:r>
        <w:t xml:space="preserve">    Отчетность представляется в ___________________________________________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                               (Росприроднадзор, его территориальный</w:t>
      </w:r>
    </w:p>
    <w:p w:rsidR="00E1162D" w:rsidRDefault="00FD444D">
      <w:pPr>
        <w:pStyle w:val="ConsPlusNonformat0"/>
        <w:jc w:val="both"/>
      </w:pPr>
      <w:r>
        <w:t xml:space="preserve">                                          орган - указать нужное)</w:t>
      </w:r>
    </w:p>
    <w:p w:rsidR="00E1162D" w:rsidRDefault="00E1162D">
      <w:pPr>
        <w:pStyle w:val="ConsPlusNonformat0"/>
        <w:jc w:val="both"/>
      </w:pPr>
    </w:p>
    <w:p w:rsidR="00E1162D" w:rsidRDefault="00FD444D">
      <w:pPr>
        <w:pStyle w:val="ConsPlusNonformat0"/>
        <w:jc w:val="both"/>
      </w:pPr>
      <w:r>
        <w:t xml:space="preserve">    Отчетность представлена </w:t>
      </w:r>
      <w:hyperlink w:anchor="P468" w:tooltip="&lt;1&gt; Заполняется при представлении отчетности российским экологическим оператором, ассоциацией в отношении каждого производителя товаров или импортера товаров, с которым был заключен договор в соответствии с пунктом 5 статьи 24.2 Федерального закона &quot;Об отходах">
        <w:r>
          <w:rPr>
            <w:color w:val="0000FF"/>
          </w:rPr>
          <w:t>&lt;1&gt;</w:t>
        </w:r>
      </w:hyperlink>
      <w:r>
        <w:t xml:space="preserve"> ___________________________________________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                               (российским экологическим оператором,</w:t>
      </w:r>
    </w:p>
    <w:p w:rsidR="00E1162D" w:rsidRDefault="00FD444D">
      <w:pPr>
        <w:pStyle w:val="ConsPlusNonformat0"/>
        <w:jc w:val="both"/>
      </w:pPr>
      <w:r>
        <w:t xml:space="preserve">  </w:t>
      </w:r>
      <w:r>
        <w:t xml:space="preserve">                                     ассоциацией - указать нужное)</w:t>
      </w:r>
    </w:p>
    <w:p w:rsidR="00E1162D" w:rsidRDefault="00FD444D">
      <w:pPr>
        <w:pStyle w:val="ConsPlusNonformat0"/>
        <w:jc w:val="both"/>
      </w:pPr>
      <w:r>
        <w:t>___________________________________________________________________________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         (наименование, ИНН, ОГРН, адрес места нахождения</w:t>
      </w:r>
    </w:p>
    <w:p w:rsidR="00E1162D" w:rsidRDefault="00FD444D">
      <w:pPr>
        <w:pStyle w:val="ConsPlusNonformat0"/>
        <w:jc w:val="both"/>
      </w:pPr>
      <w:r>
        <w:t xml:space="preserve">                            юридического лица)</w:t>
      </w:r>
    </w:p>
    <w:p w:rsidR="00E1162D" w:rsidRDefault="00FD444D">
      <w:pPr>
        <w:pStyle w:val="ConsPlusNonformat0"/>
        <w:jc w:val="both"/>
      </w:pPr>
      <w:r>
        <w:t>____</w:t>
      </w:r>
      <w:r>
        <w:t>_______________________________________________________________________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    (сведения о договорах и актах, указанных в </w:t>
      </w:r>
      <w:hyperlink r:id="rId2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пункте 9 статьи</w:t>
        </w:r>
      </w:hyperlink>
    </w:p>
    <w:p w:rsidR="00E1162D" w:rsidRDefault="00FD444D">
      <w:pPr>
        <w:pStyle w:val="ConsPlusNonformat0"/>
        <w:jc w:val="both"/>
      </w:pPr>
      <w:r>
        <w:t xml:space="preserve">     24.2 Федерального закона "Об отходах производства и потребления")</w:t>
      </w:r>
    </w:p>
    <w:p w:rsidR="00E1162D" w:rsidRDefault="00FD444D">
      <w:pPr>
        <w:pStyle w:val="ConsPlusNonformat0"/>
        <w:jc w:val="both"/>
      </w:pPr>
      <w:r>
        <w:t>Контак</w:t>
      </w:r>
      <w:r>
        <w:t>тная информация _____________________________________________________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                  (номера телефонов, телефакса, адрес электронной почты</w:t>
      </w:r>
    </w:p>
    <w:p w:rsidR="00E1162D" w:rsidRDefault="00FD444D">
      <w:pPr>
        <w:pStyle w:val="ConsPlusNonformat0"/>
        <w:jc w:val="both"/>
      </w:pPr>
      <w:r>
        <w:t xml:space="preserve">                          (при наличии), должность и ф.и.о. исполнителя)</w:t>
      </w:r>
    </w:p>
    <w:p w:rsidR="00E1162D" w:rsidRDefault="00E1162D">
      <w:pPr>
        <w:pStyle w:val="ConsPlusNonformat0"/>
        <w:jc w:val="both"/>
      </w:pPr>
    </w:p>
    <w:p w:rsidR="00E1162D" w:rsidRDefault="00FD444D">
      <w:pPr>
        <w:pStyle w:val="ConsPlusNonformat0"/>
        <w:jc w:val="both"/>
      </w:pPr>
      <w:r>
        <w:t xml:space="preserve">                         Раздел 1. О</w:t>
      </w:r>
      <w:r>
        <w:t>бщие сведения</w:t>
      </w:r>
    </w:p>
    <w:p w:rsidR="00E1162D" w:rsidRDefault="00E1162D">
      <w:pPr>
        <w:pStyle w:val="ConsPlusNonformat0"/>
        <w:jc w:val="both"/>
      </w:pPr>
    </w:p>
    <w:p w:rsidR="00E1162D" w:rsidRDefault="00FD444D">
      <w:pPr>
        <w:pStyle w:val="ConsPlusNonformat0"/>
        <w:jc w:val="both"/>
      </w:pPr>
      <w:r>
        <w:t xml:space="preserve">    1. Информация о _____________________________________________ товаров -</w:t>
      </w:r>
    </w:p>
    <w:p w:rsidR="00E1162D" w:rsidRDefault="00FD444D">
      <w:pPr>
        <w:pStyle w:val="ConsPlusNonformat0"/>
        <w:jc w:val="both"/>
      </w:pPr>
      <w:r>
        <w:t xml:space="preserve">                     (производителе, импортере - указать нужное)</w:t>
      </w:r>
    </w:p>
    <w:p w:rsidR="00E1162D" w:rsidRDefault="00FD444D">
      <w:pPr>
        <w:pStyle w:val="ConsPlusNonformat0"/>
        <w:jc w:val="both"/>
      </w:pPr>
      <w:r>
        <w:t>юридическом лице:</w:t>
      </w:r>
    </w:p>
    <w:p w:rsidR="00E1162D" w:rsidRDefault="00FD444D">
      <w:pPr>
        <w:pStyle w:val="ConsPlusNonformat0"/>
        <w:jc w:val="both"/>
      </w:pPr>
      <w:r>
        <w:t>организационно-правовая форма юридического лица и его наименование ________</w:t>
      </w:r>
    </w:p>
    <w:p w:rsidR="00E1162D" w:rsidRDefault="00FD444D">
      <w:pPr>
        <w:pStyle w:val="ConsPlusNonformat0"/>
        <w:jc w:val="both"/>
      </w:pPr>
      <w:r>
        <w:t xml:space="preserve">      </w:t>
      </w:r>
      <w:r>
        <w:t xml:space="preserve">         (полное, сокращенное, фирменное наименования)</w:t>
      </w:r>
    </w:p>
    <w:p w:rsidR="00E1162D" w:rsidRDefault="00FD444D">
      <w:pPr>
        <w:pStyle w:val="ConsPlusNonformat0"/>
        <w:jc w:val="both"/>
      </w:pPr>
      <w:r>
        <w:t xml:space="preserve">    идентификационный номер налогоплательщика _____________________________</w:t>
      </w:r>
    </w:p>
    <w:p w:rsidR="00E1162D" w:rsidRDefault="00FD444D">
      <w:pPr>
        <w:pStyle w:val="ConsPlusNonformat0"/>
        <w:jc w:val="both"/>
      </w:pPr>
      <w:r>
        <w:t xml:space="preserve">    код причины постановки на учет 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адрес юридического лица _____________________</w:t>
      </w:r>
      <w:r>
        <w:t>__________________________</w:t>
      </w:r>
    </w:p>
    <w:p w:rsidR="00E1162D" w:rsidRDefault="00FD444D">
      <w:pPr>
        <w:pStyle w:val="ConsPlusNonformat0"/>
        <w:jc w:val="both"/>
      </w:pPr>
      <w:r>
        <w:t xml:space="preserve">    основной государственный регистрационный номер ________________________</w:t>
      </w:r>
    </w:p>
    <w:p w:rsidR="00E1162D" w:rsidRDefault="00FD444D">
      <w:pPr>
        <w:pStyle w:val="ConsPlusNonformat0"/>
        <w:jc w:val="both"/>
      </w:pPr>
      <w:r>
        <w:t xml:space="preserve">    данные  документа,  подтверждающего  факт внесения записи о юридическом</w:t>
      </w:r>
    </w:p>
    <w:p w:rsidR="00E1162D" w:rsidRDefault="00FD444D">
      <w:pPr>
        <w:pStyle w:val="ConsPlusNonformat0"/>
        <w:jc w:val="both"/>
      </w:pPr>
      <w:r>
        <w:t>лице в Единый государственный реестр юридических лиц.</w:t>
      </w:r>
    </w:p>
    <w:p w:rsidR="00E1162D" w:rsidRDefault="00FD444D">
      <w:pPr>
        <w:pStyle w:val="ConsPlusNonformat0"/>
        <w:jc w:val="both"/>
      </w:pPr>
      <w:r>
        <w:t xml:space="preserve">    2. Информация о ___</w:t>
      </w:r>
      <w:r>
        <w:t>__________________________________________ товаров -</w:t>
      </w:r>
    </w:p>
    <w:p w:rsidR="00E1162D" w:rsidRDefault="00FD444D">
      <w:pPr>
        <w:pStyle w:val="ConsPlusNonformat0"/>
        <w:jc w:val="both"/>
      </w:pPr>
      <w:r>
        <w:t xml:space="preserve">                     (производителе, импортере - указать нужное)</w:t>
      </w:r>
    </w:p>
    <w:p w:rsidR="00E1162D" w:rsidRDefault="00FD444D">
      <w:pPr>
        <w:pStyle w:val="ConsPlusNonformat0"/>
        <w:jc w:val="both"/>
      </w:pPr>
      <w:r>
        <w:t>для   физического  лица,  зарегистрированного  в  качестве  индивидуального</w:t>
      </w:r>
    </w:p>
    <w:p w:rsidR="00E1162D" w:rsidRDefault="00FD444D">
      <w:pPr>
        <w:pStyle w:val="ConsPlusNonformat0"/>
        <w:jc w:val="both"/>
      </w:pPr>
      <w:r>
        <w:t>предпринимателя (далее - индивидуальный предприниматель):</w:t>
      </w:r>
    </w:p>
    <w:p w:rsidR="00E1162D" w:rsidRDefault="00FD444D">
      <w:pPr>
        <w:pStyle w:val="ConsPlusNonformat0"/>
        <w:jc w:val="both"/>
      </w:pPr>
      <w:r>
        <w:t xml:space="preserve">    фамилия, имя, отчество (при  наличии)  индивидуального  предпринимателя</w:t>
      </w:r>
    </w:p>
    <w:p w:rsidR="00E1162D" w:rsidRDefault="00FD444D">
      <w:pPr>
        <w:pStyle w:val="ConsPlusNonformat0"/>
        <w:jc w:val="both"/>
      </w:pPr>
      <w:r>
        <w:t>___________________________________________________________________________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идентификационный номер налогоплательщика _____________________________</w:t>
      </w:r>
    </w:p>
    <w:p w:rsidR="00E1162D" w:rsidRDefault="00FD444D">
      <w:pPr>
        <w:pStyle w:val="ConsPlusNonformat0"/>
        <w:jc w:val="both"/>
      </w:pPr>
      <w:r>
        <w:t xml:space="preserve">    адрес индивидуального пр</w:t>
      </w:r>
      <w:r>
        <w:t>едпринимателя _________________________________</w:t>
      </w:r>
    </w:p>
    <w:p w:rsidR="00E1162D" w:rsidRDefault="00FD444D">
      <w:pPr>
        <w:pStyle w:val="ConsPlusNonformat0"/>
        <w:jc w:val="both"/>
      </w:pPr>
      <w:r>
        <w:t xml:space="preserve">    основной государственный регистрационный номер ________________________</w:t>
      </w:r>
    </w:p>
    <w:p w:rsidR="00E1162D" w:rsidRDefault="00FD444D">
      <w:pPr>
        <w:pStyle w:val="ConsPlusNonformat0"/>
        <w:jc w:val="both"/>
      </w:pPr>
      <w:r>
        <w:t xml:space="preserve">    данные    документа,    подтверждающего   факт   внесения   записи   об</w:t>
      </w:r>
    </w:p>
    <w:p w:rsidR="00E1162D" w:rsidRDefault="00FD444D">
      <w:pPr>
        <w:pStyle w:val="ConsPlusNonformat0"/>
        <w:jc w:val="both"/>
      </w:pPr>
      <w:r>
        <w:t>индивидуальном    предпринимателе    в    Единый   госуд</w:t>
      </w:r>
      <w:r>
        <w:t>арственный   реестр</w:t>
      </w:r>
    </w:p>
    <w:p w:rsidR="00E1162D" w:rsidRDefault="00FD444D">
      <w:pPr>
        <w:pStyle w:val="ConsPlusNonformat0"/>
        <w:jc w:val="both"/>
      </w:pPr>
      <w:r>
        <w:t>индивидуальных предпринимателей, _________________________________________.</w:t>
      </w:r>
    </w:p>
    <w:p w:rsidR="00E1162D" w:rsidRDefault="00FD444D">
      <w:pPr>
        <w:pStyle w:val="ConsPlusNonformat0"/>
        <w:jc w:val="both"/>
      </w:pPr>
      <w:r>
        <w:t xml:space="preserve">    3.   Код   по   Общероссийскому   </w:t>
      </w:r>
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color w:val="0000FF"/>
          </w:rPr>
          <w:t>классификатору</w:t>
        </w:r>
      </w:hyperlink>
      <w:r>
        <w:t xml:space="preserve">   видов  экономической</w:t>
      </w:r>
    </w:p>
    <w:p w:rsidR="00E1162D" w:rsidRDefault="00FD444D">
      <w:pPr>
        <w:pStyle w:val="ConsPlusNonformat0"/>
        <w:jc w:val="both"/>
      </w:pPr>
      <w:r>
        <w:t>деятельности ОК 029-2014 (КДЕС ред. 2) ___________________________________.</w:t>
      </w:r>
    </w:p>
    <w:p w:rsidR="00E1162D" w:rsidRDefault="00FD444D">
      <w:pPr>
        <w:pStyle w:val="ConsPlusNonformat0"/>
        <w:jc w:val="both"/>
      </w:pPr>
      <w:r>
        <w:t xml:space="preserve">    4.      Код      по     Общероссийскому     </w:t>
      </w:r>
      <w:hyperlink r:id="rId23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<w:r>
          <w:rPr>
            <w:color w:val="0000FF"/>
          </w:rPr>
          <w:t>классификатору</w:t>
        </w:r>
      </w:hyperlink>
      <w:r>
        <w:t xml:space="preserve">     объектов</w:t>
      </w:r>
    </w:p>
    <w:p w:rsidR="00E1162D" w:rsidRDefault="00FD444D">
      <w:pPr>
        <w:pStyle w:val="ConsPlusNonformat0"/>
        <w:jc w:val="both"/>
      </w:pPr>
      <w:r>
        <w:t>административно-территориального деления ОК 019-95 _______________________.</w:t>
      </w:r>
    </w:p>
    <w:p w:rsidR="00E1162D" w:rsidRDefault="00FD444D">
      <w:pPr>
        <w:pStyle w:val="ConsPlusNonformat0"/>
        <w:jc w:val="both"/>
      </w:pPr>
      <w:r>
        <w:t xml:space="preserve">    5.  Код  по  Общероссийскому  </w:t>
      </w:r>
      <w:hyperlink r:id="rId2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классификатор</w:t>
        </w:r>
        <w:r>
          <w:rPr>
            <w:color w:val="0000FF"/>
          </w:rPr>
          <w:t>у</w:t>
        </w:r>
      </w:hyperlink>
      <w:r>
        <w:t xml:space="preserve">  территорий  муниципальных</w:t>
      </w:r>
    </w:p>
    <w:p w:rsidR="00E1162D" w:rsidRDefault="00FD444D">
      <w:pPr>
        <w:pStyle w:val="ConsPlusNonformat0"/>
        <w:jc w:val="both"/>
      </w:pPr>
      <w:r>
        <w:t>образований ОК 033-2013 __________________________________________________.</w:t>
      </w:r>
    </w:p>
    <w:p w:rsidR="00E1162D" w:rsidRDefault="00FD444D">
      <w:pPr>
        <w:pStyle w:val="ConsPlusNonformat0"/>
        <w:jc w:val="both"/>
      </w:pPr>
      <w:r>
        <w:t xml:space="preserve">    6. Контактная информация ______________________________________________</w:t>
      </w:r>
    </w:p>
    <w:p w:rsidR="00E1162D" w:rsidRDefault="00FD444D">
      <w:pPr>
        <w:pStyle w:val="ConsPlusNonformat0"/>
        <w:jc w:val="both"/>
      </w:pPr>
      <w:r>
        <w:t xml:space="preserve">                                  (номера телефонов, телефакса, адрес</w:t>
      </w:r>
    </w:p>
    <w:p w:rsidR="00E1162D" w:rsidRDefault="00FD444D">
      <w:pPr>
        <w:pStyle w:val="ConsPlusNonformat0"/>
        <w:jc w:val="both"/>
      </w:pPr>
      <w:r>
        <w:t xml:space="preserve">     </w:t>
      </w:r>
      <w:r>
        <w:t xml:space="preserve">                          электронной почты (при наличии), должность</w:t>
      </w:r>
    </w:p>
    <w:p w:rsidR="00E1162D" w:rsidRDefault="00FD444D">
      <w:pPr>
        <w:pStyle w:val="ConsPlusNonformat0"/>
        <w:jc w:val="both"/>
      </w:pPr>
      <w:r>
        <w:t xml:space="preserve">                                          и ф.и.о. исполнителя)</w:t>
      </w:r>
    </w:p>
    <w:p w:rsidR="00E1162D" w:rsidRDefault="00E1162D">
      <w:pPr>
        <w:pStyle w:val="ConsPlusNonformat0"/>
        <w:jc w:val="both"/>
      </w:pPr>
    </w:p>
    <w:p w:rsidR="00E1162D" w:rsidRDefault="00FD444D">
      <w:pPr>
        <w:pStyle w:val="ConsPlusNonformat0"/>
        <w:jc w:val="both"/>
      </w:pPr>
      <w:r>
        <w:t xml:space="preserve">                Раздел II. Информация о товарах и упаковке</w:t>
      </w:r>
    </w:p>
    <w:p w:rsidR="00E1162D" w:rsidRDefault="00FD444D">
      <w:pPr>
        <w:pStyle w:val="ConsPlusNonformat0"/>
        <w:jc w:val="both"/>
      </w:pPr>
      <w:r>
        <w:t xml:space="preserve">              товаров, подлежащих утилизации после утраты ими</w:t>
      </w:r>
    </w:p>
    <w:p w:rsidR="00E1162D" w:rsidRDefault="00FD444D">
      <w:pPr>
        <w:pStyle w:val="ConsPlusNonformat0"/>
        <w:jc w:val="both"/>
      </w:pPr>
      <w:r>
        <w:t xml:space="preserve"> </w:t>
      </w:r>
      <w:r>
        <w:t xml:space="preserve">                       потребительских свойств </w:t>
      </w:r>
      <w:hyperlink w:anchor="P469" w:tooltip="&lt;2&gt; В позициях отчетности, не подлежащих заполнению, ставится прочерк. Отчетность на бумажном носителе подписывается руководителем юридического лица или лицом, уполномоченным на осуществление действий от имени юридического лица, либо индивидуальным предпринима">
        <w:r>
          <w:rPr>
            <w:color w:val="0000FF"/>
          </w:rPr>
          <w:t>&lt;2&gt;</w:t>
        </w:r>
      </w:hyperlink>
    </w:p>
    <w:p w:rsidR="00E1162D" w:rsidRDefault="00E1162D">
      <w:pPr>
        <w:pStyle w:val="ConsPlusNonformat0"/>
        <w:jc w:val="both"/>
      </w:pPr>
    </w:p>
    <w:p w:rsidR="00E1162D" w:rsidRDefault="00FD444D">
      <w:pPr>
        <w:pStyle w:val="ConsPlusNonformat0"/>
        <w:jc w:val="both"/>
      </w:pPr>
      <w:bookmarkStart w:id="13" w:name="P178"/>
      <w:bookmarkEnd w:id="13"/>
      <w:r>
        <w:t xml:space="preserve">    1. Информация о товарах (без упаковки товаров) </w:t>
      </w:r>
      <w:hyperlink w:anchor="P470" w:tooltip="&lt;3&gt; Заполняется для товаров, выпущенных в обращение на территории Российской Федерации, в том числе для упаковки как готового товара. Информация об упаковке товаров в данную таблицу не включается. Таблица заполняется следующим образом: вначале указывается номе">
        <w:r>
          <w:rPr>
            <w:color w:val="0000FF"/>
          </w:rPr>
          <w:t>&lt;3&gt;</w:t>
        </w:r>
      </w:hyperlink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sectPr w:rsidR="00E1162D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"/>
        <w:gridCol w:w="753"/>
        <w:gridCol w:w="925"/>
        <w:gridCol w:w="1103"/>
        <w:gridCol w:w="1103"/>
        <w:gridCol w:w="893"/>
        <w:gridCol w:w="777"/>
        <w:gridCol w:w="796"/>
        <w:gridCol w:w="772"/>
        <w:gridCol w:w="777"/>
        <w:gridCol w:w="710"/>
        <w:gridCol w:w="772"/>
        <w:gridCol w:w="670"/>
        <w:gridCol w:w="888"/>
        <w:gridCol w:w="888"/>
        <w:gridCol w:w="888"/>
        <w:gridCol w:w="888"/>
        <w:gridCol w:w="759"/>
        <w:gridCol w:w="888"/>
        <w:gridCol w:w="657"/>
      </w:tblGrid>
      <w:tr w:rsidR="00E1162D">
        <w:tc>
          <w:tcPr>
            <w:tcW w:w="419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558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695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71" w:tooltip="&lt;4&gt; Заполняется для товаров, в том числе упаковки как готового товара, выпущенных в обращение на территории Российской Федерации их производителям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32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3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</w:t>
            </w:r>
            <w:r>
              <w:t xml:space="preserve">шнеэкономической деятельности Евразийского экономического союза (ТН ВЭД ЕАЭС) </w:t>
            </w:r>
            <w:hyperlink w:anchor="P472" w:tooltip="&lt;5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4 сентября 2021 г. N 80. 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95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3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472" w:tooltip="&lt;5&gt; Наименование и код по каждому товару указываются по единой Товарной номенклатуре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4 сентября 2021 г. N 80. 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>Количество товаров, выпущенных в обращение на территории Российской Федерации в году, предшествующем отчетному, в отношении которых возникает обязанность обеспечивать выпол</w:t>
            </w:r>
            <w:r>
              <w:lastRenderedPageBreak/>
              <w:t xml:space="preserve">нение нормативов утилизации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75" w:tooltip="&lt;8&gt; Указывается количество товаров, в том числе упаковки как готового товара, выпущенных в обращение на территории Российской Федерации в году, предшествующем отчетному, в отношении которых возникает обязанность обеспечивать выполнение нормативов утилизации, н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832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Норматив утилизации (в относительных единицах)</w:t>
            </w:r>
          </w:p>
        </w:tc>
        <w:tc>
          <w:tcPr>
            <w:tcW w:w="1054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Количество товаров, подлежащих утилизации в отчетный период, при производстве которых не использовалось вторичное сырье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76" w:tooltip="&lt;9&gt; Количество товаров, в том числе упаковки как готового товара, подлежащих утилизации в отчетный период, при производстве которых не использовалось вторичное сырье, определяется путем умножения количества товаров (за исключением упаковки как готового товара,">
              <w:r>
                <w:rPr>
                  <w:color w:val="0000FF"/>
                </w:rPr>
                <w:t>&lt;9&gt;</w:t>
              </w:r>
            </w:hyperlink>
            <w:r>
              <w:t xml:space="preserve"> (</w:t>
            </w:r>
            <w:hyperlink w:anchor="P206" w:tooltip="6">
              <w:r>
                <w:rPr>
                  <w:color w:val="0000FF"/>
                </w:rPr>
                <w:t>гр. 6</w:t>
              </w:r>
            </w:hyperlink>
            <w:r>
              <w:t xml:space="preserve"> x </w:t>
            </w:r>
            <w:hyperlink w:anchor="P207" w:tooltip="7">
              <w:r>
                <w:rPr>
                  <w:color w:val="0000FF"/>
                </w:rPr>
                <w:t>гр. 7</w:t>
              </w:r>
            </w:hyperlink>
            <w:r>
              <w:t>)</w:t>
            </w:r>
          </w:p>
        </w:tc>
        <w:tc>
          <w:tcPr>
            <w:tcW w:w="4122" w:type="dxa"/>
            <w:gridSpan w:val="4"/>
          </w:tcPr>
          <w:p w:rsidR="00E1162D" w:rsidRDefault="00FD444D">
            <w:pPr>
              <w:pStyle w:val="ConsPlusNormal0"/>
              <w:jc w:val="center"/>
            </w:pPr>
            <w:r>
              <w:t xml:space="preserve">Расчет количества упаковки как готового товара, произведенной из вторичного сырья, подлежащего утилизации в отчетный период </w:t>
            </w:r>
            <w:hyperlink w:anchor="P477" w:tooltip="&lt;10&gt; Заполняется для упаковки как готового товара, при производстве которой использовалось вторичное сырье.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888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Итоговое количество товаров, подлежащих утилизации в отчетный период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0" w:tooltip="&lt;13&gt; Итоговое количество товаров, в том числе упаковки как готового товара, подлежащих утилизации в отчетный период, определяется путем суммирования количества товаров, в том числе упаковки как готового товара, при производстве которых не использовалось вторич">
              <w:r>
                <w:rPr>
                  <w:color w:val="0000FF"/>
                </w:rPr>
                <w:t>&lt;13&gt;</w:t>
              </w:r>
            </w:hyperlink>
            <w:r>
              <w:t xml:space="preserve"> (</w:t>
            </w:r>
            <w:hyperlink w:anchor="P208" w:tooltip="8">
              <w:r>
                <w:rPr>
                  <w:color w:val="0000FF"/>
                </w:rPr>
                <w:t>гр. 8</w:t>
              </w:r>
            </w:hyperlink>
            <w:r>
              <w:t xml:space="preserve"> + </w:t>
            </w:r>
            <w:hyperlink w:anchor="P212" w:tooltip="12">
              <w:r>
                <w:rPr>
                  <w:color w:val="0000FF"/>
                </w:rPr>
                <w:t>гр. 12</w:t>
              </w:r>
            </w:hyperlink>
            <w:r>
              <w:t>)</w:t>
            </w:r>
          </w:p>
        </w:tc>
        <w:tc>
          <w:tcPr>
            <w:tcW w:w="915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Количество отходов от использования товаров, утилизированных (переданных на утилизацию) в отчетный период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1" w:tooltip="&lt;14&gt; Количество отходов от использования товаров, в том числе упаковки как готового товара (подраздел 1 раздела II настоящего приложения), и количество отходов от использования товаров в части упаковки товаров (подраздел 2 раздела II настоящего приложения), ут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07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Количество отходов от использования товаров, утилизированных (переданных на утилизацию) в предыдущий отчетный период сверх норматива утилизации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2" w:tooltip="&lt;15&gt; Количество отходов от использования товаров, в том числе упаковки как готового товара (подраздел 1 раздела II настоящего приложения), и количество отходов от использования товаров в части упаковки товаров (подраздел 2 раздела II настоящего приложения), ут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07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>Итоговое количество отходов от использования товаров, утил</w:t>
            </w:r>
            <w:r>
              <w:t xml:space="preserve">изированных (переданных на утилизацию), засчитываемых в отчетный период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3" w:tooltip="&lt;16&gt; Итоговое количество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,">
              <w:r>
                <w:rPr>
                  <w:color w:val="0000FF"/>
                </w:rPr>
                <w:t>&lt;16&gt;</w:t>
              </w:r>
            </w:hyperlink>
            <w:r>
              <w:t xml:space="preserve"> (</w:t>
            </w:r>
            <w:hyperlink w:anchor="P214" w:tooltip="14">
              <w:r>
                <w:rPr>
                  <w:color w:val="0000FF"/>
                </w:rPr>
                <w:t>гр. 14</w:t>
              </w:r>
            </w:hyperlink>
            <w:r>
              <w:t xml:space="preserve"> + </w:t>
            </w:r>
            <w:hyperlink w:anchor="P215" w:tooltip="15">
              <w:r>
                <w:rPr>
                  <w:color w:val="0000FF"/>
                </w:rPr>
                <w:t>гр. 15</w:t>
              </w:r>
            </w:hyperlink>
            <w:r>
              <w:t>)</w:t>
            </w:r>
          </w:p>
        </w:tc>
        <w:tc>
          <w:tcPr>
            <w:tcW w:w="1191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>Количество отходов от использования товаров, утилизирова</w:t>
            </w:r>
            <w:r>
              <w:t xml:space="preserve">нных (переданных на утилизацию) в отчетный период сверх норматива утилизации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4" w:tooltip="&lt;17&gt; Количество отходов от использования товаров, в том числе упаковки как готового товара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">
              <w:r>
                <w:rPr>
                  <w:color w:val="0000FF"/>
                </w:rPr>
                <w:t>&lt;17&gt;</w:t>
              </w:r>
            </w:hyperlink>
            <w:r>
              <w:t xml:space="preserve"> (</w:t>
            </w:r>
            <w:hyperlink w:anchor="P216" w:tooltip="16">
              <w:r>
                <w:rPr>
                  <w:color w:val="0000FF"/>
                </w:rPr>
                <w:t>гр. 16</w:t>
              </w:r>
            </w:hyperlink>
            <w:r>
              <w:t xml:space="preserve"> - </w:t>
            </w:r>
            <w:hyperlink w:anchor="P213" w:tooltip="13">
              <w:r>
                <w:rPr>
                  <w:color w:val="0000FF"/>
                </w:rPr>
                <w:t>гр. 13</w:t>
              </w:r>
            </w:hyperlink>
            <w:r>
              <w:t>)</w:t>
            </w:r>
          </w:p>
        </w:tc>
        <w:tc>
          <w:tcPr>
            <w:tcW w:w="850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>Количество отходов от использования товаров, за кот</w:t>
            </w:r>
            <w:r>
              <w:t xml:space="preserve">орые необходимо уплатить экологический сбор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5" w:tooltip="&lt;18&gt; Количество отходов от использования товаров, в том числе упаковки как готового товара, за которые необходимо уплатить экологический сбор, определяется путем вычитания из итогового количества товаров, в том числе упаковки как готового товара, подлежащих ут">
              <w:r>
                <w:rPr>
                  <w:color w:val="0000FF"/>
                </w:rPr>
                <w:t>&lt;18&gt;</w:t>
              </w:r>
            </w:hyperlink>
            <w:r>
              <w:t xml:space="preserve"> (</w:t>
            </w:r>
            <w:hyperlink w:anchor="P213" w:tooltip="13">
              <w:r>
                <w:rPr>
                  <w:color w:val="0000FF"/>
                </w:rPr>
                <w:t>гр. 13</w:t>
              </w:r>
            </w:hyperlink>
            <w:r>
              <w:t xml:space="preserve"> - </w:t>
            </w:r>
            <w:hyperlink w:anchor="P216" w:tooltip="16">
              <w:r>
                <w:rPr>
                  <w:color w:val="0000FF"/>
                </w:rPr>
                <w:t>гр. 16</w:t>
              </w:r>
            </w:hyperlink>
            <w:r>
              <w:t>)</w:t>
            </w:r>
          </w:p>
        </w:tc>
        <w:tc>
          <w:tcPr>
            <w:tcW w:w="695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Сведения о документах, подтверждающих утилизацию (передачу отходов на утилизацию) </w:t>
            </w:r>
            <w:hyperlink w:anchor="P486" w:tooltip="&lt;19&gt; Приводятся следующие сведения: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556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 xml:space="preserve">Примечание </w:t>
            </w:r>
            <w:hyperlink w:anchor="P492" w:tooltip="&lt;20&gt; Заполняется в обязательном порядке в случае, если норматив утилизации выполняется за счет утилизации любых отходов от использования товаров (включая отходы от использования упаковки товаров), входящих в одну или несколько групп товаров, групп упаковки тов">
              <w:r>
                <w:rPr>
                  <w:color w:val="0000FF"/>
                </w:rPr>
                <w:t>&lt;20&gt;</w:t>
              </w:r>
            </w:hyperlink>
          </w:p>
        </w:tc>
      </w:tr>
      <w:tr w:rsidR="00E1162D"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FD444D">
            <w:pPr>
              <w:pStyle w:val="ConsPlusNormal0"/>
              <w:jc w:val="center"/>
            </w:pPr>
            <w:r>
              <w:t xml:space="preserve">количество упаковки, произведенной из вторичного сырья, в отношении которого возникает обязанность обеспечивать </w:t>
            </w:r>
            <w:r>
              <w:lastRenderedPageBreak/>
              <w:t xml:space="preserve">выполнение нормативов утилизации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77" w:tooltip="&lt;10&gt; Заполняется для упаковки как готового товара, при производстве которой использовалось вторичное сырье.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833" w:type="dxa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доля вторичного сырья, используемого при производстве упаковки (в относит</w:t>
            </w:r>
            <w:r>
              <w:t xml:space="preserve">ельных единицах)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77" w:tooltip="&lt;10&gt; Заполняется для упаковки как готового товара, при производстве которой использовалось вторичное сырье.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94" w:type="dxa"/>
          </w:tcPr>
          <w:p w:rsidR="00E1162D" w:rsidRDefault="00FD444D">
            <w:pPr>
              <w:pStyle w:val="ConsPlusNormal0"/>
              <w:jc w:val="center"/>
            </w:pPr>
            <w:r>
              <w:t xml:space="preserve">понижающий коэффициент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77" w:tooltip="&lt;10&gt; Заполняется для упаковки как готового товара, при производстве которой использовалось вторичное сырье.">
              <w:r>
                <w:rPr>
                  <w:color w:val="0000FF"/>
                </w:rPr>
                <w:t>&lt;10&gt;</w:t>
              </w:r>
            </w:hyperlink>
            <w:r>
              <w:t xml:space="preserve">, </w:t>
            </w:r>
            <w:hyperlink w:anchor="P478" w:tooltip="&lt;11&gt; Понижающий коэффициент рассчитывается как разница между единицей и долей вторичного сырья, использованного при производстве упаковки (выраженной в относительных единицах).">
              <w:r>
                <w:rPr>
                  <w:color w:val="0000FF"/>
                </w:rPr>
                <w:t>&lt;11&gt;</w:t>
              </w:r>
            </w:hyperlink>
            <w:r>
              <w:t xml:space="preserve"> (</w:t>
            </w:r>
            <w:hyperlink w:anchor="P201" w:tooltip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210" w:tooltip="10">
              <w:r>
                <w:rPr>
                  <w:color w:val="0000FF"/>
                </w:rPr>
                <w:t>гр. 10</w:t>
              </w:r>
            </w:hyperlink>
            <w:r>
              <w:t>)</w:t>
            </w:r>
          </w:p>
        </w:tc>
        <w:tc>
          <w:tcPr>
            <w:tcW w:w="1304" w:type="dxa"/>
          </w:tcPr>
          <w:p w:rsidR="00E1162D" w:rsidRDefault="00FD444D">
            <w:pPr>
              <w:pStyle w:val="ConsPlusNormal0"/>
              <w:jc w:val="center"/>
            </w:pPr>
            <w:r>
              <w:t>количество упаковки, произведенной из вторичного сырья, п</w:t>
            </w:r>
            <w:r>
              <w:t>одлежащего утилизации в отчетный период, с учетом пони</w:t>
            </w:r>
            <w:r>
              <w:lastRenderedPageBreak/>
              <w:t xml:space="preserve">жающего коэффициента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77" w:tooltip="&lt;10&gt; Заполняется для упаковки как готового товара, при производстве которой использовалось вторичное сырье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10&gt;</w:t>
              </w:r>
            </w:hyperlink>
            <w:r>
              <w:t xml:space="preserve">, </w:t>
            </w:r>
            <w:hyperlink w:anchor="P479" w:tooltip="&lt;12&gt; Количество упаковки как готового товара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как готового товара, произведенной из вторичного сырья,">
              <w:r>
                <w:rPr>
                  <w:color w:val="0000FF"/>
                </w:rPr>
                <w:t>&lt;12&gt;</w:t>
              </w:r>
            </w:hyperlink>
            <w:r>
              <w:t xml:space="preserve"> (</w:t>
            </w:r>
            <w:hyperlink w:anchor="P207" w:tooltip="7">
              <w:r>
                <w:rPr>
                  <w:color w:val="0000FF"/>
                </w:rPr>
                <w:t>гр. 7</w:t>
              </w:r>
            </w:hyperlink>
            <w:r>
              <w:t xml:space="preserve"> x </w:t>
            </w:r>
            <w:hyperlink w:anchor="P209" w:tooltip="9">
              <w:r>
                <w:rPr>
                  <w:color w:val="0000FF"/>
                </w:rPr>
                <w:t>гр. 9</w:t>
              </w:r>
            </w:hyperlink>
            <w:r>
              <w:t xml:space="preserve"> x </w:t>
            </w:r>
            <w:hyperlink w:anchor="P211" w:tooltip="11">
              <w:r>
                <w:rPr>
                  <w:color w:val="0000FF"/>
                </w:rPr>
                <w:t>гр. 11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419" w:type="dxa"/>
          </w:tcPr>
          <w:p w:rsidR="00E1162D" w:rsidRDefault="00FD444D">
            <w:pPr>
              <w:pStyle w:val="ConsPlusNormal0"/>
              <w:jc w:val="center"/>
            </w:pPr>
            <w:bookmarkStart w:id="14" w:name="P201"/>
            <w:bookmarkEnd w:id="14"/>
            <w:r>
              <w:lastRenderedPageBreak/>
              <w:t>1</w:t>
            </w:r>
          </w:p>
        </w:tc>
        <w:tc>
          <w:tcPr>
            <w:tcW w:w="558" w:type="dxa"/>
          </w:tcPr>
          <w:p w:rsidR="00E1162D" w:rsidRDefault="00FD44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95" w:type="dxa"/>
          </w:tcPr>
          <w:p w:rsidR="00E1162D" w:rsidRDefault="00FD444D">
            <w:pPr>
              <w:pStyle w:val="ConsPlusNormal0"/>
              <w:jc w:val="center"/>
            </w:pPr>
            <w:bookmarkStart w:id="15" w:name="P203"/>
            <w:bookmarkEnd w:id="15"/>
            <w:r>
              <w:t>3</w:t>
            </w:r>
          </w:p>
        </w:tc>
        <w:tc>
          <w:tcPr>
            <w:tcW w:w="832" w:type="dxa"/>
          </w:tcPr>
          <w:p w:rsidR="00E1162D" w:rsidRDefault="00FD44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95" w:type="dxa"/>
          </w:tcPr>
          <w:p w:rsidR="00E1162D" w:rsidRDefault="00FD444D">
            <w:pPr>
              <w:pStyle w:val="ConsPlusNormal0"/>
              <w:jc w:val="center"/>
            </w:pPr>
            <w:bookmarkStart w:id="16" w:name="P205"/>
            <w:bookmarkEnd w:id="16"/>
            <w:r>
              <w:t>5</w:t>
            </w:r>
          </w:p>
        </w:tc>
        <w:tc>
          <w:tcPr>
            <w:tcW w:w="1361" w:type="dxa"/>
          </w:tcPr>
          <w:p w:rsidR="00E1162D" w:rsidRDefault="00FD444D">
            <w:pPr>
              <w:pStyle w:val="ConsPlusNormal0"/>
              <w:jc w:val="center"/>
            </w:pPr>
            <w:bookmarkStart w:id="17" w:name="P206"/>
            <w:bookmarkEnd w:id="17"/>
            <w:r>
              <w:t>6</w:t>
            </w:r>
          </w:p>
        </w:tc>
        <w:tc>
          <w:tcPr>
            <w:tcW w:w="832" w:type="dxa"/>
          </w:tcPr>
          <w:p w:rsidR="00E1162D" w:rsidRDefault="00FD444D">
            <w:pPr>
              <w:pStyle w:val="ConsPlusNormal0"/>
              <w:jc w:val="center"/>
            </w:pPr>
            <w:bookmarkStart w:id="18" w:name="P207"/>
            <w:bookmarkEnd w:id="18"/>
            <w:r>
              <w:t>7</w:t>
            </w:r>
          </w:p>
        </w:tc>
        <w:tc>
          <w:tcPr>
            <w:tcW w:w="1054" w:type="dxa"/>
          </w:tcPr>
          <w:p w:rsidR="00E1162D" w:rsidRDefault="00FD444D">
            <w:pPr>
              <w:pStyle w:val="ConsPlusNormal0"/>
              <w:jc w:val="center"/>
            </w:pPr>
            <w:bookmarkStart w:id="19" w:name="P208"/>
            <w:bookmarkEnd w:id="19"/>
            <w:r>
              <w:t>8</w:t>
            </w:r>
          </w:p>
        </w:tc>
        <w:tc>
          <w:tcPr>
            <w:tcW w:w="1191" w:type="dxa"/>
          </w:tcPr>
          <w:p w:rsidR="00E1162D" w:rsidRDefault="00FD444D">
            <w:pPr>
              <w:pStyle w:val="ConsPlusNormal0"/>
              <w:jc w:val="center"/>
            </w:pPr>
            <w:bookmarkStart w:id="20" w:name="P209"/>
            <w:bookmarkEnd w:id="20"/>
            <w:r>
              <w:t>9</w:t>
            </w:r>
          </w:p>
        </w:tc>
        <w:tc>
          <w:tcPr>
            <w:tcW w:w="833" w:type="dxa"/>
          </w:tcPr>
          <w:p w:rsidR="00E1162D" w:rsidRDefault="00FD444D">
            <w:pPr>
              <w:pStyle w:val="ConsPlusNormal0"/>
              <w:jc w:val="center"/>
            </w:pPr>
            <w:bookmarkStart w:id="21" w:name="P210"/>
            <w:bookmarkEnd w:id="21"/>
            <w:r>
              <w:t>10</w:t>
            </w:r>
          </w:p>
        </w:tc>
        <w:tc>
          <w:tcPr>
            <w:tcW w:w="794" w:type="dxa"/>
          </w:tcPr>
          <w:p w:rsidR="00E1162D" w:rsidRDefault="00FD444D">
            <w:pPr>
              <w:pStyle w:val="ConsPlusNormal0"/>
              <w:jc w:val="center"/>
            </w:pPr>
            <w:bookmarkStart w:id="22" w:name="P211"/>
            <w:bookmarkEnd w:id="22"/>
            <w:r>
              <w:t>11</w:t>
            </w:r>
          </w:p>
        </w:tc>
        <w:tc>
          <w:tcPr>
            <w:tcW w:w="1304" w:type="dxa"/>
          </w:tcPr>
          <w:p w:rsidR="00E1162D" w:rsidRDefault="00FD444D">
            <w:pPr>
              <w:pStyle w:val="ConsPlusNormal0"/>
              <w:jc w:val="center"/>
            </w:pPr>
            <w:bookmarkStart w:id="23" w:name="P212"/>
            <w:bookmarkEnd w:id="23"/>
            <w:r>
              <w:t>12</w:t>
            </w:r>
          </w:p>
        </w:tc>
        <w:tc>
          <w:tcPr>
            <w:tcW w:w="888" w:type="dxa"/>
          </w:tcPr>
          <w:p w:rsidR="00E1162D" w:rsidRDefault="00FD444D">
            <w:pPr>
              <w:pStyle w:val="ConsPlusNormal0"/>
              <w:jc w:val="center"/>
            </w:pPr>
            <w:bookmarkStart w:id="24" w:name="P213"/>
            <w:bookmarkEnd w:id="24"/>
            <w:r>
              <w:t>13</w:t>
            </w:r>
          </w:p>
        </w:tc>
        <w:tc>
          <w:tcPr>
            <w:tcW w:w="915" w:type="dxa"/>
          </w:tcPr>
          <w:p w:rsidR="00E1162D" w:rsidRDefault="00FD444D">
            <w:pPr>
              <w:pStyle w:val="ConsPlusNormal0"/>
              <w:jc w:val="center"/>
            </w:pPr>
            <w:bookmarkStart w:id="25" w:name="P214"/>
            <w:bookmarkEnd w:id="25"/>
            <w:r>
              <w:t>14</w:t>
            </w:r>
          </w:p>
        </w:tc>
        <w:tc>
          <w:tcPr>
            <w:tcW w:w="1077" w:type="dxa"/>
          </w:tcPr>
          <w:p w:rsidR="00E1162D" w:rsidRDefault="00FD444D">
            <w:pPr>
              <w:pStyle w:val="ConsPlusNormal0"/>
              <w:jc w:val="center"/>
            </w:pPr>
            <w:bookmarkStart w:id="26" w:name="P215"/>
            <w:bookmarkEnd w:id="26"/>
            <w:r>
              <w:t>15</w:t>
            </w:r>
          </w:p>
        </w:tc>
        <w:tc>
          <w:tcPr>
            <w:tcW w:w="1077" w:type="dxa"/>
          </w:tcPr>
          <w:p w:rsidR="00E1162D" w:rsidRDefault="00FD444D">
            <w:pPr>
              <w:pStyle w:val="ConsPlusNormal0"/>
              <w:jc w:val="center"/>
            </w:pPr>
            <w:bookmarkStart w:id="27" w:name="P216"/>
            <w:bookmarkEnd w:id="27"/>
            <w:r>
              <w:t>16</w:t>
            </w:r>
          </w:p>
        </w:tc>
        <w:tc>
          <w:tcPr>
            <w:tcW w:w="1191" w:type="dxa"/>
          </w:tcPr>
          <w:p w:rsidR="00E1162D" w:rsidRDefault="00FD444D">
            <w:pPr>
              <w:pStyle w:val="ConsPlusNormal0"/>
              <w:jc w:val="center"/>
            </w:pPr>
            <w:bookmarkStart w:id="28" w:name="P217"/>
            <w:bookmarkEnd w:id="28"/>
            <w:r>
              <w:t>17</w:t>
            </w:r>
          </w:p>
        </w:tc>
        <w:tc>
          <w:tcPr>
            <w:tcW w:w="850" w:type="dxa"/>
          </w:tcPr>
          <w:p w:rsidR="00E1162D" w:rsidRDefault="00FD444D">
            <w:pPr>
              <w:pStyle w:val="ConsPlusNormal0"/>
              <w:jc w:val="center"/>
            </w:pPr>
            <w:bookmarkStart w:id="29" w:name="P218"/>
            <w:bookmarkEnd w:id="29"/>
            <w:r>
              <w:t>18</w:t>
            </w:r>
          </w:p>
        </w:tc>
        <w:tc>
          <w:tcPr>
            <w:tcW w:w="695" w:type="dxa"/>
          </w:tcPr>
          <w:p w:rsidR="00E1162D" w:rsidRDefault="00FD444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56" w:type="dxa"/>
          </w:tcPr>
          <w:p w:rsidR="00E1162D" w:rsidRDefault="00FD444D">
            <w:pPr>
              <w:pStyle w:val="ConsPlusNormal0"/>
              <w:jc w:val="center"/>
            </w:pPr>
            <w:r>
              <w:t>20</w:t>
            </w:r>
          </w:p>
        </w:tc>
      </w:tr>
      <w:tr w:rsidR="00E1162D">
        <w:tblPrEx>
          <w:tblBorders>
            <w:insideV w:val="nil"/>
          </w:tblBorders>
        </w:tblPrEx>
        <w:tc>
          <w:tcPr>
            <w:tcW w:w="7637" w:type="dxa"/>
            <w:gridSpan w:val="9"/>
            <w:tcBorders>
              <w:left w:val="single" w:sz="4" w:space="0" w:color="auto"/>
            </w:tcBorders>
          </w:tcPr>
          <w:p w:rsidR="00E1162D" w:rsidRDefault="00FD444D">
            <w:pPr>
              <w:pStyle w:val="ConsPlusNormal0"/>
            </w:pPr>
            <w:r>
              <w:t>Группа N ...</w:t>
            </w:r>
          </w:p>
        </w:tc>
        <w:tc>
          <w:tcPr>
            <w:tcW w:w="83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553" w:type="dxa"/>
            <w:gridSpan w:val="9"/>
            <w:tcBorders>
              <w:right w:val="single" w:sz="4" w:space="0" w:color="auto"/>
            </w:tcBorders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419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8" w:type="dxa"/>
          </w:tcPr>
          <w:p w:rsidR="00E1162D" w:rsidRDefault="00FD444D">
            <w:pPr>
              <w:pStyle w:val="ConsPlusNormal0"/>
            </w:pPr>
            <w:r>
              <w:t>...</w:t>
            </w: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5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0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8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91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5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6" w:type="dxa"/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419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5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0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8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91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5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6" w:type="dxa"/>
          </w:tcPr>
          <w:p w:rsidR="00E1162D" w:rsidRDefault="00E1162D">
            <w:pPr>
              <w:pStyle w:val="ConsPlusNormal0"/>
            </w:pPr>
          </w:p>
        </w:tc>
      </w:tr>
      <w:tr w:rsidR="00E1162D">
        <w:tblPrEx>
          <w:tblBorders>
            <w:insideV w:val="nil"/>
          </w:tblBorders>
        </w:tblPrEx>
        <w:tc>
          <w:tcPr>
            <w:tcW w:w="7637" w:type="dxa"/>
            <w:gridSpan w:val="9"/>
            <w:tcBorders>
              <w:left w:val="single" w:sz="4" w:space="0" w:color="auto"/>
            </w:tcBorders>
          </w:tcPr>
          <w:p w:rsidR="00E1162D" w:rsidRDefault="00FD444D">
            <w:pPr>
              <w:pStyle w:val="ConsPlusNormal0"/>
            </w:pPr>
            <w:r>
              <w:t>Группа N ...</w:t>
            </w:r>
          </w:p>
        </w:tc>
        <w:tc>
          <w:tcPr>
            <w:tcW w:w="83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553" w:type="dxa"/>
            <w:gridSpan w:val="9"/>
            <w:tcBorders>
              <w:right w:val="single" w:sz="4" w:space="0" w:color="auto"/>
            </w:tcBorders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419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8" w:type="dxa"/>
          </w:tcPr>
          <w:p w:rsidR="00E1162D" w:rsidRDefault="00FD444D">
            <w:pPr>
              <w:pStyle w:val="ConsPlusNormal0"/>
            </w:pPr>
            <w:r>
              <w:t>...</w:t>
            </w: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5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0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8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91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5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6" w:type="dxa"/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419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5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3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0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8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91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5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95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56" w:type="dxa"/>
          </w:tcPr>
          <w:p w:rsidR="00E1162D" w:rsidRDefault="00E1162D">
            <w:pPr>
              <w:pStyle w:val="ConsPlusNormal0"/>
            </w:pPr>
          </w:p>
        </w:tc>
      </w:tr>
    </w:tbl>
    <w:p w:rsidR="00E1162D" w:rsidRDefault="00E1162D">
      <w:pPr>
        <w:pStyle w:val="ConsPlusNormal0"/>
        <w:jc w:val="both"/>
      </w:pPr>
    </w:p>
    <w:p w:rsidR="00E1162D" w:rsidRDefault="00FD444D">
      <w:pPr>
        <w:pStyle w:val="ConsPlusNonformat0"/>
        <w:jc w:val="both"/>
      </w:pPr>
      <w:bookmarkStart w:id="30" w:name="P310"/>
      <w:bookmarkEnd w:id="30"/>
      <w:r>
        <w:t xml:space="preserve">    2. Информация об упаковке товаров </w:t>
      </w:r>
      <w:hyperlink w:anchor="P493" w:tooltip="&lt;21&gt; В таблицу включается информация об упаковке товаров (за исключением упаковки как готового товара). Заполняется в отношении упаковки товаров следующим образом: вначале указывается номер группы упаковки товаров в соответствии с разделом II перечня, а затем ">
        <w:r>
          <w:rPr>
            <w:color w:val="0000FF"/>
          </w:rPr>
          <w:t>&lt;21&gt;</w:t>
        </w:r>
      </w:hyperlink>
    </w:p>
    <w:p w:rsidR="00E1162D" w:rsidRDefault="00E1162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"/>
        <w:gridCol w:w="710"/>
        <w:gridCol w:w="518"/>
        <w:gridCol w:w="197"/>
        <w:gridCol w:w="561"/>
        <w:gridCol w:w="179"/>
        <w:gridCol w:w="579"/>
        <w:gridCol w:w="870"/>
        <w:gridCol w:w="1035"/>
        <w:gridCol w:w="840"/>
        <w:gridCol w:w="732"/>
        <w:gridCol w:w="627"/>
        <w:gridCol w:w="727"/>
        <w:gridCol w:w="732"/>
        <w:gridCol w:w="670"/>
        <w:gridCol w:w="145"/>
        <w:gridCol w:w="658"/>
        <w:gridCol w:w="627"/>
        <w:gridCol w:w="835"/>
        <w:gridCol w:w="835"/>
        <w:gridCol w:w="835"/>
        <w:gridCol w:w="835"/>
        <w:gridCol w:w="715"/>
        <w:gridCol w:w="835"/>
        <w:gridCol w:w="620"/>
      </w:tblGrid>
      <w:tr w:rsidR="00E1162D">
        <w:tc>
          <w:tcPr>
            <w:tcW w:w="346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t>N п</w:t>
            </w:r>
            <w:r>
              <w:lastRenderedPageBreak/>
              <w:t>/п</w:t>
            </w:r>
          </w:p>
        </w:tc>
        <w:tc>
          <w:tcPr>
            <w:tcW w:w="56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упаковки товаров</w:t>
            </w:r>
          </w:p>
        </w:tc>
        <w:tc>
          <w:tcPr>
            <w:tcW w:w="425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 xml:space="preserve">Материал </w:t>
            </w:r>
            <w:r>
              <w:lastRenderedPageBreak/>
              <w:t>упаковки товаров</w:t>
            </w:r>
          </w:p>
        </w:tc>
        <w:tc>
          <w:tcPr>
            <w:tcW w:w="851" w:type="dxa"/>
            <w:gridSpan w:val="2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Буквенное обозн</w:t>
            </w:r>
            <w:r>
              <w:lastRenderedPageBreak/>
              <w:t xml:space="preserve">ачение упаковки товаров по техническому </w:t>
            </w:r>
            <w:hyperlink r:id="rId32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494" w:tooltip="&lt;2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845" w:type="dxa"/>
            <w:gridSpan w:val="2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 xml:space="preserve">Цифровой код </w:t>
            </w:r>
            <w:r>
              <w:lastRenderedPageBreak/>
              <w:t xml:space="preserve">упаковки товаров по техническому </w:t>
            </w:r>
            <w:hyperlink r:id="rId33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494" w:tooltip="&lt;2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791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Код по Общероссийс</w:t>
            </w:r>
            <w:r>
              <w:lastRenderedPageBreak/>
              <w:t xml:space="preserve">кому </w:t>
            </w: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94" w:tooltip="&lt;2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682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Код единой Товарно</w:t>
            </w:r>
            <w:r>
              <w:lastRenderedPageBreak/>
              <w:t>й номенклатуры внешнеэкономической деятельности Евр</w:t>
            </w:r>
            <w:r>
              <w:t xml:space="preserve">азийского экономического союза (ТН ВЭД ЕАЭС) </w:t>
            </w:r>
            <w:hyperlink w:anchor="P494" w:tooltip="&lt;22&gt; 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361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Количество упаков</w:t>
            </w:r>
            <w:r>
              <w:lastRenderedPageBreak/>
              <w:t>ки</w:t>
            </w:r>
            <w:r>
              <w:t xml:space="preserve"> товаров, выпущенной в обращение на территории Российской Федерации в год, предшествующий отчетному периоду, в отношении которого возникает обязанность обеспе</w:t>
            </w:r>
            <w:r>
              <w:lastRenderedPageBreak/>
              <w:t xml:space="preserve">чивать выполнение нормативов утилизации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95" w:tooltip="&lt;23&gt; Указывается количество упаковки, при производстве которой не использовалось вторичное сырье.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628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Норматив утили</w:t>
            </w:r>
            <w:r>
              <w:lastRenderedPageBreak/>
              <w:t>зации (в относительных единицах)</w:t>
            </w:r>
          </w:p>
        </w:tc>
        <w:tc>
          <w:tcPr>
            <w:tcW w:w="683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 xml:space="preserve">упаковки товаров, подлежащей утилизации в отчетный период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95" w:tooltip="&lt;23&gt; Указывается количество упаковки, при производстве которой не использовалось вторичное сырье.">
              <w:r>
                <w:rPr>
                  <w:color w:val="0000FF"/>
                </w:rPr>
                <w:t>&lt;23&gt;</w:t>
              </w:r>
            </w:hyperlink>
            <w:r>
              <w:t xml:space="preserve">, </w:t>
            </w:r>
            <w:hyperlink w:anchor="P496" w:tooltip="&lt;24&gt; Количество упаковки товаров (за исключением упаковки товаров, произведенной из вторичного сырья), подлежащей утилизации в отчетный период, определяется путем умножения количества упаковки товаров, выпущенной в обращение на территории Российской Федерации ">
              <w:r>
                <w:rPr>
                  <w:color w:val="0000FF"/>
                </w:rPr>
                <w:t>&lt;24&gt;</w:t>
              </w:r>
            </w:hyperlink>
            <w:r>
              <w:t xml:space="preserve"> (</w:t>
            </w:r>
            <w:hyperlink w:anchor="P208" w:tooltip="8">
              <w:r>
                <w:rPr>
                  <w:color w:val="0000FF"/>
                </w:rPr>
                <w:t>гр. 8</w:t>
              </w:r>
            </w:hyperlink>
            <w:r>
              <w:t xml:space="preserve"> x </w:t>
            </w:r>
            <w:hyperlink w:anchor="P209" w:tooltip="9">
              <w:r>
                <w:rPr>
                  <w:color w:val="0000FF"/>
                </w:rPr>
                <w:t>гр. 9</w:t>
              </w:r>
            </w:hyperlink>
            <w:r>
              <w:t>)</w:t>
            </w:r>
          </w:p>
        </w:tc>
        <w:tc>
          <w:tcPr>
            <w:tcW w:w="3903" w:type="dxa"/>
            <w:gridSpan w:val="5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Расчет количества у</w:t>
            </w:r>
            <w:r>
              <w:t xml:space="preserve">паковки товаров, произведенной из </w:t>
            </w:r>
            <w:r>
              <w:lastRenderedPageBreak/>
              <w:t xml:space="preserve">вторичного сырья, подлежащей утилизации в отчетный период </w:t>
            </w:r>
            <w:hyperlink w:anchor="P497" w:tooltip="&lt;25&gt; Заполняется в отношении упаковки товаров, при производстве которой использовалось вторичное сырье.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683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Итоговое коли</w:t>
            </w:r>
            <w:r>
              <w:lastRenderedPageBreak/>
              <w:t>чество упа</w:t>
            </w:r>
            <w:r>
              <w:t xml:space="preserve">ковки товаров, подлежащей утилизации в отчетный период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99" w:tooltip="&lt;27&gt; Итоговое количество упаковки товаров, подлежащей утилизации в отчетный период, определяется путем суммирования количества упаковки товаров, при производстве которой не использовалось вторичное сырье, подлежащей утилизации в отчетный период, и количества у">
              <w:r>
                <w:rPr>
                  <w:color w:val="0000FF"/>
                </w:rPr>
                <w:t>&lt;27&gt;</w:t>
              </w:r>
            </w:hyperlink>
            <w:r>
              <w:t xml:space="preserve"> (</w:t>
            </w:r>
            <w:hyperlink w:anchor="P210" w:tooltip="10">
              <w:r>
                <w:rPr>
                  <w:color w:val="0000FF"/>
                </w:rPr>
                <w:t>гр. 10</w:t>
              </w:r>
            </w:hyperlink>
            <w:r>
              <w:t xml:space="preserve"> либо </w:t>
            </w:r>
            <w:hyperlink w:anchor="P210" w:tooltip="10">
              <w:r>
                <w:rPr>
                  <w:color w:val="0000FF"/>
                </w:rPr>
                <w:t>гр. 10</w:t>
              </w:r>
            </w:hyperlink>
            <w:r>
              <w:t xml:space="preserve"> + </w:t>
            </w:r>
            <w:hyperlink w:anchor="P214" w:tooltip="14">
              <w:r>
                <w:rPr>
                  <w:color w:val="0000FF"/>
                </w:rPr>
                <w:t>гр. 14</w:t>
              </w:r>
            </w:hyperlink>
            <w:r>
              <w:t>)</w:t>
            </w:r>
          </w:p>
        </w:tc>
        <w:tc>
          <w:tcPr>
            <w:tcW w:w="81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Количество отходо</w:t>
            </w:r>
            <w:r>
              <w:lastRenderedPageBreak/>
              <w:t>в от использования товаров (в части упаковки товаров), утилизиро</w:t>
            </w:r>
            <w:r>
              <w:t xml:space="preserve">ванных (переданных на утилизацию) в отчетный период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1" w:tooltip="&lt;14&gt; Количество отходов от использования товаров, в том числе упаковки как готового товара (подраздел 1 раздела II настоящего приложения), и количество отходов от использования товаров в части упаковки товаров (подраздел 2 раздела II настоящего приложения), ут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07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Количество отходо</w:t>
            </w:r>
            <w:r>
              <w:lastRenderedPageBreak/>
              <w:t>в от использования товаров (в части упаковки товаров), утилизированных (переданных на утилизацию) в предыдущий отчетный период сверх норматива утил</w:t>
            </w:r>
            <w:r>
              <w:t xml:space="preserve">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82" w:tooltip="&lt;15&gt; Количество отходов от использования товаров, в том числе упаковки как готового товара (подраздел 1 раздела II настоящего приложения), и количество отходов от использования товаров в части упаковки товаров (подраздел 2 раздела II настоящего приложения), ут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134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Итоговое колич</w:t>
            </w:r>
            <w:r>
              <w:lastRenderedPageBreak/>
              <w:t xml:space="preserve">ество отходов от использования товаров (в части упаковки товаров), утилизированных (переданных на утилизацию), засчитываемых в отчетный период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500" w:tooltip="&lt;28&gt; Итоговое количество отходов от использования товаров (в части упаковки товаров)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 (в части упаков">
              <w:r>
                <w:rPr>
                  <w:color w:val="0000FF"/>
                </w:rPr>
                <w:t>&lt;28&gt;</w:t>
              </w:r>
            </w:hyperlink>
            <w:r>
              <w:t xml:space="preserve"> (</w:t>
            </w:r>
            <w:hyperlink w:anchor="P216" w:tooltip="16">
              <w:r>
                <w:rPr>
                  <w:color w:val="0000FF"/>
                </w:rPr>
                <w:t>гр. 16</w:t>
              </w:r>
            </w:hyperlink>
            <w:r>
              <w:t xml:space="preserve"> + </w:t>
            </w:r>
            <w:hyperlink w:anchor="P217" w:tooltip="17">
              <w:r>
                <w:rPr>
                  <w:color w:val="0000FF"/>
                </w:rPr>
                <w:t>гр. 17</w:t>
              </w:r>
            </w:hyperlink>
            <w:r>
              <w:t>)</w:t>
            </w:r>
          </w:p>
        </w:tc>
        <w:tc>
          <w:tcPr>
            <w:tcW w:w="107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Количество отходо</w:t>
            </w:r>
            <w:r>
              <w:lastRenderedPageBreak/>
              <w:t xml:space="preserve">в от использования товаров (в части упаковки товаров), утилизированных (переданных на утилизацию) в отчетный период сверх норматива утилизации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501" w:tooltip="&lt;29&gt; Количество отходов от использования товаров (в части упаковки товаров)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ания товаров (в">
              <w:r>
                <w:rPr>
                  <w:color w:val="0000FF"/>
                </w:rPr>
                <w:t>&lt;29&gt;</w:t>
              </w:r>
            </w:hyperlink>
            <w:r>
              <w:t xml:space="preserve"> (</w:t>
            </w:r>
            <w:hyperlink w:anchor="P218" w:tooltip="18">
              <w:r>
                <w:rPr>
                  <w:color w:val="0000FF"/>
                </w:rPr>
                <w:t>гр. 18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w:anchor="P215" w:tooltip="15">
              <w:r>
                <w:rPr>
                  <w:color w:val="0000FF"/>
                </w:rPr>
                <w:t>гр. 15</w:t>
              </w:r>
            </w:hyperlink>
            <w:r>
              <w:t>)</w:t>
            </w:r>
          </w:p>
        </w:tc>
        <w:tc>
          <w:tcPr>
            <w:tcW w:w="1020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 xml:space="preserve">отходов от использования товаров (в части упаковки товаров), за которые необходимо уплатить экологический сбор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502" w:tooltip="&lt;30&gt; Количество отходов от использования товаров (в части упаковки товаров), за которые необходимо уплатить экологический сбор, определяется путем вычитания из итогового количества упаковки товаров, подлежащей утилизации в отчетный период, итогового количества">
              <w:r>
                <w:rPr>
                  <w:color w:val="0000FF"/>
                </w:rPr>
                <w:t>&lt;30&gt;</w:t>
              </w:r>
            </w:hyperlink>
            <w:r>
              <w:t xml:space="preserve"> (</w:t>
            </w:r>
            <w:hyperlink w:anchor="P215" w:tooltip="15">
              <w:r>
                <w:rPr>
                  <w:color w:val="0000FF"/>
                </w:rPr>
                <w:t>гр. 15</w:t>
              </w:r>
            </w:hyperlink>
            <w:r>
              <w:t xml:space="preserve"> - </w:t>
            </w:r>
            <w:hyperlink w:anchor="P218" w:tooltip="18">
              <w:r>
                <w:rPr>
                  <w:color w:val="0000FF"/>
                </w:rPr>
                <w:t>гр. 18</w:t>
              </w:r>
            </w:hyperlink>
            <w:r>
              <w:t>)</w:t>
            </w:r>
          </w:p>
        </w:tc>
        <w:tc>
          <w:tcPr>
            <w:tcW w:w="73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Сведения о докум</w:t>
            </w:r>
            <w:r>
              <w:lastRenderedPageBreak/>
              <w:t xml:space="preserve">ентах, подтверждающих утилизацию (передачу отходов на утилизацию) </w:t>
            </w:r>
            <w:hyperlink w:anchor="P486" w:tooltip="&lt;19&gt; Приводятся следующие сведения: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567" w:type="dxa"/>
            <w:vMerge w:val="restart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 xml:space="preserve">Примечание </w:t>
            </w:r>
            <w:hyperlink w:anchor="P492" w:tooltip="&lt;20&gt; Заполняется в обязательном порядке в случае, если норматив утилизации выполняется за счет утилизации любых отходов от использования товаров (включая отходы от использования упаковки товаров), входящих в одну или несколько групп товаров, групп упаковки тов">
              <w:r>
                <w:rPr>
                  <w:color w:val="0000FF"/>
                </w:rPr>
                <w:t>&lt;20&gt;</w:t>
              </w:r>
            </w:hyperlink>
          </w:p>
        </w:tc>
      </w:tr>
      <w:tr w:rsidR="00E1162D"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FD444D">
            <w:pPr>
              <w:pStyle w:val="ConsPlusNormal0"/>
              <w:jc w:val="center"/>
            </w:pPr>
            <w:r>
              <w:t xml:space="preserve">количество упаковки товаров, произведенной из вторичного сырья, в отношении которого возникает обязанность обеспечивать </w:t>
            </w:r>
            <w:r>
              <w:lastRenderedPageBreak/>
              <w:t xml:space="preserve">выполнение нормативов утилизации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97" w:tooltip="&lt;25&gt; Заполняется в отношении упаковки товаров, при производстве которой использовалось вторичное сырье.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817" w:type="dxa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доля вторичного сырья, используемого при производстве упаковки (в относительн</w:t>
            </w:r>
            <w:r>
              <w:t xml:space="preserve">ых единицах)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97" w:tooltip="&lt;25&gt; Заполняется в отношении упаковки товаров, при производстве которой использовалось вторичное сырье.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673" w:type="dxa"/>
          </w:tcPr>
          <w:p w:rsidR="00E1162D" w:rsidRDefault="00FD444D">
            <w:pPr>
              <w:pStyle w:val="ConsPlusNormal0"/>
              <w:jc w:val="center"/>
            </w:pPr>
            <w:r>
              <w:t xml:space="preserve">понижающий коэффициент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78" w:tooltip="&lt;11&gt; Понижающий коэффициент рассчитывается как разница между единицей и долей вторичного сырья, использованного при производстве упаковки (выраженной в относительных единицах).">
              <w:r>
                <w:rPr>
                  <w:color w:val="0000FF"/>
                </w:rPr>
                <w:t>&lt;11&gt;</w:t>
              </w:r>
            </w:hyperlink>
            <w:r>
              <w:t xml:space="preserve">, </w:t>
            </w:r>
            <w:hyperlink w:anchor="P497" w:tooltip="&lt;25&gt; Заполняется в отношении упаковки товаров, при производстве которой использовалось вторичное сырье.">
              <w:r>
                <w:rPr>
                  <w:color w:val="0000FF"/>
                </w:rPr>
                <w:t>&lt;25&gt;</w:t>
              </w:r>
            </w:hyperlink>
            <w:r>
              <w:t xml:space="preserve"> (1 - </w:t>
            </w:r>
            <w:hyperlink w:anchor="P212" w:tooltip="12">
              <w:r>
                <w:rPr>
                  <w:color w:val="0000FF"/>
                </w:rPr>
                <w:t>гр. 12</w:t>
              </w:r>
            </w:hyperlink>
            <w:r>
              <w:t>)</w:t>
            </w:r>
          </w:p>
        </w:tc>
        <w:tc>
          <w:tcPr>
            <w:tcW w:w="1279" w:type="dxa"/>
            <w:gridSpan w:val="2"/>
          </w:tcPr>
          <w:p w:rsidR="00E1162D" w:rsidRDefault="00FD444D">
            <w:pPr>
              <w:pStyle w:val="ConsPlusNormal0"/>
              <w:jc w:val="center"/>
            </w:pPr>
            <w:r>
              <w:t>количество упаковки товаров, произведенной из вторичного сырья, подлежащей утилизации в отчетный период</w:t>
            </w:r>
            <w:r>
              <w:t>, с учетом понижающего коэфф</w:t>
            </w:r>
            <w:r>
              <w:lastRenderedPageBreak/>
              <w:t xml:space="preserve">ициента </w:t>
            </w:r>
            <w:hyperlink w:anchor="P473" w:tooltip="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">
              <w:r>
                <w:rPr>
                  <w:color w:val="0000FF"/>
                </w:rPr>
                <w:t>&lt;6&gt;</w:t>
              </w:r>
            </w:hyperlink>
            <w:r>
              <w:t xml:space="preserve">, </w:t>
            </w:r>
            <w:hyperlink w:anchor="P474" w:tooltip="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ичества тов">
              <w:r>
                <w:rPr>
                  <w:color w:val="0000FF"/>
                </w:rPr>
                <w:t>&lt;7&gt;</w:t>
              </w:r>
            </w:hyperlink>
            <w:r>
              <w:t xml:space="preserve">, </w:t>
            </w:r>
            <w:hyperlink w:anchor="P497" w:tooltip="&lt;25&gt; Заполняется в отношении упаковки товаров, при производстве которой использовалось вторичное сырье.">
              <w:r>
                <w:rPr>
                  <w:color w:val="0000FF"/>
                </w:rPr>
                <w:t>&lt;25&gt;</w:t>
              </w:r>
            </w:hyperlink>
            <w:r>
              <w:t xml:space="preserve">, </w:t>
            </w:r>
            <w:hyperlink w:anchor="P498" w:tooltip="&lt;26&gt; Количество упаковки товаров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товаров, произведенной из вторичного сырья, выпущенной в обращение ">
              <w:r>
                <w:rPr>
                  <w:color w:val="0000FF"/>
                </w:rPr>
                <w:t>&lt;26&gt;</w:t>
              </w:r>
            </w:hyperlink>
            <w:r>
              <w:t xml:space="preserve"> (</w:t>
            </w:r>
            <w:hyperlink w:anchor="P209" w:tooltip="9">
              <w:r>
                <w:rPr>
                  <w:color w:val="0000FF"/>
                </w:rPr>
                <w:t>гр. 9</w:t>
              </w:r>
            </w:hyperlink>
            <w:r>
              <w:t xml:space="preserve"> x </w:t>
            </w:r>
            <w:hyperlink w:anchor="P211" w:tooltip="11">
              <w:r>
                <w:rPr>
                  <w:color w:val="0000FF"/>
                </w:rPr>
                <w:t>гр. 11</w:t>
              </w:r>
            </w:hyperlink>
            <w:r>
              <w:t xml:space="preserve"> x </w:t>
            </w:r>
            <w:hyperlink w:anchor="P213" w:tooltip="13">
              <w:r>
                <w:rPr>
                  <w:color w:val="0000FF"/>
                </w:rPr>
                <w:t>гр. 13</w:t>
              </w:r>
            </w:hyperlink>
            <w:r>
              <w:t>)</w:t>
            </w: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  <w:tc>
          <w:tcPr>
            <w:tcW w:w="0" w:type="auto"/>
            <w:vMerge/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346" w:type="dxa"/>
          </w:tcPr>
          <w:p w:rsidR="00E1162D" w:rsidRDefault="00FD444D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567" w:type="dxa"/>
          </w:tcPr>
          <w:p w:rsidR="00E1162D" w:rsidRDefault="00FD44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E1162D" w:rsidRDefault="00FD44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</w:tcPr>
          <w:p w:rsidR="00E1162D" w:rsidRDefault="00FD44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45" w:type="dxa"/>
            <w:gridSpan w:val="2"/>
          </w:tcPr>
          <w:p w:rsidR="00E1162D" w:rsidRDefault="00FD44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1" w:type="dxa"/>
          </w:tcPr>
          <w:p w:rsidR="00E1162D" w:rsidRDefault="00FD44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82" w:type="dxa"/>
          </w:tcPr>
          <w:p w:rsidR="00E1162D" w:rsidRDefault="00FD444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62D" w:rsidRDefault="00FD444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8" w:type="dxa"/>
          </w:tcPr>
          <w:p w:rsidR="00E1162D" w:rsidRDefault="00FD444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83" w:type="dxa"/>
          </w:tcPr>
          <w:p w:rsidR="00E1162D" w:rsidRDefault="00FD44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E1162D" w:rsidRDefault="00FD444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17" w:type="dxa"/>
          </w:tcPr>
          <w:p w:rsidR="00E1162D" w:rsidRDefault="00FD444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73" w:type="dxa"/>
          </w:tcPr>
          <w:p w:rsidR="00E1162D" w:rsidRDefault="00FD444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279" w:type="dxa"/>
            <w:gridSpan w:val="2"/>
          </w:tcPr>
          <w:p w:rsidR="00E1162D" w:rsidRDefault="00FD444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83" w:type="dxa"/>
          </w:tcPr>
          <w:p w:rsidR="00E1162D" w:rsidRDefault="00FD444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17" w:type="dxa"/>
          </w:tcPr>
          <w:p w:rsidR="00E1162D" w:rsidRDefault="00FD444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E1162D" w:rsidRDefault="00FD444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E1162D" w:rsidRDefault="00FD444D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E1162D" w:rsidRDefault="00FD444D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1162D" w:rsidRDefault="00FD444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E1162D" w:rsidRDefault="00FD444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E1162D" w:rsidRDefault="00FD444D">
            <w:pPr>
              <w:pStyle w:val="ConsPlusNormal0"/>
              <w:jc w:val="center"/>
            </w:pPr>
            <w:r>
              <w:t>22</w:t>
            </w:r>
          </w:p>
        </w:tc>
      </w:tr>
      <w:tr w:rsidR="00E1162D">
        <w:tc>
          <w:tcPr>
            <w:tcW w:w="18194" w:type="dxa"/>
            <w:gridSpan w:val="25"/>
          </w:tcPr>
          <w:p w:rsidR="00E1162D" w:rsidRDefault="00FD444D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E1162D">
        <w:tc>
          <w:tcPr>
            <w:tcW w:w="346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FD444D">
            <w:pPr>
              <w:pStyle w:val="ConsPlusNormal0"/>
            </w:pPr>
            <w:r>
              <w:t>...</w:t>
            </w:r>
          </w:p>
        </w:tc>
        <w:tc>
          <w:tcPr>
            <w:tcW w:w="593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845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2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8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2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3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346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93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845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2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8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2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3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18194" w:type="dxa"/>
            <w:gridSpan w:val="25"/>
          </w:tcPr>
          <w:p w:rsidR="00E1162D" w:rsidRDefault="00FD444D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E1162D">
        <w:tc>
          <w:tcPr>
            <w:tcW w:w="346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FD444D">
            <w:pPr>
              <w:pStyle w:val="ConsPlusNormal0"/>
            </w:pPr>
            <w:r>
              <w:t>...</w:t>
            </w:r>
          </w:p>
        </w:tc>
        <w:tc>
          <w:tcPr>
            <w:tcW w:w="593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845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2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8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2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3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346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93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845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9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2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361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28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8" w:type="dxa"/>
            <w:gridSpan w:val="2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683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81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7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1020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737" w:type="dxa"/>
          </w:tcPr>
          <w:p w:rsidR="00E1162D" w:rsidRDefault="00E1162D">
            <w:pPr>
              <w:pStyle w:val="ConsPlusNormal0"/>
            </w:pPr>
          </w:p>
        </w:tc>
        <w:tc>
          <w:tcPr>
            <w:tcW w:w="567" w:type="dxa"/>
          </w:tcPr>
          <w:p w:rsidR="00E1162D" w:rsidRDefault="00E1162D">
            <w:pPr>
              <w:pStyle w:val="ConsPlusNormal0"/>
            </w:pPr>
          </w:p>
        </w:tc>
      </w:tr>
    </w:tbl>
    <w:p w:rsidR="00E1162D" w:rsidRDefault="00E1162D">
      <w:pPr>
        <w:pStyle w:val="ConsPlusNormal0"/>
        <w:sectPr w:rsidR="00E1162D">
          <w:headerReference w:type="default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1162D" w:rsidRDefault="00E1162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1273"/>
        <w:gridCol w:w="340"/>
        <w:gridCol w:w="1417"/>
        <w:gridCol w:w="340"/>
        <w:gridCol w:w="1134"/>
      </w:tblGrid>
      <w:tr w:rsidR="00E1162D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FD444D">
            <w:pPr>
              <w:pStyle w:val="ConsPlusNormal0"/>
            </w:pPr>
            <w:r>
              <w:t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лица, либо индивидуальный предприниматель)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2D" w:rsidRDefault="00E1162D">
            <w:pPr>
              <w:pStyle w:val="ConsPlusNormal0"/>
            </w:pPr>
          </w:p>
        </w:tc>
      </w:tr>
      <w:tr w:rsidR="00E1162D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62D" w:rsidRDefault="00FD444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62D" w:rsidRDefault="00FD444D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62D" w:rsidRDefault="00FD444D">
            <w:pPr>
              <w:pStyle w:val="ConsPlusNormal0"/>
              <w:jc w:val="center"/>
            </w:pPr>
            <w:r>
              <w:t>(дата)</w:t>
            </w:r>
          </w:p>
        </w:tc>
      </w:tr>
      <w:tr w:rsidR="00E1162D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FD444D">
            <w:pPr>
              <w:pStyle w:val="ConsPlusNormal0"/>
            </w:pPr>
            <w:r>
              <w:t>М.П. (при наличии)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162D" w:rsidRDefault="00E1162D">
            <w:pPr>
              <w:pStyle w:val="ConsPlusNormal0"/>
            </w:pPr>
          </w:p>
        </w:tc>
      </w:tr>
    </w:tbl>
    <w:p w:rsidR="00E1162D" w:rsidRDefault="00E1162D">
      <w:pPr>
        <w:pStyle w:val="ConsPlusNormal0"/>
        <w:jc w:val="both"/>
      </w:pPr>
    </w:p>
    <w:p w:rsidR="00E1162D" w:rsidRDefault="00FD444D">
      <w:pPr>
        <w:pStyle w:val="ConsPlusNormal0"/>
        <w:ind w:firstLine="540"/>
        <w:jc w:val="both"/>
      </w:pPr>
      <w:r>
        <w:t>--------------------------------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1" w:name="P468"/>
      <w:bookmarkEnd w:id="31"/>
      <w:r>
        <w:t>&lt;1&gt;</w:t>
      </w:r>
      <w:r>
        <w:t xml:space="preserve"> Заполняется при представлении отчетности российским экологическим оператором, ассоциацией в отношении каждого производителя товаров или импортера товаров, с которым был заключен договор в соответствии с </w:t>
      </w:r>
      <w:hyperlink r:id="rId3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</w:t>
        </w:r>
        <w:r>
          <w:rPr>
            <w:color w:val="0000FF"/>
          </w:rPr>
          <w:t>атьи 24.2</w:t>
        </w:r>
      </w:hyperlink>
      <w:r>
        <w:t xml:space="preserve"> Федерального закона "Об отходах производства и потребления".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2" w:name="P469"/>
      <w:bookmarkEnd w:id="32"/>
      <w:r>
        <w:t>&lt;2&gt; В позициях отчетности, не подлежащих заполнению, ставится прочерк. Отчетность на бумажном носителе подписывается руководителем юридического лица или лицом, уполномоченным на осущест</w:t>
      </w:r>
      <w:r>
        <w:t>вление действий от имени юридического лица, либо индивидуальным предпринимателем, прошивается, нумеруется постранично и скрепляется печатью (при наличии). Производители товаров, импортеры товаров (в том числе товаров в упаковке), не являющихся готовыми к у</w:t>
      </w:r>
      <w:r>
        <w:t>потреблению изделиями (реализуемых в качестве комплектующих, либо сырья (материалов) для производства других товаров, включенных в перечень товаров, упаковки товаров, подлежащих утилизации после утраты ими потребительских свойств, утвержденный в соответств</w:t>
      </w:r>
      <w:r>
        <w:t xml:space="preserve">ии с </w:t>
      </w:r>
      <w:hyperlink r:id="rId4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 потребления" (далее - перечень), или для производства колесных транспортных средств (шасси) и прицепов к ним, в отношении которых уплачивается</w:t>
      </w:r>
      <w:r>
        <w:t xml:space="preserve"> утилизационный сбор, перечень видов и категорий которых утвержден в соответствии с </w:t>
      </w:r>
      <w:hyperlink r:id="rId4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потребления"), отчетность представляют только в отношении уп</w:t>
      </w:r>
      <w:r>
        <w:t>аковки товаров.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3" w:name="P470"/>
      <w:bookmarkEnd w:id="33"/>
      <w:r>
        <w:t>&lt;3&gt; Заполняется для товаров, выпущенных в обращение на территории Российской Федерации, в том числе для упаковки как готового товара. Информация об упаковке товаров в данную таблицу не включается. Таблица заполняется следующим образом: внач</w:t>
      </w:r>
      <w:r>
        <w:t>але указывается номер и наименование группы товаров в соответствии с разделом I перечня, а затем построчно указываются товарные позиции по товарам из раздела I перечня. В таблицу включаются только те группы товаров и товары, в отношении которых у производи</w:t>
      </w:r>
      <w:r>
        <w:t xml:space="preserve">теля товаров, импортера товаров возникает обязанность по обеспечению утилизации отходов от использования товаров. Наименования товаров, в том числе упаковки как готового товара, подлежащих утилизации, приводятся по Общероссийскому </w:t>
      </w:r>
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в соответствии с первой графой раздела I перечня.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4" w:name="P471"/>
      <w:bookmarkEnd w:id="34"/>
      <w:r>
        <w:t>&lt;4&gt; Заполняется для товаров, в том числе упаковки как готового товара, выпущенных в обращение н</w:t>
      </w:r>
      <w:r>
        <w:t>а территории Российской Федерации их производителями.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5" w:name="P472"/>
      <w:bookmarkEnd w:id="35"/>
      <w:r>
        <w:lastRenderedPageBreak/>
        <w:t xml:space="preserve">&lt;5&gt; Наименование и код по каждому товару указываются по единой Товарной </w:t>
      </w:r>
      <w:hyperlink r:id="rId4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деятельности Евразийского экономического союза (ТН ВЭД ЕАЭС), утвержденной решением Совета Евразийской экономической комиссии от 14 сентября 2021 г. N 80. Заполняется для товаров, в том числе для упаковки как гото</w:t>
      </w:r>
      <w:r>
        <w:t xml:space="preserve">вого товара, выпущенных в обращение на территории Российской Федерации их импортерами. Юридическое лицо или индивидуальный предприниматель, являющиеся одновременно производителями товаров и импортерами товаров, заполняют </w:t>
      </w:r>
      <w:hyperlink w:anchor="P203" w:tooltip="3">
        <w:r>
          <w:rPr>
            <w:color w:val="0000FF"/>
          </w:rPr>
          <w:t>г</w:t>
        </w:r>
        <w:r>
          <w:rPr>
            <w:color w:val="0000FF"/>
          </w:rPr>
          <w:t>рафы 3</w:t>
        </w:r>
      </w:hyperlink>
      <w:r>
        <w:t xml:space="preserve"> - </w:t>
      </w:r>
      <w:hyperlink w:anchor="P205" w:tooltip="5">
        <w:r>
          <w:rPr>
            <w:color w:val="0000FF"/>
          </w:rPr>
          <w:t>5</w:t>
        </w:r>
      </w:hyperlink>
      <w:r>
        <w:t>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6" w:name="P473"/>
      <w:bookmarkEnd w:id="36"/>
      <w:r>
        <w:t>&lt;6&gt; 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</w:t>
      </w:r>
      <w:r>
        <w:t>ления.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7" w:name="P474"/>
      <w:bookmarkEnd w:id="37"/>
      <w:r>
        <w:t>&lt;7&gt; Заполняется на основе информации, полученной в установленном порядке при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товаров. Для указания кол</w:t>
      </w:r>
      <w:r>
        <w:t>ичества товаров, упаковки товаров, выпущенных в обращение на территории Российской Федерации, используется информация, содержащаяся в декларации о количестве выпущенных в обращение на территории Российской Федерации товаров, упаковки товаров за год, предше</w:t>
      </w:r>
      <w:r>
        <w:t>ствующий отчетному периоду.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8" w:name="P475"/>
      <w:bookmarkEnd w:id="38"/>
      <w:r>
        <w:t>&lt;8&gt; Указывается количество товаров, в том числе упаковки как готового товара, выпущенных в обращение на территории Российской Федерации в году, предшествующем отчетному, в отношении которых возникает обязанность обеспечивать вып</w:t>
      </w:r>
      <w:r>
        <w:t xml:space="preserve">олнение нормативов утилизации, на основе информации, содержащейся в декларации о количестве выпущенных в обращение на территории Российской Федерации товаров, упаковки товаров. В отношении упаковки как готового товара в данной графе указывается количество </w:t>
      </w:r>
      <w:r>
        <w:t>упаковки, при производстве которой не использовалось вторичное сырье.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39" w:name="P476"/>
      <w:bookmarkEnd w:id="39"/>
      <w:r>
        <w:t xml:space="preserve">&lt;9&gt; Количество товаров, в том числе упаковки как готового товара, подлежащих утилизации в отчетный период, при производстве которых не использовалось вторичное сырье, определяется путем </w:t>
      </w:r>
      <w:r>
        <w:t>умножения количества товаров (за исключением упаковки как готового товара, произведенной из вторичного сырья), выпущенных в обращение на территории Российской Федерации за год, предшествующий отчетному периоду, на норматив утилизации, установленный на отче</w:t>
      </w:r>
      <w:r>
        <w:t>тный период, выраженный в относительных единицах.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0" w:name="P477"/>
      <w:bookmarkEnd w:id="40"/>
      <w:r>
        <w:t>&lt;10&gt; Заполняется для упаковки как готового товара, при производстве которой использовалось вторичное сырье.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1" w:name="P478"/>
      <w:bookmarkEnd w:id="41"/>
      <w:r>
        <w:t>&lt;11&gt;</w:t>
      </w:r>
      <w:r>
        <w:t xml:space="preserve"> Понижающий коэффициент рассчитывается как разница между единицей и долей вторичного сырья, использованного при производстве упаковки (выраженной в относительных единицах).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2" w:name="P479"/>
      <w:bookmarkEnd w:id="42"/>
      <w:r>
        <w:t>&lt;12&gt; Количество упаковки как готового товара, произведенной из вторичного сырья, по</w:t>
      </w:r>
      <w:r>
        <w:t>длежащей утилизации в отчетный период с учетом понижающего коэффициента, определяется путем умножения количества упаковки как готового товара, произведенной из вторичного сырья, выпущенной в обращение на территории Российской Федерации в году, предшествующ</w:t>
      </w:r>
      <w:r>
        <w:t>ем отчетному периоду, на норматив утилизации, установленный на отчетный период, выраженный в относительных единицах, и на понижающий коэффициент.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3" w:name="P480"/>
      <w:bookmarkEnd w:id="43"/>
      <w:r>
        <w:lastRenderedPageBreak/>
        <w:t>&lt;13&gt; Итоговое количество товаров, в том числе упаковки как готового товара, подлежащих утилизации в отчетный п</w:t>
      </w:r>
      <w:r>
        <w:t>ериод, определяется путем суммирования количества товаров, в том числе упаковки как готового товара, при производстве которых не использовалось вторичное сырье, подлежащих утилизации в отчетный период, и количества упаковки как готового товара, при произво</w:t>
      </w:r>
      <w:r>
        <w:t>дстве которой использовалось вторичное сырье, подлежащей утилизации в отчетный период.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4" w:name="P481"/>
      <w:bookmarkEnd w:id="44"/>
      <w:r>
        <w:t>&lt;14&gt; Количество отходов от использования товаров, в том числе упаковки как готового товара (</w:t>
      </w:r>
      <w:hyperlink w:anchor="P178" w:tooltip="    1. Информация о товарах (без упаковки товаров) &lt;3&gt;">
        <w:r>
          <w:rPr>
            <w:color w:val="0000FF"/>
          </w:rPr>
          <w:t>подраздел 1 раздела II</w:t>
        </w:r>
      </w:hyperlink>
      <w:r>
        <w:t xml:space="preserve"> настоящего приложения), и количество отходов от использования товаров в части упаковки товаров (</w:t>
      </w:r>
      <w:hyperlink w:anchor="P310" w:tooltip="    2. Информация об упаковке товаров &lt;21&gt;">
        <w:r>
          <w:rPr>
            <w:color w:val="0000FF"/>
          </w:rPr>
          <w:t>подраздел 2 раздела II</w:t>
        </w:r>
      </w:hyperlink>
      <w:r>
        <w:t xml:space="preserve"> настоящего приложения), утили</w:t>
      </w:r>
      <w:r>
        <w:t>зированных и (или) переданных на утилизацию в отчетный период, указывается на основании сведений, содержащихся в актах утилизации отходов.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5" w:name="P482"/>
      <w:bookmarkEnd w:id="45"/>
      <w:r>
        <w:t>&lt;15&gt; Количество отходов от использования товаров, в том числе упаковки как готового товара (</w:t>
      </w:r>
      <w:hyperlink w:anchor="P178" w:tooltip="    1. Информация о товарах (без упаковки товаров) &lt;3&gt;">
        <w:r>
          <w:rPr>
            <w:color w:val="0000FF"/>
          </w:rPr>
          <w:t>подраздел 1 раздела II</w:t>
        </w:r>
      </w:hyperlink>
      <w:r>
        <w:t xml:space="preserve"> настоящего приложения), и количество отходов от использования товаров в части упаковки товаров (</w:t>
      </w:r>
      <w:hyperlink w:anchor="P310" w:tooltip="    2. Информация об упаковке товаров &lt;21&gt;">
        <w:r>
          <w:rPr>
            <w:color w:val="0000FF"/>
          </w:rPr>
          <w:t>подраздел 2 раздела II</w:t>
        </w:r>
      </w:hyperlink>
      <w:r>
        <w:t xml:space="preserve"> настоящего приложения), утилизированных и (или) переданных на утилизацию в предыдущий отчетный период сверх норматива утилизации, указывается на основании сведений, содержащихся в отчетности за предыдущий отчет</w:t>
      </w:r>
      <w:r>
        <w:t>ный период.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6" w:name="P483"/>
      <w:bookmarkEnd w:id="46"/>
      <w:r>
        <w:t>&lt;16&gt; Итоговое количество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определяется путем суммирования количества отходов от исполь</w:t>
      </w:r>
      <w:r>
        <w:t>зования товаров, в том числе упаковки как готового товара, утилизированных и (или) переданных на утилизацию в отчетный период, и количества отходов от использования товаров, в том числе упаковки как готового товара, утилизированных и (или) переданных на ут</w:t>
      </w:r>
      <w:r>
        <w:t>илизацию в предыдущий отчетный период сверх норматива утилизации.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7" w:name="P484"/>
      <w:bookmarkEnd w:id="47"/>
      <w:r>
        <w:t>&lt;17&gt; Количество отходов от использования товаров, в том числе упаковки как готового товара, утилизированных и (или) переданных на утилизацию в отчетный период сверх норматива утилизации, опр</w:t>
      </w:r>
      <w:r>
        <w:t>еделяется путем вычитания из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засчитываемых в отчетный период, итогового количества товаров, в том числе упако</w:t>
      </w:r>
      <w:r>
        <w:t>вки как готового товара, подлежащих утилизации в отчетный период.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8" w:name="P485"/>
      <w:bookmarkEnd w:id="48"/>
      <w:r>
        <w:t>&lt;18&gt; Количество отходов от использования товаров, в том числе упаковки как готового товара, за которые необходимо уплатить экологический сбор, определяется путем вычитания из итогового колич</w:t>
      </w:r>
      <w:r>
        <w:t>ества товаров, в том числе упаковки как готового товара, подлежащих утилизации в отчетный период, итогового количества отходов от использования товаров, в том числе упаковки как готового товара, утилизированных и (или) переданных на утилизацию, засчитываем</w:t>
      </w:r>
      <w:r>
        <w:t>ых в отчетный период. Заполняется в случае невыполнения нормативов утилизации.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49" w:name="P486"/>
      <w:bookmarkEnd w:id="49"/>
      <w:r>
        <w:t>&lt;19&gt; Приводятся следующие сведения: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при организации собственных объектов по утилизации отходов от использования товаров, включая отходы от использования упаковки товаров, непоср</w:t>
      </w:r>
      <w:r>
        <w:t>едственно самими производителями товаров, импортерами товаров - реквизиты (номер, дата) актов утилизации отходов;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lastRenderedPageBreak/>
        <w:t>при заключении договоров с операторами по обращению с твердыми коммунальными отходами, региональными операторами по обращению с твердыми комму</w:t>
      </w:r>
      <w:r>
        <w:t>нальными отходами, индивидуальными предпринимателями, юридическими лицами, осуществляющими утилизацию отходов от использования товаров (за исключением твердых коммунальных отходов) (далее - лица, осуществляющие утилизацию отходов), - наименование лица, осу</w:t>
      </w:r>
      <w:r>
        <w:t>ществляющего утилизацию отходов, реквизиты (номер, дата) договоров и актов утилизации отходов;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при создании или вступлении в ассоциацию - наименование ассоциации и реквизиты (номер, дата) договора с ней (в случае, если отчетность предоставляется не от имен</w:t>
      </w:r>
      <w:r>
        <w:t>и ассоциации), наименование лица, осуществляющего утилизацию отходов, реквизиты (номер, дата) договоров с лицами, осуществляющими утилизацию отходов, и реквизиты (номер, дата) актов утилизации отходов;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при заключении договора с российским экологическим опе</w:t>
      </w:r>
      <w:r>
        <w:t>ратором - наименование лица, осуществляющего утилизацию отходов, реквизиты (номер, дата) договоров с лицами, осуществляющими утилизацию отходов, и реквизиты (номер, дата) актов утилизации отходов.</w:t>
      </w:r>
    </w:p>
    <w:p w:rsidR="00E1162D" w:rsidRDefault="00FD444D">
      <w:pPr>
        <w:pStyle w:val="ConsPlusNormal0"/>
        <w:spacing w:before="240"/>
        <w:ind w:firstLine="540"/>
        <w:jc w:val="both"/>
      </w:pPr>
      <w:r>
        <w:t>В случае если в отношении одного и того же наименования тов</w:t>
      </w:r>
      <w:r>
        <w:t>ара, упаковки товара обеспечение выполнения нормативов утилизации осуществлялось производителями товаров, импортерами товаров, ассоциацией, российским экологическим оператором путем заключения договоров с различными лицами, осуществляющими утилизацию отход</w:t>
      </w:r>
      <w:r>
        <w:t>ов, в графе указывается каждое лицо, осуществляющее утилизацию отходов (в виде нескольких строк для одного и того же товара, одной и той же упаковки товара).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0" w:name="P492"/>
      <w:bookmarkEnd w:id="50"/>
      <w:r>
        <w:t>&lt;20&gt; Заполняется в обязательном порядке в случае, если норматив утилизации выполняется за счет ути</w:t>
      </w:r>
      <w:r>
        <w:t>лизации любых отходов от использования товаров (включая отходы от использования упаковки товаров), входящих в одну или несколько групп товаров, групп упаковки товаров в соответствии с перечнем, при условии аналогичного назначения таких товаров, такой упако</w:t>
      </w:r>
      <w:r>
        <w:t xml:space="preserve">вки товаров и (или) аналогичного способа обработки отходов от их использования (далее - взаимозаменяемые товары и упаковка). В графе в свободной форме даются пояснения, позволяющие соотнести товар и упаковку товара, подлежащие утилизации, с утилизируемыми </w:t>
      </w:r>
      <w:r>
        <w:t>взаимозаменяемыми товарами и упаковкой товаров. В иных случаях графа заполняется при необходимости (на усмотрение производителя товара, импортера товара, ассоциации, российского экологического оператора в случае необходимости предоставления разъяснений, до</w:t>
      </w:r>
      <w:r>
        <w:t>полнений и др.).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1" w:name="P493"/>
      <w:bookmarkEnd w:id="51"/>
      <w:r>
        <w:t xml:space="preserve">&lt;21&gt; В таблицу включается информация об упаковке товаров (за исключением упаковки как готового товара). Заполняется в отношении упаковки товаров следующим образом: вначале указывается номер группы упаковки товаров в соответствии с </w:t>
      </w:r>
      <w:hyperlink r:id="rId44" w:tooltip="Распоряжение Правительства РФ от 28.12.2017 N 2970-р (ред. от 14.04.2020) &lt;Об утверждении перечня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разделом II</w:t>
        </w:r>
      </w:hyperlink>
      <w:r>
        <w:t xml:space="preserve"> перечня, а затем построчно указываются позиции по упаковке товаров, материалу, из которого сделана упаковка товаров (для упаковки</w:t>
      </w:r>
      <w:r>
        <w:t xml:space="preserve"> товаров из комбинированных материалов - по основному материалу, по массе в композиции), в соответствии с </w:t>
      </w:r>
      <w:hyperlink r:id="rId45" w:tooltip="Распоряжение Правительства РФ от 28.12.2017 N 2970-р (ред. от 14.04.2020) &lt;Об утверждении перечня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разделом II</w:t>
        </w:r>
      </w:hyperlink>
      <w:r>
        <w:t xml:space="preserve"> перечня. В табл</w:t>
      </w:r>
      <w:r>
        <w:t>ицу включаются только те группы упаковки товаров и упаковка товаров, по которым у производителя товаров, импортера товаров возникает обязанность по обеспечению утилизации отходов от использования товаров.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2" w:name="P494"/>
      <w:bookmarkEnd w:id="52"/>
      <w:r>
        <w:t>&lt;22&gt; Заполняется при наличии возможности у производ</w:t>
      </w:r>
      <w:r>
        <w:t>ителя товаров, импортера товаров идентифицировать упаковку товаров по одной из указанных классификаций.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3" w:name="P495"/>
      <w:bookmarkEnd w:id="53"/>
      <w:r>
        <w:lastRenderedPageBreak/>
        <w:t>&lt;23&gt; Указывается количество упаковки, при производстве которой не использовалось вторичное сырье.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4" w:name="P496"/>
      <w:bookmarkEnd w:id="54"/>
      <w:r>
        <w:t>&lt;24&gt; Количество упаковки товаров (за исключением упако</w:t>
      </w:r>
      <w:r>
        <w:t>вки товаров, произведенной из вторичного сырья), подлежащей утилизации в отчетный период, определяется путем умножения количества упаковки товаров, выпущенной в обращение на территории Российской Федерации в год, предшествующий отчетному периоду, в отношен</w:t>
      </w:r>
      <w:r>
        <w:t>ии которой возникает обязанность обеспечивать выполнение нормативов утилизации, на норматив утилизации, установленный на отчетный период, выраженный в относительных единицах.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5" w:name="P497"/>
      <w:bookmarkEnd w:id="55"/>
      <w:r>
        <w:t>&lt;25&gt; Заполняется в отношении упаковки товаров, при производстве которой использов</w:t>
      </w:r>
      <w:r>
        <w:t>алось вторичное сырье.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6" w:name="P498"/>
      <w:bookmarkEnd w:id="56"/>
      <w:r>
        <w:t>&lt;26&gt; Количество упаковки товаров, произведенной из вторичного сырья, подлежащей утилизации в отчетный период с учетом понижающего коэффициента, определяется путем умножения количества упаковки товаров, произведенной из вторичного сыр</w:t>
      </w:r>
      <w:r>
        <w:t>ья, выпущенной в обращение на территории Российской Федерации в год, предшествующий отчетному периоду, в отношении которой возникает обязанность обеспечивать выполнение нормативов утилизации, на норматив утилизации, установленный на отчетный период, выраже</w:t>
      </w:r>
      <w:r>
        <w:t>нный в относительных единицах, и на понижающий коэффициент.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7" w:name="P499"/>
      <w:bookmarkEnd w:id="57"/>
      <w:r>
        <w:t>&lt;27&gt; Итоговое количество упаковки товаров, подлежащей утилизации в отчетный период, определяется путем суммирования количества упаковки товаров, при производстве которой не использовалось вторично</w:t>
      </w:r>
      <w:r>
        <w:t>е сырье, подлежащей утилизации в отчетный период, и количества упаковки товаров, при производстве которой использовалось вторичное сырье, подлежащей утилизации в отчетный период.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8" w:name="P500"/>
      <w:bookmarkEnd w:id="58"/>
      <w:r>
        <w:t>&lt;28&gt; Итоговое количество отходов от использования товаров (в части упаковки т</w:t>
      </w:r>
      <w:r>
        <w:t xml:space="preserve">оваров), утилизированных и (или) переданных на утилизацию, засчитываемых в отчетный период, определяется путем суммирования количества отходов от использования товаров (в части упаковки товаров), утилизированных и (или) переданных на утилизацию в отчетный </w:t>
      </w:r>
      <w:r>
        <w:t>период, и количества отходов от использования товаров (в части упаковки товаров), утилизированных и (или) переданных на утилизацию в предыдущий отчетный период сверх норматива утилизации.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59" w:name="P501"/>
      <w:bookmarkEnd w:id="59"/>
      <w:r>
        <w:t>&lt;29&gt; Количество отходов от использования товаров (в части упаковки т</w:t>
      </w:r>
      <w:r>
        <w:t xml:space="preserve">оваров), утилизированных и (или) переданных на утилизацию в отчетный период сверх норматива утилизации, определяется путем вычитания из итогового количества отходов от использования товаров (в части упаковки товаров), утилизированных и (или) переданных на </w:t>
      </w:r>
      <w:r>
        <w:t>утилизацию, засчитываемых в отчетный период, итогового количества упаковки товаров, подлежащей утилизации в отчетный период.</w:t>
      </w:r>
    </w:p>
    <w:p w:rsidR="00E1162D" w:rsidRDefault="00FD444D">
      <w:pPr>
        <w:pStyle w:val="ConsPlusNormal0"/>
        <w:spacing w:before="240"/>
        <w:ind w:firstLine="540"/>
        <w:jc w:val="both"/>
      </w:pPr>
      <w:bookmarkStart w:id="60" w:name="P502"/>
      <w:bookmarkEnd w:id="60"/>
      <w:r>
        <w:t>&lt;30&gt; Количество отходов от использования товаров (в части упаковки товаров), за которые необходимо уплатить экологический сбор, опр</w:t>
      </w:r>
      <w:r>
        <w:t>еделяется путем вычитания из итогового количества упаковки товаров, подлежащей утилизации в отчетный период, итогового количества отходов от использования товаров (в части упаковки товаров), утилизированных и (или) переданных на утилизацию, засчитываемых в</w:t>
      </w:r>
      <w:r>
        <w:t xml:space="preserve"> отчетный период. Заполняется в случае невыполнения нормативов утилизации (в части упаковки товаров).</w:t>
      </w: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jc w:val="both"/>
      </w:pPr>
    </w:p>
    <w:p w:rsidR="00E1162D" w:rsidRDefault="00E116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162D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444D">
      <w:r>
        <w:separator/>
      </w:r>
    </w:p>
  </w:endnote>
  <w:endnote w:type="continuationSeparator" w:id="0">
    <w:p w:rsidR="00000000" w:rsidRDefault="00FD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16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162D" w:rsidRDefault="00FD44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162D" w:rsidRDefault="00FD44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162D" w:rsidRDefault="00FD44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1162D" w:rsidRDefault="00FD444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16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162D" w:rsidRDefault="00FD44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162D" w:rsidRDefault="00FD44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162D" w:rsidRDefault="00FD44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1162D" w:rsidRDefault="00FD444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1162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1162D" w:rsidRDefault="00FD44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162D" w:rsidRDefault="00FD44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162D" w:rsidRDefault="00FD44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1162D" w:rsidRDefault="00FD444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1162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1162D" w:rsidRDefault="00FD44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162D" w:rsidRDefault="00FD44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162D" w:rsidRDefault="00FD44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1162D" w:rsidRDefault="00FD444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16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162D" w:rsidRDefault="00FD44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162D" w:rsidRDefault="00FD44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162D" w:rsidRDefault="00FD44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1162D" w:rsidRDefault="00FD444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116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1162D" w:rsidRDefault="00FD44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1162D" w:rsidRDefault="00FD44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1162D" w:rsidRDefault="00FD44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1162D" w:rsidRDefault="00FD444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444D">
      <w:r>
        <w:separator/>
      </w:r>
    </w:p>
  </w:footnote>
  <w:footnote w:type="continuationSeparator" w:id="0">
    <w:p w:rsidR="00000000" w:rsidRDefault="00FD4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116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162D" w:rsidRDefault="00FD44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03.12.2020 N 2010</w:t>
          </w:r>
          <w:r>
            <w:rPr>
              <w:rFonts w:ascii="Tahoma" w:hAnsi="Tahoma" w:cs="Tahoma"/>
              <w:sz w:val="16"/>
              <w:szCs w:val="16"/>
            </w:rPr>
            <w:br/>
            <w:t>(ред. от 26.04.2022)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производит...</w:t>
          </w:r>
        </w:p>
      </w:tc>
      <w:tc>
        <w:tcPr>
          <w:tcW w:w="2300" w:type="pct"/>
          <w:vAlign w:val="center"/>
        </w:tcPr>
        <w:p w:rsidR="00E1162D" w:rsidRDefault="00FD44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162D" w:rsidRDefault="00E1162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116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162D" w:rsidRDefault="00FD44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03.12.2020 N 2010</w:t>
          </w:r>
          <w:r>
            <w:rPr>
              <w:rFonts w:ascii="Tahoma" w:hAnsi="Tahoma" w:cs="Tahoma"/>
              <w:sz w:val="16"/>
              <w:szCs w:val="16"/>
            </w:rPr>
            <w:br/>
            <w:t>(ред. от 26.04.2022)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производит...</w:t>
          </w:r>
        </w:p>
      </w:tc>
      <w:tc>
        <w:tcPr>
          <w:tcW w:w="2300" w:type="pct"/>
          <w:vAlign w:val="center"/>
        </w:tcPr>
        <w:p w:rsidR="00E1162D" w:rsidRDefault="00FD44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162D" w:rsidRDefault="00E1162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1162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1162D" w:rsidRDefault="00FD44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03.12.2020 N 2010</w:t>
          </w:r>
          <w:r>
            <w:rPr>
              <w:rFonts w:ascii="Tahoma" w:hAnsi="Tahoma" w:cs="Tahoma"/>
              <w:sz w:val="16"/>
              <w:szCs w:val="16"/>
            </w:rPr>
            <w:br/>
            <w:t>(ред. от 26.04.2022)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производит...</w:t>
          </w:r>
        </w:p>
      </w:tc>
      <w:tc>
        <w:tcPr>
          <w:tcW w:w="2300" w:type="pct"/>
          <w:vAlign w:val="center"/>
        </w:tcPr>
        <w:p w:rsidR="00E1162D" w:rsidRDefault="00FD44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162D" w:rsidRDefault="00E1162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1162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1162D" w:rsidRDefault="00FD44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03.12.2020 N 2010</w:t>
          </w:r>
          <w:r>
            <w:rPr>
              <w:rFonts w:ascii="Tahoma" w:hAnsi="Tahoma" w:cs="Tahoma"/>
              <w:sz w:val="16"/>
              <w:szCs w:val="16"/>
            </w:rPr>
            <w:br/>
            <w:t>(ред. от 26.04.2022)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</w:t>
          </w:r>
          <w:r>
            <w:rPr>
              <w:rFonts w:ascii="Tahoma" w:hAnsi="Tahoma" w:cs="Tahoma"/>
              <w:sz w:val="16"/>
              <w:szCs w:val="16"/>
            </w:rPr>
            <w:t>дит...</w:t>
          </w:r>
        </w:p>
      </w:tc>
      <w:tc>
        <w:tcPr>
          <w:tcW w:w="2300" w:type="pct"/>
          <w:vAlign w:val="center"/>
        </w:tcPr>
        <w:p w:rsidR="00E1162D" w:rsidRDefault="00FD44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162D" w:rsidRDefault="00E1162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116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162D" w:rsidRDefault="00FD44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03.12.2020 N 2010</w:t>
          </w:r>
          <w:r>
            <w:rPr>
              <w:rFonts w:ascii="Tahoma" w:hAnsi="Tahoma" w:cs="Tahoma"/>
              <w:sz w:val="16"/>
              <w:szCs w:val="16"/>
            </w:rPr>
            <w:br/>
            <w:t>(ред. от 26.04.2022)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производит...</w:t>
          </w:r>
        </w:p>
      </w:tc>
      <w:tc>
        <w:tcPr>
          <w:tcW w:w="2300" w:type="pct"/>
          <w:vAlign w:val="center"/>
        </w:tcPr>
        <w:p w:rsidR="00E1162D" w:rsidRDefault="00FD44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162D" w:rsidRDefault="00E1162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116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1162D" w:rsidRDefault="00FD44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03.12.2020 N 2010</w:t>
          </w:r>
          <w:r>
            <w:rPr>
              <w:rFonts w:ascii="Tahoma" w:hAnsi="Tahoma" w:cs="Tahoma"/>
              <w:sz w:val="16"/>
              <w:szCs w:val="16"/>
            </w:rPr>
            <w:br/>
            <w:t>(ред. от 26.04.2022)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</w:t>
          </w:r>
          <w:r>
            <w:rPr>
              <w:rFonts w:ascii="Tahoma" w:hAnsi="Tahoma" w:cs="Tahoma"/>
              <w:sz w:val="16"/>
              <w:szCs w:val="16"/>
            </w:rPr>
            <w:t>дит...</w:t>
          </w:r>
        </w:p>
      </w:tc>
      <w:tc>
        <w:tcPr>
          <w:tcW w:w="2300" w:type="pct"/>
          <w:vAlign w:val="center"/>
        </w:tcPr>
        <w:p w:rsidR="00E1162D" w:rsidRDefault="00FD44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1162D" w:rsidRDefault="00E11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1162D" w:rsidRDefault="00E116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2D"/>
    <w:rsid w:val="00E1162D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52FDC-CB9E-4C02-9FB4-C04642D9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meserver.domen.ru/cons/cgi/online.cgi?req=doc&amp;base=LAW&amp;n=506308&amp;date=14.07.2025&amp;dst=100769&amp;field=134" TargetMode="External"/><Relationship Id="rId18" Type="http://schemas.openxmlformats.org/officeDocument/2006/relationships/hyperlink" Target="http://nameserver.domen.ru/cons/cgi/online.cgi?req=doc&amp;base=LAW&amp;n=463392&amp;date=14.07.2025&amp;dst=100011&amp;field=134" TargetMode="External"/><Relationship Id="rId26" Type="http://schemas.openxmlformats.org/officeDocument/2006/relationships/footer" Target="footer1.xml"/><Relationship Id="rId39" Type="http://schemas.openxmlformats.org/officeDocument/2006/relationships/hyperlink" Target="http://nameserver.domen.ru/cons/cgi/online.cgi?req=doc&amp;base=LAW&amp;n=495711&amp;date=14.07.2025&amp;dst=736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meserver.domen.ru/cons/cgi/online.cgi?req=doc&amp;base=LAW&amp;n=495711&amp;date=14.07.2025&amp;dst=229&amp;field=134" TargetMode="External"/><Relationship Id="rId34" Type="http://schemas.openxmlformats.org/officeDocument/2006/relationships/hyperlink" Target="http://nameserver.domen.ru/cons/cgi/online.cgi?req=doc&amp;base=LAW&amp;n=506872&amp;date=14.07.2025" TargetMode="External"/><Relationship Id="rId42" Type="http://schemas.openxmlformats.org/officeDocument/2006/relationships/hyperlink" Target="http://nameserver.domen.ru/cons/cgi/online.cgi?req=doc&amp;base=LAW&amp;n=506872&amp;date=14.07.2025" TargetMode="External"/><Relationship Id="rId47" Type="http://schemas.openxmlformats.org/officeDocument/2006/relationships/footer" Target="footer5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nameserver.domen.ru/cons/cgi/online.cgi?req=doc&amp;base=LAW&amp;n=405685&amp;date=14.07.2025&amp;dst=100005&amp;field=134" TargetMode="External"/><Relationship Id="rId17" Type="http://schemas.openxmlformats.org/officeDocument/2006/relationships/hyperlink" Target="http://nameserver.domen.ru/cons/cgi/online.cgi?req=doc&amp;base=LAW&amp;n=495711&amp;date=14.07.2025&amp;dst=736&amp;field=134" TargetMode="External"/><Relationship Id="rId25" Type="http://schemas.openxmlformats.org/officeDocument/2006/relationships/header" Target="header1.xml"/><Relationship Id="rId33" Type="http://schemas.openxmlformats.org/officeDocument/2006/relationships/hyperlink" Target="http://nameserver.domen.ru/cons/cgi/online.cgi?req=doc&amp;base=LAW&amp;n=485367&amp;date=14.07.2025&amp;dst=100487&amp;field=134" TargetMode="External"/><Relationship Id="rId38" Type="http://schemas.openxmlformats.org/officeDocument/2006/relationships/footer" Target="footer4.xml"/><Relationship Id="rId46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http://nameserver.domen.ru/cons/cgi/online.cgi?req=doc&amp;base=LAW&amp;n=495711&amp;date=14.07.2025&amp;dst=559&amp;field=134" TargetMode="External"/><Relationship Id="rId20" Type="http://schemas.openxmlformats.org/officeDocument/2006/relationships/hyperlink" Target="http://nameserver.domen.ru/cons/cgi/online.cgi?req=doc&amp;base=LAW&amp;n=506308&amp;date=14.07.2025&amp;dst=100769&amp;field=134" TargetMode="External"/><Relationship Id="rId29" Type="http://schemas.openxmlformats.org/officeDocument/2006/relationships/hyperlink" Target="http://nameserver.domen.ru/cons/cgi/online.cgi?req=doc&amp;base=LAW&amp;n=506872&amp;date=14.07.2025" TargetMode="External"/><Relationship Id="rId41" Type="http://schemas.openxmlformats.org/officeDocument/2006/relationships/hyperlink" Target="http://nameserver.domen.ru/cons/cgi/online.cgi?req=doc&amp;base=LAW&amp;n=495711&amp;date=14.07.2025&amp;dst=10025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ameserver.domen.ru/cons/cgi/online.cgi?req=doc&amp;base=LAW&amp;n=495711&amp;date=14.07.2025&amp;dst=569&amp;field=134" TargetMode="External"/><Relationship Id="rId24" Type="http://schemas.openxmlformats.org/officeDocument/2006/relationships/hyperlink" Target="http://nameserver.domen.ru/cons/cgi/online.cgi?req=doc&amp;base=LAW&amp;n=149911&amp;date=14.07.2025" TargetMode="External"/><Relationship Id="rId32" Type="http://schemas.openxmlformats.org/officeDocument/2006/relationships/hyperlink" Target="http://nameserver.domen.ru/cons/cgi/online.cgi?req=doc&amp;base=LAW&amp;n=485367&amp;date=14.07.2025&amp;dst=100487&amp;field=134" TargetMode="External"/><Relationship Id="rId37" Type="http://schemas.openxmlformats.org/officeDocument/2006/relationships/header" Target="header4.xml"/><Relationship Id="rId40" Type="http://schemas.openxmlformats.org/officeDocument/2006/relationships/hyperlink" Target="http://nameserver.domen.ru/cons/cgi/online.cgi?req=doc&amp;base=LAW&amp;n=495711&amp;date=14.07.2025&amp;dst=557&amp;field=134" TargetMode="External"/><Relationship Id="rId45" Type="http://schemas.openxmlformats.org/officeDocument/2006/relationships/hyperlink" Target="http://nameserver.domen.ru/cons/cgi/online.cgi?req=doc&amp;base=LAW&amp;n=350557&amp;date=14.07.2025&amp;dst=10150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ameserver.domen.ru/cons/cgi/online.cgi?req=doc&amp;base=LAW&amp;n=416239&amp;date=14.07.2025&amp;dst=100011&amp;field=134" TargetMode="External"/><Relationship Id="rId23" Type="http://schemas.openxmlformats.org/officeDocument/2006/relationships/hyperlink" Target="http://nameserver.domen.ru/cons/cgi/online.cgi?req=doc&amp;base=LAW&amp;n=507776&amp;date=14.07.2025" TargetMode="External"/><Relationship Id="rId28" Type="http://schemas.openxmlformats.org/officeDocument/2006/relationships/footer" Target="footer2.xml"/><Relationship Id="rId36" Type="http://schemas.openxmlformats.org/officeDocument/2006/relationships/footer" Target="footer3.xml"/><Relationship Id="rId49" Type="http://schemas.openxmlformats.org/officeDocument/2006/relationships/footer" Target="footer6.xml"/><Relationship Id="rId10" Type="http://schemas.openxmlformats.org/officeDocument/2006/relationships/hyperlink" Target="http://nameserver.domen.ru/cons/cgi/online.cgi?req=doc&amp;base=LAW&amp;n=506308&amp;date=14.07.2025&amp;dst=100769&amp;field=134" TargetMode="External"/><Relationship Id="rId19" Type="http://schemas.openxmlformats.org/officeDocument/2006/relationships/hyperlink" Target="http://nameserver.domen.ru/cons/cgi/online.cgi?req=doc&amp;base=LAW&amp;n=496567&amp;date=14.07.2025" TargetMode="External"/><Relationship Id="rId31" Type="http://schemas.openxmlformats.org/officeDocument/2006/relationships/hyperlink" Target="http://nameserver.domen.ru/cons/cgi/online.cgi?req=doc&amp;base=LAW&amp;n=507033&amp;date=14.07.2025&amp;dst=100162&amp;field=134" TargetMode="External"/><Relationship Id="rId44" Type="http://schemas.openxmlformats.org/officeDocument/2006/relationships/hyperlink" Target="http://nameserver.domen.ru/cons/cgi/online.cgi?req=doc&amp;base=LAW&amp;n=350557&amp;date=14.07.2025&amp;dst=1015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05685&amp;date=14.07.2025&amp;dst=100005&amp;field=134" TargetMode="External"/><Relationship Id="rId14" Type="http://schemas.openxmlformats.org/officeDocument/2006/relationships/hyperlink" Target="http://nameserver.domen.ru/cons/cgi/online.cgi?req=doc&amp;base=LAW&amp;n=495711&amp;date=14.07.2025&amp;dst=736&amp;field=134" TargetMode="External"/><Relationship Id="rId22" Type="http://schemas.openxmlformats.org/officeDocument/2006/relationships/hyperlink" Target="http://nameserver.domen.ru/cons/cgi/online.cgi?req=doc&amp;base=LAW&amp;n=506195&amp;date=14.07.2025" TargetMode="External"/><Relationship Id="rId27" Type="http://schemas.openxmlformats.org/officeDocument/2006/relationships/header" Target="header2.xml"/><Relationship Id="rId30" Type="http://schemas.openxmlformats.org/officeDocument/2006/relationships/hyperlink" Target="http://nameserver.domen.ru/cons/cgi/online.cgi?req=doc&amp;base=LAW&amp;n=507033&amp;date=14.07.2025&amp;dst=100162&amp;field=134" TargetMode="External"/><Relationship Id="rId35" Type="http://schemas.openxmlformats.org/officeDocument/2006/relationships/header" Target="header3.xml"/><Relationship Id="rId43" Type="http://schemas.openxmlformats.org/officeDocument/2006/relationships/hyperlink" Target="http://nameserver.domen.ru/cons/cgi/online.cgi?req=doc&amp;base=LAW&amp;n=507033&amp;date=14.07.2025&amp;dst=100162&amp;field=134" TargetMode="External"/><Relationship Id="rId48" Type="http://schemas.openxmlformats.org/officeDocument/2006/relationships/header" Target="header6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11118</Words>
  <Characters>63377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03.12.2020 N 2010
(ред. от 26.04.2022)
"Об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товаров"</vt:lpstr>
    </vt:vector>
  </TitlesOfParts>
  <Company>КонсультантПлюс Версия 4024.00.50</Company>
  <LinksUpToDate>false</LinksUpToDate>
  <CharactersWithSpaces>74347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03.12.2020 N 2010
(ред. от 26.04.2022)
"Об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товаров"</dc:title>
  <dc:creator>Паршакова Снежана Игоревна</dc:creator>
  <cp:lastModifiedBy>Паршакова Снежана Игоревна</cp:lastModifiedBy>
  <cp:revision>2</cp:revision>
  <dcterms:created xsi:type="dcterms:W3CDTF">2025-07-14T04:20:00Z</dcterms:created>
  <dcterms:modified xsi:type="dcterms:W3CDTF">2025-07-14T04:20:00Z</dcterms:modified>
</cp:coreProperties>
</file>