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20.11.2012 N 1198</w:t>
              <w:br/>
              <w:t xml:space="preserve">(ред. от 20.11.2018)</w:t>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br/>
              <w:t xml:space="preserve">(вместе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17.08.2022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ноября 2012 г. N 1198</w:t>
      </w:r>
    </w:p>
    <w:p>
      <w:pPr>
        <w:pStyle w:val="2"/>
        <w:jc w:val="center"/>
      </w:pPr>
      <w:r>
        <w:rPr>
          <w:sz w:val="20"/>
        </w:rPr>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ОБЕСПЕЧИВАЮЩЕЙ ПРОЦЕСС ДОСУДЕБНОГО (ВНЕСУДЕБНОГО)</w:t>
      </w:r>
    </w:p>
    <w:p>
      <w:pPr>
        <w:pStyle w:val="2"/>
        <w:jc w:val="center"/>
      </w:pPr>
      <w:r>
        <w:rPr>
          <w:sz w:val="20"/>
        </w:rPr>
        <w:t xml:space="preserve">ОБЖАЛОВАНИЯ РЕШЕНИЙ И ДЕЙСТВИЙ (БЕЗДЕЙСТВИЯ), СОВЕРШЕННЫХ</w:t>
      </w:r>
    </w:p>
    <w:p>
      <w:pPr>
        <w:pStyle w:val="2"/>
        <w:jc w:val="center"/>
      </w:pPr>
      <w:r>
        <w:rPr>
          <w:sz w:val="20"/>
        </w:rPr>
        <w:t xml:space="preserve">ПРИ ПРЕДОСТАВЛЕНИИ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25.12.2013 </w:t>
            </w:r>
            <w:hyperlink w:history="0" r:id="rId7"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N 1241</w:t>
              </w:r>
            </w:hyperlink>
            <w:r>
              <w:rPr>
                <w:sz w:val="20"/>
                <w:color w:val="392c69"/>
              </w:rPr>
              <w:t xml:space="preserve">,</w:t>
            </w:r>
          </w:p>
          <w:p>
            <w:pPr>
              <w:pStyle w:val="0"/>
              <w:jc w:val="center"/>
            </w:pPr>
            <w:r>
              <w:rPr>
                <w:sz w:val="20"/>
                <w:color w:val="392c69"/>
              </w:rPr>
              <w:t xml:space="preserve">от 05.01.2015 </w:t>
            </w:r>
            <w:hyperlink w:history="0" r:id="rId8" w:tooltip="Постановление Правительства РФ от 05.01.2015 N 5 &quot;О внесении изменения в постановление Правительства Российской Федерации от 20 ноября 2012 г. N 1198&quot; {КонсультантПлюс}">
              <w:r>
                <w:rPr>
                  <w:sz w:val="20"/>
                  <w:color w:val="0000ff"/>
                </w:rPr>
                <w:t xml:space="preserve">N 5</w:t>
              </w:r>
            </w:hyperlink>
            <w:r>
              <w:rPr>
                <w:sz w:val="20"/>
                <w:color w:val="392c69"/>
              </w:rPr>
              <w:t xml:space="preserve">, от 20.11.2018 </w:t>
            </w:r>
            <w:hyperlink w:history="0" r:id="rId9"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49" w:tooltip="ПОЛОЖЕНИЕ">
        <w:r>
          <w:rPr>
            <w:sz w:val="20"/>
            <w:color w:val="0000ff"/>
          </w:rPr>
          <w:t xml:space="preserve">Положение</w:t>
        </w:r>
      </w:hyperlink>
      <w:r>
        <w:rPr>
          <w:sz w:val="2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2. Определить:</w:t>
      </w:r>
    </w:p>
    <w:p>
      <w:pPr>
        <w:pStyle w:val="0"/>
        <w:spacing w:before="200" w:line-rule="auto"/>
        <w:ind w:firstLine="540"/>
        <w:jc w:val="both"/>
      </w:pPr>
      <w:hyperlink w:history="0" r:id="rId11"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Министерство</w:t>
        </w:r>
      </w:hyperlink>
      <w:r>
        <w:rPr>
          <w:sz w:val="20"/>
        </w:rPr>
        <w:t xml:space="preserve"> экономического развития Российской Федерации - уполномоченным органом по ведению информационного ресурса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pPr>
        <w:pStyle w:val="0"/>
        <w:spacing w:before="200" w:line-rule="auto"/>
        <w:ind w:firstLine="540"/>
        <w:jc w:val="both"/>
      </w:pPr>
      <w:hyperlink w:history="0" r:id="rId12" w:tooltip="Постановление Правительства РФ от 02.06.2008 N 418 (ред. от 17.12.2021) &quot;О Министерстве цифрового развития, связи и массовых коммуникаций Российской Федерации&quot; (с изм. и доп., вступ. в силу с 01.01.2022) {КонсультантПлюс}">
        <w:r>
          <w:rPr>
            <w:sz w:val="20"/>
            <w:color w:val="0000ff"/>
          </w:rPr>
          <w:t xml:space="preserve">Министерство</w:t>
        </w:r>
      </w:hyperlink>
      <w:r>
        <w:rPr>
          <w:sz w:val="20"/>
        </w:rPr>
        <w:t xml:space="preserve"> цифрового развития, связи и массовых коммуникаций Российской Федерации - оператором системы.</w:t>
      </w:r>
    </w:p>
    <w:p>
      <w:pPr>
        <w:pStyle w:val="0"/>
        <w:jc w:val="both"/>
      </w:pPr>
      <w:r>
        <w:rPr>
          <w:sz w:val="20"/>
        </w:rPr>
        <w:t xml:space="preserve">(в ред. </w:t>
      </w:r>
      <w:hyperlink w:history="0" r:id="rId13"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2(1). Установить, что этапы и сроки создания и ввода в эксплуатацию системы определяются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с учетом сроков, предусмотренных </w:t>
      </w:r>
      <w:hyperlink w:history="0" w:anchor="P23" w:tooltip="4. Министерству связи и массовых коммуникаций Российской Федерации:">
        <w:r>
          <w:rPr>
            <w:sz w:val="20"/>
            <w:color w:val="0000ff"/>
          </w:rPr>
          <w:t xml:space="preserve">пунктом 4</w:t>
        </w:r>
      </w:hyperlink>
      <w:r>
        <w:rPr>
          <w:sz w:val="20"/>
        </w:rPr>
        <w:t xml:space="preserve"> настоящего постановления.</w:t>
      </w:r>
    </w:p>
    <w:p>
      <w:pPr>
        <w:pStyle w:val="0"/>
        <w:jc w:val="both"/>
      </w:pPr>
      <w:r>
        <w:rPr>
          <w:sz w:val="20"/>
        </w:rPr>
        <w:t xml:space="preserve">(п. 2(1) введен </w:t>
      </w:r>
      <w:hyperlink w:history="0" r:id="rId14"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25.12.2013 N 1241)</w:t>
      </w:r>
    </w:p>
    <w:p>
      <w:pPr>
        <w:pStyle w:val="0"/>
        <w:spacing w:before="200" w:line-rule="auto"/>
        <w:ind w:firstLine="540"/>
        <w:jc w:val="both"/>
      </w:pPr>
      <w:r>
        <w:rPr>
          <w:sz w:val="20"/>
        </w:rPr>
        <w:t xml:space="preserve">3. Министерству экономического развития Российской Федерации до 1 апреля 2013 г. утвердить по согласованию с Министерством связи и массовых коммуникаций Российской Федерации методические указания по обеспечению функционирования и использования системы.</w:t>
      </w:r>
    </w:p>
    <w:bookmarkStart w:id="23" w:name="P23"/>
    <w:bookmarkEnd w:id="23"/>
    <w:p>
      <w:pPr>
        <w:pStyle w:val="0"/>
        <w:spacing w:before="200" w:line-rule="auto"/>
        <w:ind w:firstLine="540"/>
        <w:jc w:val="both"/>
      </w:pPr>
      <w:r>
        <w:rPr>
          <w:sz w:val="20"/>
        </w:rPr>
        <w:t xml:space="preserve">4. Министерству связи и массовых коммуникаций Российской Федерации:</w:t>
      </w:r>
    </w:p>
    <w:p>
      <w:pPr>
        <w:pStyle w:val="0"/>
        <w:spacing w:before="200" w:line-rule="auto"/>
        <w:ind w:firstLine="540"/>
        <w:jc w:val="both"/>
      </w:pPr>
      <w:r>
        <w:rPr>
          <w:sz w:val="20"/>
        </w:rPr>
        <w:t xml:space="preserve">до 1 января 2015 г. создать систему в соответствии с настоящим постановлением;</w:t>
      </w:r>
    </w:p>
    <w:p>
      <w:pPr>
        <w:pStyle w:val="0"/>
        <w:jc w:val="both"/>
      </w:pPr>
      <w:r>
        <w:rPr>
          <w:sz w:val="20"/>
        </w:rPr>
        <w:t xml:space="preserve">(в ред. Постановлений Правительства РФ от 25.12.2013 </w:t>
      </w:r>
      <w:hyperlink w:history="0" r:id="rId15"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N 1241</w:t>
        </w:r>
      </w:hyperlink>
      <w:r>
        <w:rPr>
          <w:sz w:val="20"/>
        </w:rPr>
        <w:t xml:space="preserve">, от 05.01.2015 </w:t>
      </w:r>
      <w:hyperlink w:history="0" r:id="rId16" w:tooltip="Постановление Правительства РФ от 05.01.2015 N 5 &quot;О внесении изменения в постановление Правительства Российской Федерации от 20 ноября 2012 г. N 1198&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до 1 января 2015 г. обеспечить ввод в эксплуатацию и функционирование системы.</w:t>
      </w:r>
    </w:p>
    <w:p>
      <w:pPr>
        <w:pStyle w:val="0"/>
        <w:jc w:val="both"/>
      </w:pPr>
      <w:r>
        <w:rPr>
          <w:sz w:val="20"/>
        </w:rPr>
        <w:t xml:space="preserve">(в ред. </w:t>
      </w:r>
      <w:hyperlink w:history="0" r:id="rId17"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25.12.2013 N 1241)</w:t>
      </w:r>
    </w:p>
    <w:p>
      <w:pPr>
        <w:pStyle w:val="0"/>
        <w:spacing w:before="200" w:line-rule="auto"/>
        <w:ind w:firstLine="540"/>
        <w:jc w:val="both"/>
      </w:pPr>
      <w:r>
        <w:rPr>
          <w:sz w:val="20"/>
        </w:rPr>
        <w:t xml:space="preserve">5. Федеральным органам исполнительной власти и органам государственных внебюджетных фондов, предоставляющим государственные услуги:</w:t>
      </w:r>
    </w:p>
    <w:p>
      <w:pPr>
        <w:pStyle w:val="0"/>
        <w:spacing w:before="200" w:line-rule="auto"/>
        <w:ind w:firstLine="540"/>
        <w:jc w:val="both"/>
      </w:pPr>
      <w:r>
        <w:rPr>
          <w:sz w:val="20"/>
        </w:rPr>
        <w:t xml:space="preserve">до 1 января 2015 г. обеспечить при необходимости доработку государственных информационных систем, используемых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ими осуществляются функции оператора, для обеспечения информационного взаимодействия системы с такими государственными информационными системами;</w:t>
      </w:r>
    </w:p>
    <w:p>
      <w:pPr>
        <w:pStyle w:val="0"/>
        <w:jc w:val="both"/>
      </w:pPr>
      <w:r>
        <w:rPr>
          <w:sz w:val="20"/>
        </w:rPr>
        <w:t xml:space="preserve">(в ред. </w:t>
      </w:r>
      <w:hyperlink w:history="0" r:id="rId18"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25.12.2013 N 1241)</w:t>
      </w:r>
    </w:p>
    <w:p>
      <w:pPr>
        <w:pStyle w:val="0"/>
        <w:spacing w:before="200" w:line-rule="auto"/>
        <w:ind w:firstLine="540"/>
        <w:jc w:val="both"/>
      </w:pPr>
      <w:r>
        <w:rPr>
          <w:sz w:val="20"/>
        </w:rPr>
        <w:t xml:space="preserve">с 1 января 2015 г. обеспечить в соответствии с </w:t>
      </w:r>
      <w:hyperlink w:history="0" w:anchor="P49" w:tooltip="ПОЛОЖЕНИЕ">
        <w:r>
          <w:rPr>
            <w:sz w:val="20"/>
            <w:color w:val="0000ff"/>
          </w:rPr>
          <w:t xml:space="preserve">Положением</w:t>
        </w:r>
      </w:hyperlink>
      <w:r>
        <w:rPr>
          <w:sz w:val="20"/>
        </w:rPr>
        <w:t xml:space="preserve">, утвержденным настоящим постановлением, представление в систему информации о поступивших после указанной даты жалобах на их решения и действия (бездействие), на решения и действия (бездействие) их должностных лиц и (или) федеральных государственных служащих, совершенные при предоставлении государственных услуг.</w:t>
      </w:r>
    </w:p>
    <w:p>
      <w:pPr>
        <w:pStyle w:val="0"/>
        <w:jc w:val="both"/>
      </w:pPr>
      <w:r>
        <w:rPr>
          <w:sz w:val="20"/>
        </w:rPr>
        <w:t xml:space="preserve">(в ред. </w:t>
      </w:r>
      <w:hyperlink w:history="0" r:id="rId19"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25.12.2013 N 1241)</w:t>
      </w:r>
    </w:p>
    <w:p>
      <w:pPr>
        <w:pStyle w:val="0"/>
        <w:spacing w:before="200" w:line-rule="auto"/>
        <w:ind w:firstLine="540"/>
        <w:jc w:val="both"/>
      </w:pPr>
      <w:r>
        <w:rPr>
          <w:sz w:val="20"/>
        </w:rPr>
        <w:t xml:space="preserve">6. Реализация настоящего постановления федеральными органами исполнительной власти и органами государственных внебюджетных фондов, предоставляющими государственные услуги, осуществляется в пределах средств, предусмотренных в федеральном бюджете на финансирование их деятельности.</w:t>
      </w:r>
    </w:p>
    <w:p>
      <w:pPr>
        <w:pStyle w:val="0"/>
        <w:spacing w:before="200" w:line-rule="auto"/>
        <w:ind w:firstLine="540"/>
        <w:jc w:val="both"/>
      </w:pPr>
      <w:r>
        <w:rPr>
          <w:sz w:val="20"/>
        </w:rPr>
        <w:t xml:space="preserve">7. Рекомендовать органам исполнительной власти субъектов Российской Федерации, органам местного самоуправления, органам территориальных государственных внебюджетных фондов использовать систему для обеспечения досудебного (внесудебного) обжалования решений и действий (бездействия), совершенных ими, их должностными лицами или государственными (муниципальными) служащими при предоставлении государственных и муниципальных услуг.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ноября 2012 г. N 1198</w:t>
      </w:r>
    </w:p>
    <w:p>
      <w:pPr>
        <w:pStyle w:val="0"/>
        <w:jc w:val="center"/>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ОБЕСПЕЧИВАЮЩЕЙ ПРОЦЕСС ДОСУДЕБНОГО (ВНЕСУДЕБНОГО)</w:t>
      </w:r>
    </w:p>
    <w:p>
      <w:pPr>
        <w:pStyle w:val="2"/>
        <w:jc w:val="center"/>
      </w:pPr>
      <w:r>
        <w:rPr>
          <w:sz w:val="20"/>
        </w:rPr>
        <w:t xml:space="preserve">ОБЖАЛОВАНИЯ РЕШЕНИЙ И ДЕЙСТВИЙ (БЕЗДЕЙСТВИЯ), СОВЕРШЕННЫХ</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pPr>
        <w:pStyle w:val="0"/>
        <w:spacing w:before="200" w:line-rule="auto"/>
        <w:ind w:firstLine="540"/>
        <w:jc w:val="both"/>
      </w:pPr>
      <w:r>
        <w:rPr>
          <w:sz w:val="20"/>
        </w:rPr>
        <w:t xml:space="preserve">2. Функционирование системы обеспечивается с использованием элементов инфраструктуры взаимодействия, предусмотренной </w:t>
      </w:r>
      <w:hyperlink w:history="0" r:id="rId20" w:tooltip="Постановление Правительства РФ от 08.06.2011 N 451 (ред. от 13.07.2022)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КонсультантПлюс}">
        <w:r>
          <w:rPr>
            <w:sz w:val="20"/>
            <w:color w:val="0000ff"/>
          </w:rPr>
          <w:t xml:space="preserve">постановлением</w:t>
        </w:r>
      </w:hyperlink>
      <w:r>
        <w:rPr>
          <w:sz w:val="20"/>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 Система состоит из следующих подсистем:</w:t>
      </w:r>
    </w:p>
    <w:bookmarkStart w:id="58" w:name="P58"/>
    <w:bookmarkEnd w:id="58"/>
    <w:p>
      <w:pPr>
        <w:pStyle w:val="0"/>
        <w:spacing w:before="200" w:line-rule="auto"/>
        <w:ind w:firstLine="540"/>
        <w:jc w:val="both"/>
      </w:pPr>
      <w:r>
        <w:rPr>
          <w:sz w:val="20"/>
        </w:rPr>
        <w:t xml:space="preserve">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p>
      <w:pPr>
        <w:pStyle w:val="0"/>
        <w:spacing w:before="200" w:line-rule="auto"/>
        <w:ind w:firstLine="540"/>
        <w:jc w:val="both"/>
      </w:pPr>
      <w:r>
        <w:rPr>
          <w:sz w:val="20"/>
        </w:rPr>
        <w:t xml:space="preserve">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
    <w:p>
      <w:pPr>
        <w:pStyle w:val="0"/>
        <w:spacing w:before="200" w:line-rule="auto"/>
        <w:ind w:firstLine="540"/>
        <w:jc w:val="both"/>
      </w:pPr>
      <w:r>
        <w:rPr>
          <w:sz w:val="20"/>
        </w:rPr>
        <w:t xml:space="preserve">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
    <w:p>
      <w:pPr>
        <w:pStyle w:val="0"/>
        <w:spacing w:before="200" w:line-rule="auto"/>
        <w:ind w:firstLine="540"/>
        <w:jc w:val="both"/>
      </w:pPr>
      <w:r>
        <w:rPr>
          <w:sz w:val="20"/>
        </w:rPr>
        <w:t xml:space="preserve">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pPr>
        <w:pStyle w:val="0"/>
        <w:spacing w:before="200" w:line-rule="auto"/>
        <w:ind w:firstLine="540"/>
        <w:jc w:val="both"/>
      </w:pPr>
      <w:r>
        <w:rPr>
          <w:sz w:val="20"/>
        </w:rPr>
        <w:t xml:space="preserve">б) портал системы, обеспечивающий с использованием информационно-телекоммуникационной сети "Интернет" доступ к информационному ресурсу системы.</w:t>
      </w:r>
    </w:p>
    <w:p>
      <w:pPr>
        <w:pStyle w:val="0"/>
        <w:spacing w:before="200" w:line-rule="auto"/>
        <w:ind w:firstLine="540"/>
        <w:jc w:val="both"/>
      </w:pPr>
      <w:r>
        <w:rPr>
          <w:sz w:val="20"/>
        </w:rPr>
        <w:t xml:space="preserve">4. Реестры жалоб, указанные в </w:t>
      </w:r>
      <w:hyperlink w:history="0" w:anchor="P58" w:tooltip="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
        <w:r>
          <w:rPr>
            <w:sz w:val="20"/>
            <w:color w:val="0000ff"/>
          </w:rPr>
          <w:t xml:space="preserve">подпункте "а" пункта 3</w:t>
        </w:r>
      </w:hyperlink>
      <w:r>
        <w:rPr>
          <w:sz w:val="20"/>
        </w:rPr>
        <w:t xml:space="preserve"> настоящего Положения (далее - реестры), содержат информацию о жалобах, поступивших:</w:t>
      </w:r>
    </w:p>
    <w:p>
      <w:pPr>
        <w:pStyle w:val="0"/>
        <w:spacing w:before="200" w:line-rule="auto"/>
        <w:ind w:firstLine="540"/>
        <w:jc w:val="both"/>
      </w:pPr>
      <w:r>
        <w:rPr>
          <w:sz w:val="20"/>
        </w:rPr>
        <w:t xml:space="preserve">а) с использованием информационно-телекоммуникационной сети "Интернет" посредством портала системы;</w:t>
      </w:r>
    </w:p>
    <w:bookmarkStart w:id="65" w:name="P65"/>
    <w:bookmarkEnd w:id="65"/>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через многофункциональный центр предоставления государственных и муниципальных услуг;</w:t>
      </w:r>
    </w:p>
    <w:bookmarkStart w:id="67" w:name="P67"/>
    <w:bookmarkEnd w:id="67"/>
    <w:p>
      <w:pPr>
        <w:pStyle w:val="0"/>
        <w:spacing w:before="200" w:line-rule="auto"/>
        <w:ind w:firstLine="540"/>
        <w:jc w:val="both"/>
      </w:pPr>
      <w:r>
        <w:rPr>
          <w:sz w:val="20"/>
        </w:rPr>
        <w:t xml:space="preserve">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pPr>
        <w:pStyle w:val="0"/>
        <w:spacing w:before="200" w:line-rule="auto"/>
        <w:ind w:firstLine="540"/>
        <w:jc w:val="both"/>
      </w:pPr>
      <w:r>
        <w:rPr>
          <w:sz w:val="20"/>
        </w:rPr>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bookmarkStart w:id="69" w:name="P69"/>
    <w:bookmarkEnd w:id="69"/>
    <w:p>
      <w:pPr>
        <w:pStyle w:val="0"/>
        <w:spacing w:before="200" w:line-rule="auto"/>
        <w:ind w:firstLine="540"/>
        <w:jc w:val="both"/>
      </w:pPr>
      <w:r>
        <w:rPr>
          <w:sz w:val="20"/>
        </w:rPr>
        <w:t xml:space="preserve">е) с использованием регионального портала государственных и муниципальных услуг;</w:t>
      </w:r>
    </w:p>
    <w:bookmarkStart w:id="70" w:name="P70"/>
    <w:bookmarkEnd w:id="70"/>
    <w:p>
      <w:pPr>
        <w:pStyle w:val="0"/>
        <w:spacing w:before="200" w:line-rule="auto"/>
        <w:ind w:firstLine="540"/>
        <w:jc w:val="both"/>
      </w:pPr>
      <w:r>
        <w:rPr>
          <w:sz w:val="20"/>
        </w:rPr>
        <w:t xml:space="preserve">ж) при личном приеме заявителей.</w:t>
      </w:r>
    </w:p>
    <w:p>
      <w:pPr>
        <w:pStyle w:val="0"/>
        <w:spacing w:before="200" w:line-rule="auto"/>
        <w:ind w:firstLine="540"/>
        <w:jc w:val="both"/>
      </w:pPr>
      <w:r>
        <w:rPr>
          <w:sz w:val="20"/>
        </w:rPr>
        <w:t xml:space="preserve">5. Информация о жалобах, содержащаяся в реестрах, включает в себя следующие сведения:</w:t>
      </w:r>
    </w:p>
    <w:p>
      <w:pPr>
        <w:pStyle w:val="0"/>
        <w:spacing w:before="200" w:line-rule="auto"/>
        <w:ind w:firstLine="540"/>
        <w:jc w:val="both"/>
      </w:pPr>
      <w:r>
        <w:rPr>
          <w:sz w:val="20"/>
        </w:rPr>
        <w:t xml:space="preserve">а) содержание жалобы, предусмотренное </w:t>
      </w:r>
      <w:hyperlink w:history="0" r:id="rId2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5 статьи 11.2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bookmarkStart w:id="74" w:name="P74"/>
    <w:bookmarkEnd w:id="74"/>
    <w:p>
      <w:pPr>
        <w:pStyle w:val="0"/>
        <w:spacing w:before="200" w:line-rule="auto"/>
        <w:ind w:firstLine="540"/>
        <w:jc w:val="both"/>
      </w:pPr>
      <w:r>
        <w:rPr>
          <w:sz w:val="20"/>
        </w:rPr>
        <w:t xml:space="preserve">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pPr>
        <w:pStyle w:val="0"/>
        <w:spacing w:before="200" w:line-rule="auto"/>
        <w:ind w:firstLine="540"/>
        <w:jc w:val="both"/>
      </w:pPr>
      <w:r>
        <w:rPr>
          <w:sz w:val="20"/>
        </w:rPr>
        <w:t xml:space="preserve">г) текст решения по жалобе или ссылка на электронный документ, содержащий текст решения по жалобе.</w:t>
      </w:r>
    </w:p>
    <w:p>
      <w:pPr>
        <w:pStyle w:val="0"/>
        <w:spacing w:before="200" w:line-rule="auto"/>
        <w:ind w:firstLine="540"/>
        <w:jc w:val="both"/>
      </w:pPr>
      <w:r>
        <w:rPr>
          <w:sz w:val="20"/>
        </w:rPr>
        <w:t xml:space="preserve">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Start w:id="77" w:name="P77"/>
    <w:bookmarkEnd w:id="77"/>
    <w:p>
      <w:pPr>
        <w:pStyle w:val="0"/>
        <w:spacing w:before="200" w:line-rule="auto"/>
        <w:ind w:firstLine="540"/>
        <w:jc w:val="both"/>
      </w:pPr>
      <w:r>
        <w:rPr>
          <w:sz w:val="20"/>
        </w:rPr>
        <w:t xml:space="preserve">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pPr>
        <w:pStyle w:val="0"/>
        <w:spacing w:before="200" w:line-rule="auto"/>
        <w:ind w:firstLine="540"/>
        <w:jc w:val="both"/>
      </w:pPr>
      <w:r>
        <w:rPr>
          <w:sz w:val="20"/>
        </w:rPr>
        <w:t xml:space="preserve">8. При использовании заявителем системы посредством портала системы обеспечивается:</w:t>
      </w:r>
    </w:p>
    <w:p>
      <w:pPr>
        <w:pStyle w:val="0"/>
        <w:spacing w:before="200" w:line-rule="auto"/>
        <w:ind w:firstLine="540"/>
        <w:jc w:val="both"/>
      </w:pPr>
      <w:r>
        <w:rPr>
          <w:sz w:val="20"/>
        </w:rPr>
        <w:t xml:space="preserve">а) возможность подачи заявителем в электронной форме жалобы и иных документов (при наличии), подтверждающих доводы заявителя (далее - документы);</w:t>
      </w:r>
    </w:p>
    <w:p>
      <w:pPr>
        <w:pStyle w:val="0"/>
        <w:spacing w:before="200" w:line-rule="auto"/>
        <w:ind w:firstLine="540"/>
        <w:jc w:val="both"/>
      </w:pPr>
      <w:r>
        <w:rPr>
          <w:sz w:val="20"/>
        </w:rPr>
        <w:t xml:space="preserve">б) доступность для заполнения и (или) копирования заявителем шаблонов жалобы в электронной форме;</w:t>
      </w:r>
    </w:p>
    <w:p>
      <w:pPr>
        <w:pStyle w:val="0"/>
        <w:spacing w:before="200" w:line-rule="auto"/>
        <w:ind w:firstLine="540"/>
        <w:jc w:val="both"/>
      </w:pPr>
      <w:r>
        <w:rPr>
          <w:sz w:val="20"/>
        </w:rPr>
        <w:t xml:space="preserve">в) возможность получения заявителем сведений о ходе рассмотрения жалобы, поданной любым способом;</w:t>
      </w:r>
    </w:p>
    <w:p>
      <w:pPr>
        <w:pStyle w:val="0"/>
        <w:spacing w:before="200" w:line-rule="auto"/>
        <w:ind w:firstLine="540"/>
        <w:jc w:val="both"/>
      </w:pPr>
      <w:r>
        <w:rPr>
          <w:sz w:val="20"/>
        </w:rPr>
        <w:t xml:space="preserve">г) возможность получения заявителем решения по жалобе, поданной любым способом;</w:t>
      </w:r>
    </w:p>
    <w:p>
      <w:pPr>
        <w:pStyle w:val="0"/>
        <w:spacing w:before="200" w:line-rule="auto"/>
        <w:ind w:firstLine="540"/>
        <w:jc w:val="both"/>
      </w:pPr>
      <w:r>
        <w:rPr>
          <w:sz w:val="20"/>
        </w:rPr>
        <w:t xml:space="preserve">д) возможность ознакомления с информацией об общем количестве поданных и рассмотренных жалоб.</w:t>
      </w:r>
    </w:p>
    <w:bookmarkStart w:id="84" w:name="P84"/>
    <w:bookmarkEnd w:id="84"/>
    <w:p>
      <w:pPr>
        <w:pStyle w:val="0"/>
        <w:spacing w:before="200" w:line-rule="auto"/>
        <w:ind w:firstLine="540"/>
        <w:jc w:val="both"/>
      </w:pPr>
      <w:r>
        <w:rPr>
          <w:sz w:val="20"/>
        </w:rPr>
        <w:t xml:space="preserve">9. 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history="0" w:anchor="P77" w:tooltip="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
        <w:r>
          <w:rPr>
            <w:sz w:val="20"/>
            <w:color w:val="0000ff"/>
          </w:rPr>
          <w:t xml:space="preserve">пунктом 7</w:t>
        </w:r>
      </w:hyperlink>
      <w:r>
        <w:rPr>
          <w:sz w:val="20"/>
        </w:rPr>
        <w:t xml:space="preserve"> настоящего Положения, автоматически в течение 1 рабочего дня со дня поступления информации в систему.</w:t>
      </w:r>
    </w:p>
    <w:bookmarkStart w:id="85" w:name="P85"/>
    <w:bookmarkEnd w:id="85"/>
    <w:p>
      <w:pPr>
        <w:pStyle w:val="0"/>
        <w:spacing w:before="200" w:line-rule="auto"/>
        <w:ind w:firstLine="540"/>
        <w:jc w:val="both"/>
      </w:pPr>
      <w:r>
        <w:rPr>
          <w:sz w:val="20"/>
        </w:rPr>
        <w:t xml:space="preserve">10. Сведения о содержании жалобы, поданной способами, указанными в </w:t>
      </w:r>
      <w:hyperlink w:history="0" w:anchor="P65" w:tooltip="б) по почте;">
        <w:r>
          <w:rPr>
            <w:sz w:val="20"/>
            <w:color w:val="0000ff"/>
          </w:rPr>
          <w:t xml:space="preserve">подпунктах "б"</w:t>
        </w:r>
      </w:hyperlink>
      <w:r>
        <w:rPr>
          <w:sz w:val="20"/>
        </w:rPr>
        <w:t xml:space="preserve"> - </w:t>
      </w:r>
      <w:hyperlink w:history="0" w:anchor="P67" w:tooltip="г) с использованием официального сайта в информационно-телекоммуникационной сети &quot;Интернет&quot; органа, предоставляющего государственную услугу или органа, предоставляющего муниципальную услугу;">
        <w:r>
          <w:rPr>
            <w:sz w:val="20"/>
            <w:color w:val="0000ff"/>
          </w:rPr>
          <w:t xml:space="preserve">"г"</w:t>
        </w:r>
      </w:hyperlink>
      <w:r>
        <w:rPr>
          <w:sz w:val="20"/>
        </w:rPr>
        <w:t xml:space="preserve">, </w:t>
      </w:r>
      <w:hyperlink w:history="0" w:anchor="P69" w:tooltip="е) с использованием регионального портала государственных и муниципальных услуг;">
        <w:r>
          <w:rPr>
            <w:sz w:val="20"/>
            <w:color w:val="0000ff"/>
          </w:rPr>
          <w:t xml:space="preserve">"е"</w:t>
        </w:r>
      </w:hyperlink>
      <w:r>
        <w:rPr>
          <w:sz w:val="20"/>
        </w:rPr>
        <w:t xml:space="preserve"> и </w:t>
      </w:r>
      <w:hyperlink w:history="0" w:anchor="P70" w:tooltip="ж) при личном приеме заявителей.">
        <w:r>
          <w:rPr>
            <w:sz w:val="20"/>
            <w:color w:val="0000ff"/>
          </w:rPr>
          <w:t xml:space="preserve">"ж" пункта 4</w:t>
        </w:r>
      </w:hyperlink>
      <w:r>
        <w:rPr>
          <w:sz w:val="20"/>
        </w:rP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pPr>
        <w:pStyle w:val="0"/>
        <w:spacing w:before="200" w:line-rule="auto"/>
        <w:ind w:firstLine="540"/>
        <w:jc w:val="both"/>
      </w:pPr>
      <w:r>
        <w:rPr>
          <w:sz w:val="20"/>
        </w:rPr>
        <w:t xml:space="preserve">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pPr>
        <w:pStyle w:val="0"/>
        <w:spacing w:before="200" w:line-rule="auto"/>
        <w:ind w:firstLine="540"/>
        <w:jc w:val="both"/>
      </w:pPr>
      <w:r>
        <w:rPr>
          <w:sz w:val="20"/>
        </w:rPr>
        <w:t xml:space="preserve">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11. В случае если указанная в </w:t>
      </w:r>
      <w:hyperlink w:history="0" w:anchor="P85" w:tooltip="10. Сведения о содержании жалобы, поданной способами, указанными в подпунктах &quot;б&quot; - &quot;г&quot;, &quot;е&quot; и &quot;ж&quot; пункта 4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
        <w:r>
          <w:rPr>
            <w:sz w:val="20"/>
            <w:color w:val="0000ff"/>
          </w:rPr>
          <w:t xml:space="preserve">пункте 10</w:t>
        </w:r>
      </w:hyperlink>
      <w:r>
        <w:rPr>
          <w:sz w:val="20"/>
        </w:rP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history="0" w:anchor="P96" w:tooltip="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
        <w:r>
          <w:rPr>
            <w:sz w:val="20"/>
            <w:color w:val="0000ff"/>
          </w:rPr>
          <w:t xml:space="preserve">пункту 17</w:t>
        </w:r>
      </w:hyperlink>
      <w:r>
        <w:rPr>
          <w:sz w:val="20"/>
        </w:rPr>
        <w:t xml:space="preserve"> настоящего Положения.</w:t>
      </w:r>
    </w:p>
    <w:p>
      <w:pPr>
        <w:pStyle w:val="0"/>
        <w:spacing w:before="200" w:line-rule="auto"/>
        <w:ind w:firstLine="540"/>
        <w:jc w:val="both"/>
      </w:pPr>
      <w:r>
        <w:rPr>
          <w:sz w:val="20"/>
        </w:rPr>
        <w:t xml:space="preserve">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pPr>
        <w:pStyle w:val="0"/>
        <w:spacing w:before="200" w:line-rule="auto"/>
        <w:ind w:firstLine="540"/>
        <w:jc w:val="both"/>
      </w:pPr>
      <w:r>
        <w:rPr>
          <w:sz w:val="20"/>
        </w:rPr>
        <w:t xml:space="preserve">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pPr>
        <w:pStyle w:val="0"/>
        <w:spacing w:before="200" w:line-rule="auto"/>
        <w:ind w:firstLine="540"/>
        <w:jc w:val="both"/>
      </w:pPr>
      <w:r>
        <w:rPr>
          <w:sz w:val="20"/>
        </w:rPr>
        <w:t xml:space="preserve">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pPr>
        <w:pStyle w:val="0"/>
        <w:spacing w:before="200" w:line-rule="auto"/>
        <w:ind w:firstLine="540"/>
        <w:jc w:val="both"/>
      </w:pPr>
      <w:r>
        <w:rPr>
          <w:sz w:val="20"/>
        </w:rPr>
        <w:t xml:space="preserve">Указанные сведения размещаются в соответствующем реестре уполномоченными служащими в течение 1 рабочего дня с даты завершения каждого из этапов рассмотрения жалобы, указанных в </w:t>
      </w:r>
      <w:hyperlink w:history="0" w:anchor="P74" w:tooltip="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
        <w:r>
          <w:rPr>
            <w:sz w:val="20"/>
            <w:color w:val="0000ff"/>
          </w:rPr>
          <w:t xml:space="preserve">подпункте "в" пункта 5</w:t>
        </w:r>
      </w:hyperlink>
      <w:r>
        <w:rPr>
          <w:sz w:val="20"/>
        </w:rPr>
        <w:t xml:space="preserve"> настоящего Положения.</w:t>
      </w:r>
    </w:p>
    <w:p>
      <w:pPr>
        <w:pStyle w:val="0"/>
        <w:spacing w:before="200" w:line-rule="auto"/>
        <w:ind w:firstLine="540"/>
        <w:jc w:val="both"/>
      </w:pPr>
      <w:r>
        <w:rPr>
          <w:sz w:val="20"/>
        </w:rPr>
        <w:t xml:space="preserve">15. В случаях, указанных в </w:t>
      </w:r>
      <w:hyperlink w:history="0" w:anchor="P84" w:tooltip="9. 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пунктом 7 настоящего Положения, автоматически в течение 1 рабочего дня со дня поступления информации в систему.">
        <w:r>
          <w:rPr>
            <w:sz w:val="20"/>
            <w:color w:val="0000ff"/>
          </w:rPr>
          <w:t xml:space="preserve">пункте 9</w:t>
        </w:r>
      </w:hyperlink>
      <w:r>
        <w:rPr>
          <w:sz w:val="20"/>
        </w:rP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16. Органы, указанные в </w:t>
      </w:r>
      <w:hyperlink w:history="0" w:anchor="P85" w:tooltip="10. Сведения о содержании жалобы, поданной способами, указанными в подпунктах &quot;б&quot; - &quot;г&quot;, &quot;е&quot; и &quot;ж&quot; пункта 4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
        <w:r>
          <w:rPr>
            <w:sz w:val="20"/>
            <w:color w:val="0000ff"/>
          </w:rPr>
          <w:t xml:space="preserve">пункте 10</w:t>
        </w:r>
      </w:hyperlink>
      <w:r>
        <w:rPr>
          <w:sz w:val="20"/>
        </w:rP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bookmarkStart w:id="96" w:name="P96"/>
    <w:bookmarkEnd w:id="96"/>
    <w:p>
      <w:pPr>
        <w:pStyle w:val="0"/>
        <w:spacing w:before="200" w:line-rule="auto"/>
        <w:ind w:firstLine="540"/>
        <w:jc w:val="both"/>
      </w:pPr>
      <w:r>
        <w:rPr>
          <w:sz w:val="20"/>
        </w:rPr>
        <w:t xml:space="preserve">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pPr>
        <w:pStyle w:val="0"/>
        <w:spacing w:before="200" w:line-rule="auto"/>
        <w:ind w:firstLine="540"/>
        <w:jc w:val="both"/>
      </w:pPr>
      <w:r>
        <w:rPr>
          <w:sz w:val="20"/>
        </w:rPr>
        <w:t xml:space="preserve">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pPr>
        <w:pStyle w:val="0"/>
        <w:spacing w:before="200" w:line-rule="auto"/>
        <w:ind w:firstLine="540"/>
        <w:jc w:val="both"/>
      </w:pPr>
      <w:r>
        <w:rPr>
          <w:sz w:val="20"/>
        </w:rPr>
        <w:t xml:space="preserve">б) оператор системы определяет порядок подключения к системе других информационных систем и обеспечивает указанное подключение.</w:t>
      </w:r>
    </w:p>
    <w:p>
      <w:pPr>
        <w:pStyle w:val="0"/>
        <w:jc w:val="center"/>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20.11.2012 N 1198</w:t>
            <w:br/>
            <w:t>(ред. от 20.11.2018)</w:t>
            <w:br/>
            <w:t>"О федеральной государственной информационной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01687AF013657EBB69D87942731FF2FEE62474D969DB2C2F2D8BFE4024ABEDFAAECC31913A92903205A93224A06F4F636A7EE91FCB8045v4S8Q" TargetMode = "External"/>
	<Relationship Id="rId8" Type="http://schemas.openxmlformats.org/officeDocument/2006/relationships/hyperlink" Target="consultantplus://offline/ref=0B01687AF013657EBB69D87942731FF2FEE42174D060DB2C2F2D8BFE4024ABEDFAAECC31913A92913605A93224A06F4F636A7EE91FCB8045v4S8Q" TargetMode = "External"/>
	<Relationship Id="rId9" Type="http://schemas.openxmlformats.org/officeDocument/2006/relationships/hyperlink" Target="consultantplus://offline/ref=0B01687AF013657EBB69D87942731FF2FCE42B76DC64DB2C2F2D8BFE4024ABEDFAAECC31913A92973A05A93224A06F4F636A7EE91FCB8045v4S8Q" TargetMode = "External"/>
	<Relationship Id="rId10" Type="http://schemas.openxmlformats.org/officeDocument/2006/relationships/hyperlink" Target="consultantplus://offline/ref=0B01687AF013657EBB69D87942731FF2FBE32470DA64DB2C2F2D8BFE4024ABEDFAAECC31933E99C5624AA86E61F27C4E6C6A7CE103vCSBQ" TargetMode = "External"/>
	<Relationship Id="rId11" Type="http://schemas.openxmlformats.org/officeDocument/2006/relationships/hyperlink" Target="consultantplus://offline/ref=0B01687AF013657EBB69D87942731FF2FBE12173D069DB2C2F2D8BFE4024ABEDFAAECC349231C6C0775BF06267EB62467A767EE3v0S3Q" TargetMode = "External"/>
	<Relationship Id="rId12" Type="http://schemas.openxmlformats.org/officeDocument/2006/relationships/hyperlink" Target="consultantplus://offline/ref=0B01687AF013657EBB69D87942731FF2FBE32674DF61DB2C2F2D8BFE4024ABEDFAAECC369631C6C0775BF06267EB62467A767EE3v0S3Q" TargetMode = "External"/>
	<Relationship Id="rId13" Type="http://schemas.openxmlformats.org/officeDocument/2006/relationships/hyperlink" Target="consultantplus://offline/ref=0B01687AF013657EBB69D87942731FF2FCE42B76DC64DB2C2F2D8BFE4024ABEDFAAECC31913A92973A05A93224A06F4F636A7EE91FCB8045v4S8Q" TargetMode = "External"/>
	<Relationship Id="rId14" Type="http://schemas.openxmlformats.org/officeDocument/2006/relationships/hyperlink" Target="consultantplus://offline/ref=0B01687AF013657EBB69D87942731FF2FEE62474D969DB2C2F2D8BFE4024ABEDFAAECC31913A92903105A93224A06F4F636A7EE91FCB8045v4S8Q" TargetMode = "External"/>
	<Relationship Id="rId15" Type="http://schemas.openxmlformats.org/officeDocument/2006/relationships/hyperlink" Target="consultantplus://offline/ref=0B01687AF013657EBB69D87942731FF2FEE62474D969DB2C2F2D8BFE4024ABEDFAAECC31913A92903705A93224A06F4F636A7EE91FCB8045v4S8Q" TargetMode = "External"/>
	<Relationship Id="rId16" Type="http://schemas.openxmlformats.org/officeDocument/2006/relationships/hyperlink" Target="consultantplus://offline/ref=0B01687AF013657EBB69D87942731FF2FEE42174D060DB2C2F2D8BFE4024ABEDFAAECC31913A92913605A93224A06F4F636A7EE91FCB8045v4S8Q" TargetMode = "External"/>
	<Relationship Id="rId17" Type="http://schemas.openxmlformats.org/officeDocument/2006/relationships/hyperlink" Target="consultantplus://offline/ref=0B01687AF013657EBB69D87942731FF2FEE62474D969DB2C2F2D8BFE4024ABEDFAAECC31913A92903605A93224A06F4F636A7EE91FCB8045v4S8Q" TargetMode = "External"/>
	<Relationship Id="rId18" Type="http://schemas.openxmlformats.org/officeDocument/2006/relationships/hyperlink" Target="consultantplus://offline/ref=0B01687AF013657EBB69D87942731FF2FEE62474D969DB2C2F2D8BFE4024ABEDFAAECC31913A92903505A93224A06F4F636A7EE91FCB8045v4S8Q" TargetMode = "External"/>
	<Relationship Id="rId19" Type="http://schemas.openxmlformats.org/officeDocument/2006/relationships/hyperlink" Target="consultantplus://offline/ref=0B01687AF013657EBB69D87942731FF2FEE62474D969DB2C2F2D8BFE4024ABEDFAAECC31913A92903505A93224A06F4F636A7EE91FCB8045v4S8Q" TargetMode = "External"/>
	<Relationship Id="rId20" Type="http://schemas.openxmlformats.org/officeDocument/2006/relationships/hyperlink" Target="consultantplus://offline/ref=0B01687AF013657EBB69D87942731FF2FBE12070D168DB2C2F2D8BFE4024ABEDFAAECC31913A92933705A93224A06F4F636A7EE91FCB8045v4S8Q" TargetMode = "External"/>
	<Relationship Id="rId21" Type="http://schemas.openxmlformats.org/officeDocument/2006/relationships/hyperlink" Target="consultantplus://offline/ref=0B01687AF013657EBB69D87942731FF2FBE32470DA64DB2C2F2D8BFE4024ABEDFAAECC31903899C5624AA86E61F27C4E6C6A7CE103vCS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20.11.2012 N 1198
(ред. от 20.11.2018)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dc:title>
  <dcterms:created xsi:type="dcterms:W3CDTF">2022-08-17T16:18:14Z</dcterms:created>
</cp:coreProperties>
</file>