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Минприроды России от 11.08.2020 N 581</w:t>
              <w:br/>
              <w:t xml:space="preserve">"Об утверждении методики разработки (расчета) и установления нормативов допустимых выбросов загрязняющих веществ в атмосферный воздух"</w:t>
              <w:br/>
              <w:t xml:space="preserve">(Зарегистрировано в Минюсте России 30.12.2020 N 61944)</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декабря 2020 г. N 61944</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ПРИРОДНЫХ РЕСУРСОВ И ЭКОЛОГИИ</w:t>
      </w:r>
    </w:p>
    <w:p>
      <w:pPr>
        <w:pStyle w:val="2"/>
        <w:jc w:val="center"/>
      </w:pPr>
      <w:r>
        <w:rPr>
          <w:sz w:val="20"/>
        </w:rPr>
        <w:t xml:space="preserve">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11 августа 2020 г. N 581</w:t>
      </w:r>
    </w:p>
    <w:p>
      <w:pPr>
        <w:pStyle w:val="2"/>
        <w:jc w:val="center"/>
      </w:pPr>
      <w:r>
        <w:rPr>
          <w:sz w:val="20"/>
        </w:rPr>
      </w:r>
    </w:p>
    <w:p>
      <w:pPr>
        <w:pStyle w:val="2"/>
        <w:jc w:val="center"/>
      </w:pPr>
      <w:r>
        <w:rPr>
          <w:sz w:val="20"/>
        </w:rPr>
        <w:t xml:space="preserve">ОБ УТВЕРЖДЕНИИ МЕТОДИКИ</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0"/>
        <w:ind w:firstLine="540"/>
        <w:jc w:val="both"/>
      </w:pPr>
      <w:r>
        <w:rPr>
          <w:sz w:val="20"/>
        </w:rPr>
        <w:t xml:space="preserve">В целях реализации </w:t>
      </w:r>
      <w:hyperlink w:history="0" r:id="rId7" w:tooltip="Федеральный закон от 04.05.1999 N 96-ФЗ (ред. от 13.06.2023) &quot;Об охране атмосферного воздуха&quot; {КонсультантПлюс}">
        <w:r>
          <w:rPr>
            <w:sz w:val="20"/>
            <w:color w:val="0000ff"/>
          </w:rPr>
          <w:t xml:space="preserve">абзаца двадцатого статьи 5</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приказываю:</w:t>
      </w:r>
    </w:p>
    <w:p>
      <w:pPr>
        <w:pStyle w:val="0"/>
        <w:spacing w:before="200" w:line-rule="auto"/>
        <w:ind w:firstLine="540"/>
        <w:jc w:val="both"/>
      </w:pPr>
      <w:r>
        <w:rPr>
          <w:sz w:val="20"/>
        </w:rPr>
        <w:t xml:space="preserve">1. Утвердить прилагаемую </w:t>
      </w:r>
      <w:hyperlink w:history="0" w:anchor="P29" w:tooltip="МЕТОДИКА">
        <w:r>
          <w:rPr>
            <w:sz w:val="20"/>
            <w:color w:val="0000ff"/>
          </w:rPr>
          <w:t xml:space="preserve">методику</w:t>
        </w:r>
      </w:hyperlink>
      <w:r>
        <w:rPr>
          <w:sz w:val="20"/>
        </w:rPr>
        <w:t xml:space="preserve"> разработки (расчета) и установления нормативов допустимых выбросов загрязняющих веществ в атмосферный воздух.</w:t>
      </w:r>
    </w:p>
    <w:p>
      <w:pPr>
        <w:pStyle w:val="0"/>
        <w:spacing w:before="200" w:line-rule="auto"/>
        <w:ind w:firstLine="540"/>
        <w:jc w:val="both"/>
      </w:pPr>
      <w:r>
        <w:rPr>
          <w:sz w:val="20"/>
        </w:rPr>
        <w:t xml:space="preserve">2. Настоящий приказ вступает в силу по истечении шести месяцев после его официального опубликования и действует шесть лет со дня его вступления в силу.</w:t>
      </w:r>
    </w:p>
    <w:p>
      <w:pPr>
        <w:pStyle w:val="0"/>
        <w:jc w:val="both"/>
      </w:pPr>
      <w:r>
        <w:rPr>
          <w:sz w:val="20"/>
        </w:rPr>
      </w:r>
    </w:p>
    <w:p>
      <w:pPr>
        <w:pStyle w:val="0"/>
        <w:jc w:val="right"/>
      </w:pPr>
      <w:r>
        <w:rPr>
          <w:sz w:val="20"/>
        </w:rPr>
        <w:t xml:space="preserve">Исполняющий обязанности Министра</w:t>
      </w:r>
    </w:p>
    <w:p>
      <w:pPr>
        <w:pStyle w:val="0"/>
        <w:jc w:val="right"/>
      </w:pPr>
      <w:r>
        <w:rPr>
          <w:sz w:val="20"/>
        </w:rPr>
        <w:t xml:space="preserve">Д.Г.ХРАМОВ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bookmarkStart w:id="29" w:name="P29"/>
    <w:bookmarkEnd w:id="29"/>
    <w:p>
      <w:pPr>
        <w:pStyle w:val="2"/>
        <w:jc w:val="center"/>
      </w:pPr>
      <w:r>
        <w:rPr>
          <w:sz w:val="20"/>
        </w:rPr>
        <w:t xml:space="preserve">МЕТОДИКА</w:t>
      </w:r>
    </w:p>
    <w:p>
      <w:pPr>
        <w:pStyle w:val="2"/>
        <w:jc w:val="center"/>
      </w:pPr>
      <w:r>
        <w:rPr>
          <w:sz w:val="20"/>
        </w:rPr>
        <w:t xml:space="preserve">РАЗРАБОТКИ (РАСЧЕТА) И УСТАНОВЛЕНИЯ НОРМАТИВОВ ДОПУСТИМЫХ</w:t>
      </w:r>
    </w:p>
    <w:p>
      <w:pPr>
        <w:pStyle w:val="2"/>
        <w:jc w:val="center"/>
      </w:pPr>
      <w:r>
        <w:rPr>
          <w:sz w:val="20"/>
        </w:rPr>
        <w:t xml:space="preserve">ВЫБРОСОВ ЗАГРЯЗНЯЮЩИХ ВЕЩЕСТВ В АТМОСФЕРНЫЙ ВОЗДУХ</w:t>
      </w:r>
    </w:p>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определяет порядок разработки (расчета) и установления нормативов допустимых выбросов загрязняющих веществ в атмосферный воздух (далее - предельно допустимые выбросы, выбросы соответственно),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bookmarkStart w:id="36" w:name="P36"/>
    <w:bookmarkEnd w:id="36"/>
    <w:p>
      <w:pPr>
        <w:pStyle w:val="0"/>
        <w:spacing w:before="200" w:line-rule="auto"/>
        <w:ind w:firstLine="540"/>
        <w:jc w:val="both"/>
      </w:pPr>
      <w:r>
        <w:rPr>
          <w:sz w:val="20"/>
        </w:rPr>
        <w:t xml:space="preserve">2. В соответствии с </w:t>
      </w:r>
      <w:hyperlink w:history="0" r:id="rId8" w:tooltip="Федеральный закон от 04.05.1999 N 96-ФЗ (ред. от 13.06.2023) &quot;Об охране атмосферного воздуха&quot; {КонсультантПлюс}">
        <w:r>
          <w:rPr>
            <w:sz w:val="20"/>
            <w:color w:val="0000ff"/>
          </w:rPr>
          <w:t xml:space="preserve">пунктом 2 статьи 12</w:t>
        </w:r>
      </w:hyperlink>
      <w:r>
        <w:rPr>
          <w:sz w:val="20"/>
        </w:rPr>
        <w:t xml:space="preserve"> Федерального закона от 04.05.1999 N 96-ФЗ "Об охране атмосферного воздуха"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Собрание законодательства Российской Федерации, 1999, N 18, ст. 2222; 2019, N 30, ст. 4097.</w:t>
      </w:r>
    </w:p>
    <w:p>
      <w:pPr>
        <w:pStyle w:val="0"/>
        <w:jc w:val="both"/>
      </w:pPr>
      <w:r>
        <w:rPr>
          <w:sz w:val="20"/>
        </w:rPr>
      </w:r>
    </w:p>
    <w:p>
      <w:pPr>
        <w:pStyle w:val="0"/>
        <w:ind w:firstLine="540"/>
        <w:jc w:val="both"/>
      </w:pPr>
      <w:hyperlink w:history="0" r:id="rId9"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загрязняющих веществ, в отношении которых применяются меры государственного регулирования в области охраны окружающей среды, утвержден распоряжением Правительства Российской Федерации от 08.07.2015 N 1316-р (далее - Перечень регулируемых загрязняющих веществ)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Собрание законодательства Российской Федерации, 2015, N 29, ст. 4524; 2019, N 20, ст. 2472.</w:t>
      </w:r>
    </w:p>
    <w:p>
      <w:pPr>
        <w:pStyle w:val="0"/>
        <w:jc w:val="both"/>
      </w:pPr>
      <w:r>
        <w:rPr>
          <w:sz w:val="20"/>
        </w:rPr>
      </w:r>
    </w:p>
    <w:p>
      <w:pPr>
        <w:pStyle w:val="0"/>
        <w:ind w:firstLine="540"/>
        <w:jc w:val="both"/>
      </w:pPr>
      <w:r>
        <w:rPr>
          <w:sz w:val="20"/>
        </w:rPr>
        <w:t xml:space="preserve">3. При разработке предельно допустимых выбросов используются </w:t>
      </w:r>
      <w:hyperlink w:history="0" r:id="rId1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методы</w:t>
        </w:r>
      </w:hyperlink>
      <w:r>
        <w:rPr>
          <w:sz w:val="20"/>
        </w:rPr>
        <w:t xml:space="preserve"> расчетов рассеивания выбросов вредных (загрязняющих) веществ в атмосферном воздухе, утвержденные приказом Минприроды России от 06.06.2017 N 273 (далее - Методы расчета рассеивания)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Приказ</w:t>
        </w:r>
      </w:hyperlink>
      <w:r>
        <w:rPr>
          <w:sz w:val="20"/>
        </w:rPr>
        <w:t xml:space="preserve"> Минприроды России от 06.06.2017 N 273 "Об утверждении методов расчетов рассеивания выбросов вредных (загрязняющих) веществ в атмосферном воздухе" (зарегистрирован Минюстом России 10.08.2017, регистрационный N 47734).</w:t>
      </w:r>
    </w:p>
    <w:p>
      <w:pPr>
        <w:pStyle w:val="0"/>
        <w:jc w:val="both"/>
      </w:pPr>
      <w:r>
        <w:rPr>
          <w:sz w:val="20"/>
        </w:rPr>
      </w:r>
    </w:p>
    <w:p>
      <w:pPr>
        <w:pStyle w:val="0"/>
        <w:ind w:firstLine="540"/>
        <w:jc w:val="both"/>
      </w:pPr>
      <w:r>
        <w:rPr>
          <w:sz w:val="20"/>
        </w:rPr>
        <w:t xml:space="preserve">4. 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w:t>
      </w:r>
      <w:hyperlink w:history="0" r:id="rId12"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статьи 4.2</w:t>
        </w:r>
      </w:hyperlink>
      <w:r>
        <w:rPr>
          <w:sz w:val="20"/>
        </w:rPr>
        <w:t xml:space="preserve"> Федерального закона от 10.01.2002 N 7-ФЗ "Об охране окружающей среды"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5. Предельно допустимые выбросы не рассчитываются для объектов ОНВ IV категории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13"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Пункт 5 статьи 22</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Для планируемых к строительству объектов ОНВ предельно допустимые выбросы рассчитываются при проведении оценки воздействия на окружающую среду.</w:t>
      </w:r>
    </w:p>
    <w:p>
      <w:pPr>
        <w:pStyle w:val="0"/>
        <w:spacing w:before="200" w:line-rule="auto"/>
        <w:ind w:firstLine="540"/>
        <w:jc w:val="both"/>
      </w:pPr>
      <w:r>
        <w:rPr>
          <w:sz w:val="20"/>
        </w:rPr>
        <w:t xml:space="preserve">Для объектов II категории предельно допустимые выбросы устанавливаются для загрязняющих веществ, содержащихся в выбросах объекта и включенных в </w:t>
      </w:r>
      <w:hyperlink w:history="0" r:id="rId1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 указанный в </w:t>
      </w:r>
      <w:hyperlink w:history="0" w:anchor="P36" w:tooltip="2. В соответствии с пунктом 2 статьи 12 Федерального закона от 04.05.1999 N 96-ФЗ &quot;Об охране атмосферного воздуха&quot; &lt;1&gt; предельно допустимые выбросы определяются в отношении загрязняющих веществ, перечень которых устанавливается Правительством Российской Федерации в соответствии с законодательством Российской Федерации в области охраны окружающей среды, для стационарного источника и (или) совокупности стационарных источников расчетным путем на основе нормативов качества атмосферного воздуха с учетом фонов...">
        <w:r>
          <w:rPr>
            <w:sz w:val="20"/>
            <w:color w:val="0000ff"/>
          </w:rPr>
          <w:t xml:space="preserve">пункте 2</w:t>
        </w:r>
      </w:hyperlink>
      <w:r>
        <w:rPr>
          <w:sz w:val="20"/>
        </w:rPr>
        <w:t xml:space="preserve"> настоящей методики.</w:t>
      </w:r>
    </w:p>
    <w:p>
      <w:pPr>
        <w:pStyle w:val="0"/>
        <w:spacing w:before="200" w:line-rule="auto"/>
        <w:ind w:firstLine="540"/>
        <w:jc w:val="both"/>
      </w:pPr>
      <w:r>
        <w:rPr>
          <w:sz w:val="20"/>
        </w:rPr>
        <w:t xml:space="preserve">Для объектов I и III категории предельно допустимые выбросы устанавливаются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pPr>
        <w:pStyle w:val="0"/>
        <w:spacing w:before="200" w:line-rule="auto"/>
        <w:ind w:firstLine="540"/>
        <w:jc w:val="both"/>
      </w:pPr>
      <w:r>
        <w:rPr>
          <w:sz w:val="20"/>
        </w:rPr>
        <w:t xml:space="preserve">Классы опасности загрязняющих веществ определяются в соответствии с санитарными правилами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w:t>
      </w:r>
      <w:hyperlink w:history="0" r:id="rId15"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(зарегистрировано Минюстом России 09.01.2018, регистрационный N 49557) с изменениями, внесенными постановлением Главного государственного санитарного врача Российской Федерации от 31.05.2018 N 37 (зарегистрировано Минюстом России 18.06.2018, регистрационный N 51367).</w:t>
      </w:r>
    </w:p>
    <w:p>
      <w:pPr>
        <w:pStyle w:val="0"/>
        <w:jc w:val="both"/>
      </w:pPr>
      <w:r>
        <w:rPr>
          <w:sz w:val="20"/>
        </w:rPr>
      </w:r>
    </w:p>
    <w:bookmarkStart w:id="63" w:name="P63"/>
    <w:bookmarkEnd w:id="63"/>
    <w:p>
      <w:pPr>
        <w:pStyle w:val="0"/>
        <w:ind w:firstLine="540"/>
        <w:jc w:val="both"/>
      </w:pPr>
      <w:r>
        <w:rPr>
          <w:sz w:val="20"/>
        </w:rPr>
        <w:t xml:space="preserve">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w:t>
      </w:r>
      <w:hyperlink w:history="0" r:id="rId16"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пунктами 1</w:t>
        </w:r>
      </w:hyperlink>
      <w:r>
        <w:rPr>
          <w:sz w:val="20"/>
        </w:rPr>
        <w:t xml:space="preserve"> и </w:t>
      </w:r>
      <w:hyperlink w:history="0" r:id="rId17"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2</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 (Собрание законодательства Российской Федерации, 2000, N 10, ст. 1143; 2019, N 8, ст. 778).</w:t>
      </w:r>
    </w:p>
    <w:p>
      <w:pPr>
        <w:pStyle w:val="0"/>
        <w:spacing w:before="200" w:line-rule="auto"/>
        <w:ind w:firstLine="540"/>
        <w:jc w:val="both"/>
      </w:pPr>
      <w:r>
        <w:rPr>
          <w:sz w:val="20"/>
        </w:rPr>
        <w:t xml:space="preserve">7. Для Байкальской природной территории предельно допустимые выбросы определяются с учетом требований </w:t>
      </w:r>
      <w:hyperlink w:history="0" r:id="rId18" w:tooltip="Федеральный закон от 01.05.1999 N 94-ФЗ (ред. от 01.05.2022) &quot;Об охране озера Байкал&quot; {КонсультантПлюс}">
        <w:r>
          <w:rPr>
            <w:sz w:val="20"/>
            <w:color w:val="0000ff"/>
          </w:rPr>
          <w:t xml:space="preserve">пункта 1 статьи 14</w:t>
        </w:r>
      </w:hyperlink>
      <w:r>
        <w:rPr>
          <w:sz w:val="20"/>
        </w:rPr>
        <w:t xml:space="preserve"> Федерального закона от 01.05.1999 N 94-ФЗ "Об охране озера Байкал"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Собрание законодательства Российской Федерации, 1999, N 18, ст. 2220; 2014, с. N 26, 3387.</w:t>
      </w:r>
    </w:p>
    <w:p>
      <w:pPr>
        <w:pStyle w:val="0"/>
        <w:jc w:val="both"/>
      </w:pPr>
      <w:r>
        <w:rPr>
          <w:sz w:val="20"/>
        </w:rPr>
      </w:r>
    </w:p>
    <w:p>
      <w:pPr>
        <w:pStyle w:val="0"/>
        <w:ind w:firstLine="540"/>
        <w:jc w:val="both"/>
      </w:pPr>
      <w:r>
        <w:rPr>
          <w:sz w:val="20"/>
        </w:rPr>
        <w:t xml:space="preserve">8. Для строящихся, вводимых в эксплуатацию новых и (или) реконструированных объектов ОНВ предельно допустимые выбросы разрабатываются на основе проектной документации.</w:t>
      </w:r>
    </w:p>
    <w:p>
      <w:pPr>
        <w:pStyle w:val="0"/>
        <w:spacing w:before="200" w:line-rule="auto"/>
        <w:ind w:firstLine="540"/>
        <w:jc w:val="both"/>
      </w:pPr>
      <w:r>
        <w:rPr>
          <w:sz w:val="20"/>
        </w:rPr>
        <w:t xml:space="preserve">9. Для действующих объектов ОНВ предельно допустимые выбросы разрабатываются на основе данных инвентаризации стационарных источников и выбросов загрязняющих веществ в атмосферный воздух (далее - инвентаризация выбросов), которая проводится в соответствии с </w:t>
      </w:r>
      <w:hyperlink w:history="0" r:id="rId1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Порядком</w:t>
        </w:r>
      </w:hyperlink>
      <w:r>
        <w:rPr>
          <w:sz w:val="20"/>
        </w:rPr>
        <w:t xml:space="preserve">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такой инвентаризации и корректировки, утвержденным приказом Минприроды России от 07.08.2018 N 352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Зарегистрирован Минюстом России 24.10.2018, регистрационный N 52522; с изменениями, внесенными приказом Минприроды России от 17.09.2019 N 627 (зарегистрирован Минюстом России 13.12.2019, регистрационный N 56797).</w:t>
      </w:r>
    </w:p>
    <w:p>
      <w:pPr>
        <w:pStyle w:val="0"/>
        <w:jc w:val="both"/>
      </w:pPr>
      <w:r>
        <w:rPr>
          <w:sz w:val="20"/>
        </w:rPr>
      </w:r>
    </w:p>
    <w:p>
      <w:pPr>
        <w:pStyle w:val="0"/>
        <w:ind w:firstLine="540"/>
        <w:jc w:val="both"/>
      </w:pPr>
      <w:r>
        <w:rPr>
          <w:sz w:val="20"/>
        </w:rPr>
        <w:t xml:space="preserve">В случае сноса (ликвидации) объекта ОНВ, его части, в том числе цеха, производственного участка, установки, разработка предельно допустимых выбросов осуществляется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аналогично разработке предельно допустимых выбросов для строящихся, вводимых в эксплуатацию новых и (или) реконструированных объектов ОНВ.</w:t>
      </w:r>
    </w:p>
    <w:p>
      <w:pPr>
        <w:pStyle w:val="0"/>
        <w:spacing w:before="200" w:line-rule="auto"/>
        <w:ind w:firstLine="540"/>
        <w:jc w:val="both"/>
      </w:pPr>
      <w:r>
        <w:rPr>
          <w:sz w:val="20"/>
        </w:rPr>
        <w:t xml:space="preserve">10. При разработке предельно допустимых выбросов данные о каждом стационарном источнике определяются исходя из условий работы технологического оборудования в режиме, при котором выбросы по конкретному загрязняющему веществу достигают максимальных значений.</w:t>
      </w:r>
    </w:p>
    <w:p>
      <w:pPr>
        <w:pStyle w:val="0"/>
        <w:spacing w:before="200" w:line-rule="auto"/>
        <w:ind w:firstLine="540"/>
        <w:jc w:val="both"/>
      </w:pPr>
      <w:r>
        <w:rPr>
          <w:sz w:val="20"/>
        </w:rPr>
        <w:t xml:space="preserve">11. Расчеты предельно допустимых выбросов оформляются в электронном виде и на бумажном носителе в виде сброшюрованного тома (с нумерацией страниц), который подразделяется на разделы, включающие информацию, предусмотренную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 и может содержать приложения.</w:t>
      </w:r>
    </w:p>
    <w:p>
      <w:pPr>
        <w:pStyle w:val="0"/>
        <w:spacing w:before="200" w:line-rule="auto"/>
        <w:ind w:firstLine="540"/>
        <w:jc w:val="both"/>
      </w:pPr>
      <w:r>
        <w:rPr>
          <w:sz w:val="20"/>
        </w:rPr>
        <w:t xml:space="preserve">Расчеты предельно допустимых выбросов содержат следующие сведения и материалы (далее - материалы):</w:t>
      </w:r>
    </w:p>
    <w:p>
      <w:pPr>
        <w:pStyle w:val="0"/>
        <w:spacing w:before="200" w:line-rule="auto"/>
        <w:ind w:firstLine="540"/>
        <w:jc w:val="both"/>
      </w:pPr>
      <w:r>
        <w:rPr>
          <w:sz w:val="20"/>
        </w:rPr>
        <w:t xml:space="preserve">1) титульный лист;</w:t>
      </w:r>
    </w:p>
    <w:p>
      <w:pPr>
        <w:pStyle w:val="0"/>
        <w:spacing w:before="200" w:line-rule="auto"/>
        <w:ind w:firstLine="540"/>
        <w:jc w:val="both"/>
      </w:pPr>
      <w:r>
        <w:rPr>
          <w:sz w:val="20"/>
        </w:rPr>
        <w:t xml:space="preserve">2) сведения о разработчике и исполнителях;</w:t>
      </w:r>
    </w:p>
    <w:p>
      <w:pPr>
        <w:pStyle w:val="0"/>
        <w:spacing w:before="200" w:line-rule="auto"/>
        <w:ind w:firstLine="540"/>
        <w:jc w:val="both"/>
      </w:pPr>
      <w:r>
        <w:rPr>
          <w:sz w:val="20"/>
        </w:rPr>
        <w:t xml:space="preserve">3) содержание (с указанием номеров страниц), введение;</w:t>
      </w:r>
    </w:p>
    <w:p>
      <w:pPr>
        <w:pStyle w:val="0"/>
        <w:spacing w:before="200" w:line-rule="auto"/>
        <w:ind w:firstLine="540"/>
        <w:jc w:val="both"/>
      </w:pPr>
      <w:r>
        <w:rPr>
          <w:sz w:val="20"/>
        </w:rPr>
        <w:t xml:space="preserve">4) данные, на основании которых разрабатываются предельно допустимые выбросы, включая данные инвентаризации источников выбросов и выбросов загрязняющих веществ в атмосферный воздух и краткие сведения об объекте ОНВ и его воздействии на атмосферный воздух, включая сведения о расположении объекта ОНВ и прилегающей территории;</w:t>
      </w:r>
    </w:p>
    <w:p>
      <w:pPr>
        <w:pStyle w:val="0"/>
        <w:spacing w:before="200" w:line-rule="auto"/>
        <w:ind w:firstLine="540"/>
        <w:jc w:val="both"/>
      </w:pPr>
      <w:r>
        <w:rPr>
          <w:sz w:val="20"/>
        </w:rPr>
        <w:t xml:space="preserve">5) перечень загрязняющих веществ, в отношении которых разрабатываются предельно допустимые выбросы, с указанием смесей веществ, обладающих суммацией действия (комбинированным действием);</w:t>
      </w:r>
    </w:p>
    <w:p>
      <w:pPr>
        <w:pStyle w:val="0"/>
        <w:spacing w:before="200" w:line-rule="auto"/>
        <w:ind w:firstLine="540"/>
        <w:jc w:val="both"/>
      </w:pPr>
      <w:r>
        <w:rPr>
          <w:sz w:val="20"/>
        </w:rPr>
        <w:t xml:space="preserve">6) данные о расчетах рассеивания выбросов, включая расчеты рассеивания и расчет общего загрязнения атмосферного воздуха, и перечень источников с наибольшим воздействием на атмосферный воздух;</w:t>
      </w:r>
    </w:p>
    <w:p>
      <w:pPr>
        <w:pStyle w:val="0"/>
        <w:spacing w:before="200" w:line-rule="auto"/>
        <w:ind w:firstLine="540"/>
        <w:jc w:val="both"/>
      </w:pPr>
      <w:r>
        <w:rPr>
          <w:sz w:val="20"/>
        </w:rPr>
        <w:t xml:space="preserve">7) рассчитанные значения предельно допустимых выбросов;</w:t>
      </w:r>
    </w:p>
    <w:p>
      <w:pPr>
        <w:pStyle w:val="0"/>
        <w:spacing w:before="200" w:line-rule="auto"/>
        <w:ind w:firstLine="540"/>
        <w:jc w:val="both"/>
      </w:pPr>
      <w:r>
        <w:rPr>
          <w:sz w:val="20"/>
        </w:rPr>
        <w:t xml:space="preserve">8) сведения о стационарных источниках и загрязняющих веществах, по которым предельно допустимые выбросы на объекте ОНВ не обеспечиваются;</w:t>
      </w:r>
    </w:p>
    <w:p>
      <w:pPr>
        <w:pStyle w:val="0"/>
        <w:spacing w:before="200" w:line-rule="auto"/>
        <w:ind w:firstLine="540"/>
        <w:jc w:val="both"/>
      </w:pPr>
      <w:r>
        <w:rPr>
          <w:sz w:val="20"/>
        </w:rPr>
        <w:t xml:space="preserve">9) расчет выбросов для соблюдения предельно допустимых выбросов при наступлении неблагоприятных метеорологических условий;</w:t>
      </w:r>
    </w:p>
    <w:p>
      <w:pPr>
        <w:pStyle w:val="0"/>
        <w:spacing w:before="200" w:line-rule="auto"/>
        <w:ind w:firstLine="540"/>
        <w:jc w:val="both"/>
      </w:pPr>
      <w:r>
        <w:rPr>
          <w:sz w:val="20"/>
        </w:rPr>
        <w:t xml:space="preserve">10) сведения о полученном санитарно-эпидемиологическом заключении о соответствии предельно допустимых выбросов санитарным правилам в соответствии со </w:t>
      </w:r>
      <w:hyperlink w:history="0" r:id="rId20"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статьей 20</w:t>
        </w:r>
      </w:hyperlink>
      <w:r>
        <w:rPr>
          <w:sz w:val="20"/>
        </w:rPr>
        <w:t xml:space="preserve"> Федерального закона от 30.03.1999 N 52-ФЗ "О санитарно-эпидемиологическом благополучии населения" (Собрание законодательства Российской Федерации, 1999, N 14, ст. 1650);</w:t>
      </w:r>
    </w:p>
    <w:p>
      <w:pPr>
        <w:pStyle w:val="0"/>
        <w:spacing w:before="200" w:line-rule="auto"/>
        <w:ind w:firstLine="540"/>
        <w:jc w:val="both"/>
      </w:pPr>
      <w:r>
        <w:rPr>
          <w:sz w:val="20"/>
        </w:rPr>
        <w:t xml:space="preserve">11) приложения (в случае необходимости).</w:t>
      </w:r>
    </w:p>
    <w:p>
      <w:pPr>
        <w:pStyle w:val="0"/>
        <w:spacing w:before="200" w:line-rule="auto"/>
        <w:ind w:firstLine="540"/>
        <w:jc w:val="both"/>
      </w:pPr>
      <w:r>
        <w:rPr>
          <w:sz w:val="20"/>
        </w:rPr>
        <w:t xml:space="preserve">На бумажном носителе материалы должны быть подписаны и заверены печатью (при ее наличии) юридическим лицом или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Соответствие информации, представленной в электронном виде, той информации, которая представлена на бумажном носителе, обеспечивается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При наличии усиленной квалифицированной электронной подписи материалы, представленные в электронном виде, выполняются в форме электронного документа, подписанного усиленной квалифицированной электронной подписью в порядке, установленном Федеральным </w:t>
      </w:r>
      <w:hyperlink w:history="0" r:id="rId21" w:tooltip="Федеральный закон от 06.04.2011 N 63-ФЗ (ред. от 04.08.2023) &quot;Об электронной подписи&quot; (с изм. и доп., вступ. в силу с 01.09.2023) {КонсультантПлюс}">
        <w:r>
          <w:rPr>
            <w:sz w:val="20"/>
            <w:color w:val="0000ff"/>
          </w:rPr>
          <w:t xml:space="preserve">законом</w:t>
        </w:r>
      </w:hyperlink>
      <w:r>
        <w:rPr>
          <w:sz w:val="20"/>
        </w:rPr>
        <w:t xml:space="preserve"> от 06.04.2011 N 63-ФЗ "Об электронной подписи"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Собрание законодательства Российской Федерации, 2011, N 15, ст. 2036; 2020, N 24, ст. 3755.</w:t>
      </w:r>
    </w:p>
    <w:p>
      <w:pPr>
        <w:pStyle w:val="0"/>
        <w:jc w:val="both"/>
      </w:pPr>
      <w:r>
        <w:rPr>
          <w:sz w:val="20"/>
        </w:rPr>
      </w:r>
    </w:p>
    <w:p>
      <w:pPr>
        <w:pStyle w:val="0"/>
        <w:ind w:firstLine="540"/>
        <w:jc w:val="both"/>
      </w:pPr>
      <w:r>
        <w:rPr>
          <w:sz w:val="20"/>
        </w:rPr>
        <w:t xml:space="preserve">12. Разработка предельно допустимых выбросов включает:</w:t>
      </w:r>
    </w:p>
    <w:p>
      <w:pPr>
        <w:pStyle w:val="0"/>
        <w:spacing w:before="200" w:line-rule="auto"/>
        <w:ind w:firstLine="540"/>
        <w:jc w:val="both"/>
      </w:pPr>
      <w:r>
        <w:rPr>
          <w:sz w:val="20"/>
        </w:rPr>
        <w:t xml:space="preserve">а) формирование данных для разработки предельно допустимых выбросов;</w:t>
      </w:r>
    </w:p>
    <w:p>
      <w:pPr>
        <w:pStyle w:val="0"/>
        <w:spacing w:before="200" w:line-rule="auto"/>
        <w:ind w:firstLine="540"/>
        <w:jc w:val="both"/>
      </w:pPr>
      <w:r>
        <w:rPr>
          <w:sz w:val="20"/>
        </w:rPr>
        <w:t xml:space="preserve">б) определение перечня загрязняющих веществ и стационарных источников, в отношении которых осуществляется разработка предельно допустимых выбросов;</w:t>
      </w:r>
    </w:p>
    <w:p>
      <w:pPr>
        <w:pStyle w:val="0"/>
        <w:spacing w:before="200" w:line-rule="auto"/>
        <w:ind w:firstLine="540"/>
        <w:jc w:val="both"/>
      </w:pPr>
      <w:r>
        <w:rPr>
          <w:sz w:val="20"/>
        </w:rPr>
        <w:t xml:space="preserve">в) проведение и анализ расчетов рассеивания выбросов и расчет значений предельно допустимых выбросов;</w:t>
      </w:r>
    </w:p>
    <w:p>
      <w:pPr>
        <w:pStyle w:val="0"/>
        <w:spacing w:before="200" w:line-rule="auto"/>
        <w:ind w:firstLine="540"/>
        <w:jc w:val="both"/>
      </w:pPr>
      <w:r>
        <w:rPr>
          <w:sz w:val="20"/>
        </w:rPr>
        <w:t xml:space="preserve">г) расчет выбросов для соблюдения предельно допустимых выбросов при наступлении неблагоприятных метеорологических условий.</w:t>
      </w:r>
    </w:p>
    <w:p>
      <w:pPr>
        <w:pStyle w:val="0"/>
        <w:jc w:val="both"/>
      </w:pPr>
      <w:r>
        <w:rPr>
          <w:sz w:val="20"/>
        </w:rPr>
      </w:r>
    </w:p>
    <w:bookmarkStart w:id="100" w:name="P100"/>
    <w:bookmarkEnd w:id="100"/>
    <w:p>
      <w:pPr>
        <w:pStyle w:val="2"/>
        <w:outlineLvl w:val="1"/>
        <w:jc w:val="center"/>
      </w:pPr>
      <w:r>
        <w:rPr>
          <w:sz w:val="20"/>
        </w:rPr>
        <w:t xml:space="preserve">II. Формирование данных для разработки предельно</w:t>
      </w:r>
    </w:p>
    <w:p>
      <w:pPr>
        <w:pStyle w:val="2"/>
        <w:jc w:val="center"/>
      </w:pPr>
      <w:r>
        <w:rPr>
          <w:sz w:val="20"/>
        </w:rPr>
        <w:t xml:space="preserve">допустимых выбросов</w:t>
      </w:r>
    </w:p>
    <w:p>
      <w:pPr>
        <w:pStyle w:val="0"/>
        <w:jc w:val="both"/>
      </w:pPr>
      <w:r>
        <w:rPr>
          <w:sz w:val="20"/>
        </w:rPr>
      </w:r>
    </w:p>
    <w:bookmarkStart w:id="103" w:name="P103"/>
    <w:bookmarkEnd w:id="103"/>
    <w:p>
      <w:pPr>
        <w:pStyle w:val="0"/>
        <w:ind w:firstLine="540"/>
        <w:jc w:val="both"/>
      </w:pPr>
      <w:r>
        <w:rPr>
          <w:sz w:val="20"/>
        </w:rPr>
        <w:t xml:space="preserve">13. В состав данных, на основе которых проводится разработка предельно допустимых выбросов, входят:</w:t>
      </w:r>
    </w:p>
    <w:p>
      <w:pPr>
        <w:pStyle w:val="0"/>
        <w:spacing w:before="200" w:line-rule="auto"/>
        <w:ind w:firstLine="540"/>
        <w:jc w:val="both"/>
      </w:pPr>
      <w:r>
        <w:rPr>
          <w:sz w:val="20"/>
        </w:rPr>
        <w:t xml:space="preserve">а)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w:t>
      </w:r>
    </w:p>
    <w:p>
      <w:pPr>
        <w:pStyle w:val="0"/>
        <w:spacing w:before="200" w:line-rule="auto"/>
        <w:ind w:firstLine="540"/>
        <w:jc w:val="both"/>
      </w:pPr>
      <w:r>
        <w:rPr>
          <w:sz w:val="20"/>
        </w:rPr>
        <w:t xml:space="preserve">б) информация о географических, климатических и метеорологических характеристиках района расположения объекта ОНВ;</w:t>
      </w:r>
    </w:p>
    <w:p>
      <w:pPr>
        <w:pStyle w:val="0"/>
        <w:spacing w:before="200" w:line-rule="auto"/>
        <w:ind w:firstLine="540"/>
        <w:jc w:val="both"/>
      </w:pPr>
      <w:r>
        <w:rPr>
          <w:sz w:val="20"/>
        </w:rPr>
        <w:t xml:space="preserve">в) данные о фоновом уровне загрязнения атмосферного воздуха;</w:t>
      </w:r>
    </w:p>
    <w:p>
      <w:pPr>
        <w:pStyle w:val="0"/>
        <w:spacing w:before="200" w:line-rule="auto"/>
        <w:ind w:firstLine="540"/>
        <w:jc w:val="both"/>
      </w:pPr>
      <w:r>
        <w:rPr>
          <w:sz w:val="20"/>
        </w:rPr>
        <w:t xml:space="preserve">г) сведения о расположении объекта ОНВ и прилегающей территории;</w:t>
      </w:r>
    </w:p>
    <w:p>
      <w:pPr>
        <w:pStyle w:val="0"/>
        <w:spacing w:before="200" w:line-rule="auto"/>
        <w:ind w:firstLine="540"/>
        <w:jc w:val="both"/>
      </w:pPr>
      <w:r>
        <w:rPr>
          <w:sz w:val="20"/>
        </w:rPr>
        <w:t xml:space="preserve">д) сведения об объекте ОНВ и его воздействии на атмосферный воздух с учетом возможных изменений видов и объемов деятельности (перспективы развития);</w:t>
      </w:r>
    </w:p>
    <w:p>
      <w:pPr>
        <w:pStyle w:val="0"/>
        <w:spacing w:before="200" w:line-rule="auto"/>
        <w:ind w:firstLine="540"/>
        <w:jc w:val="both"/>
      </w:pPr>
      <w:r>
        <w:rPr>
          <w:sz w:val="20"/>
        </w:rPr>
        <w:t xml:space="preserve">е)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w:t>
      </w:r>
    </w:p>
    <w:p>
      <w:pPr>
        <w:pStyle w:val="0"/>
        <w:spacing w:before="200" w:line-rule="auto"/>
        <w:ind w:firstLine="540"/>
        <w:jc w:val="both"/>
      </w:pPr>
      <w:r>
        <w:rPr>
          <w:sz w:val="20"/>
        </w:rPr>
        <w:t xml:space="preserve">ж) данные о стационарных источниках и выбросах, выполненные на основе проектной документации &lt;10&gt;, для строящихся, вводимых в эксплуатацию новых и (или) реконструированных объектов ОНВ. Разделы (подразделы) проектной документации, содержащие данные о стационарных источниках и выбросах, указаны в </w:t>
      </w:r>
      <w:hyperlink w:history="0" w:anchor="P193" w:tooltip="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
        <w:r>
          <w:rPr>
            <w:sz w:val="20"/>
            <w:color w:val="0000ff"/>
          </w:rPr>
          <w:t xml:space="preserve">пункте 20</w:t>
        </w:r>
      </w:hyperlink>
      <w:r>
        <w:rPr>
          <w:sz w:val="20"/>
        </w:rPr>
        <w:t xml:space="preserve"> настоящей методики.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2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2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2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2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2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2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2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3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3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3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3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утвержденные постановлением Правительства Российской Федерации от 16.02.2008 N 87 (Собрание законодательства Российской Федерации, 2008, N 8, ст. 744; 2018, N 18, ст. 2630).</w:t>
      </w:r>
    </w:p>
    <w:p>
      <w:pPr>
        <w:pStyle w:val="0"/>
        <w:jc w:val="both"/>
      </w:pPr>
      <w:r>
        <w:rPr>
          <w:sz w:val="20"/>
        </w:rPr>
      </w:r>
    </w:p>
    <w:bookmarkStart w:id="114" w:name="P114"/>
    <w:bookmarkEnd w:id="114"/>
    <w:p>
      <w:pPr>
        <w:pStyle w:val="0"/>
        <w:ind w:firstLine="540"/>
        <w:jc w:val="both"/>
      </w:pPr>
      <w:r>
        <w:rPr>
          <w:sz w:val="20"/>
        </w:rPr>
        <w:t xml:space="preserve">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w:t>
      </w:r>
    </w:p>
    <w:p>
      <w:pPr>
        <w:pStyle w:val="0"/>
        <w:spacing w:before="200" w:line-rule="auto"/>
        <w:ind w:firstLine="540"/>
        <w:jc w:val="both"/>
      </w:pPr>
      <w:r>
        <w:rPr>
          <w:sz w:val="20"/>
        </w:rPr>
        <w:t xml:space="preserve">гигиенических нормативов качества атмосферного воздуха, установленных в соответствии с </w:t>
      </w:r>
      <w:hyperlink w:history="0" r:id="rId34" w:tooltip="Федеральный закон от 30.03.1999 N 52-ФЗ (ред. от 24.07.2023) &quot;О санитарно-эпидемиологическом благополучии населения&quot; {КонсультантПлюс}">
        <w:r>
          <w:rPr>
            <w:sz w:val="20"/>
            <w:color w:val="0000ff"/>
          </w:rPr>
          <w:t xml:space="preserve">пунктом 2 статьи 20</w:t>
        </w:r>
      </w:hyperlink>
      <w:r>
        <w:rPr>
          <w:sz w:val="20"/>
        </w:rPr>
        <w:t xml:space="preserve"> Федерального закона от 30.03.1999 N 52-ФЗ "О санитарно-эпидемиологическом благополучии населения", в том числе с учетом требований к качеству атмосферного воздуха в местах массового отдыха населения, территориях размещения лечебно-профилактических учреждений длительного пребывания больных и центров реабилитации &lt;11&gt; (далее - зоны с особыми условиями);</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&lt;11&gt; </w:t>
      </w:r>
      <w:hyperlink w:history="0" r:id="rId35"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 (зарегистрировано Минюстом России 18.05.2001, регистрационный N 2711).</w:t>
      </w:r>
    </w:p>
    <w:p>
      <w:pPr>
        <w:pStyle w:val="0"/>
        <w:jc w:val="both"/>
      </w:pPr>
      <w:r>
        <w:rPr>
          <w:sz w:val="20"/>
        </w:rPr>
      </w:r>
    </w:p>
    <w:p>
      <w:pPr>
        <w:pStyle w:val="0"/>
        <w:ind w:firstLine="540"/>
        <w:jc w:val="both"/>
      </w:pPr>
      <w:r>
        <w:rPr>
          <w:sz w:val="20"/>
        </w:rPr>
        <w:t xml:space="preserve">экологических нормативов качества атмосферного воздуха, установленных в соответствии с </w:t>
      </w:r>
      <w:hyperlink w:history="0" r:id="rId36" w:tooltip="Постановление Правительства РФ от 13.02.2019 N 149 &quot;О разработке, установлении и пересмотре нормативов качества окружающей среды для химических и физических показателей состояния окружающей среды, а также об утверждении нормативных документов в области охраны окружающей среды, устанавливающих технологические показатели наилучших доступных технологий&quot; (вместе с &quot;Положением о разработке, установлении и пересмотре нормативов качества окружающей среды для химических и физических показателей состояния окружающей {КонсультантПлюс}">
        <w:r>
          <w:rPr>
            <w:sz w:val="20"/>
            <w:color w:val="0000ff"/>
          </w:rPr>
          <w:t xml:space="preserve">Положением</w:t>
        </w:r>
      </w:hyperlink>
      <w:r>
        <w:rPr>
          <w:sz w:val="20"/>
        </w:rPr>
        <w:t xml:space="preserve"> о разработке, установлении и пересмотре нормативов качества окружающей среды для химических и физических показателей состояния окружающей среды, утвержденным постановлением Правительства Российской Федерации от 13.02.2019 N 149 &lt;12&gt;.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&lt;12&gt; Собрание законодательства Российской Федерации, 2019, N 8, ст. 778.</w:t>
      </w:r>
    </w:p>
    <w:p>
      <w:pPr>
        <w:pStyle w:val="0"/>
        <w:jc w:val="both"/>
      </w:pPr>
      <w:r>
        <w:rPr>
          <w:sz w:val="20"/>
        </w:rPr>
      </w:r>
    </w:p>
    <w:p>
      <w:pPr>
        <w:pStyle w:val="0"/>
        <w:ind w:firstLine="540"/>
        <w:jc w:val="both"/>
      </w:pPr>
      <w:r>
        <w:rPr>
          <w:sz w:val="20"/>
        </w:rPr>
        <w:t xml:space="preserve">Для гигиенических нормативов качества атмосферного воздуха указываются значения максимальных разовых предельно допустимых концентраций загрязняющих веществ в атмосферном воздухе (далее - ПДК м.р.), ориентировочно безопасных уровней воздействия (далее - ОБУВ), среднесуточных и (или) среднегодовых предельно допустимых концентраций загрязняющих веществ в атмосферном воздухе (далее - ПДК с.с., ПДК с.год) при их наличии &lt;13&gt;, а также перечни смесей загрязняющих веществ, обладающих суммацией действия (комбинированным действием).</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&lt;13&gt; </w:t>
      </w:r>
      <w:hyperlink w:history="0" r:id="rId37"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38"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 (зарегистрировано Минюстом России 21.01.2008, регистрационный N 10966) с дополнениями, внесенными постановлением Главного государственного санитарного врача Российской Федерации от 18.02.2008 N 11 (зарегистрировано Минюстом России 11.03.2008, регистрационный N 11306), </w:t>
      </w:r>
      <w:hyperlink w:history="0" r:id="rId39" w:tooltip="Постановление Главного государственного санитарного врача РФ от 18.08.2008 N 47 (ред. от 27.04.2009) &quot;Об утверждении гигиенических нормативов ГН 2.1.6.2414-08&quot; (вместе с &quot;ГН 2.1.6.2414-08. Ориентировочные безопасные уровни воздействия (обув) загрязняющих веществ в атмосферном воздухе населенных мест. Дополнение 2 к ГН 2.1.6.2309-07. Гигиенические нормативы&quot;) (Зарегистрировано в Минюсте РФ 04.09.2008 N 1222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18.08.2008 N 47 (зарегистрировано Минюстом России 04.09.2008, регистрационный N 12224), </w:t>
      </w:r>
      <w:hyperlink w:history="0" r:id="rId40" w:tooltip="Постановление Главного государственного санитарного врача РФ от 27.01.2009 N 5 &quot;Об утверждении гигиенических нормативов ГН 2.1.6.2451-09&quot; (вместе с &quot;ГН 2.1.6.2451-09. Ориентировочные безопасные уровни воздействия (обув) загрязняющих веществ в атмосферном воздухе населенных мест. Дополнение N 3 к ГН 2.1.6.2309-07. Гигиенические нормативы&quot;) (Зарегистрировано в Минюсте РФ 13.02.2009 N 1333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27.01.2009 N 5 (зарегистрировано Минюстом России 13.02.2009, регистрационный N 13336), </w:t>
      </w:r>
      <w:hyperlink w:history="0" r:id="rId41" w:tooltip="Постановление Главного государственного санитарного врача РФ от 27.04.2009 N 25 &quot;Об утверждении гигиенических нормативов ГН 2.1.6.2505-09&quot; (вместе с &quot;ГН 2.1.6.2505-09. Ориентировочные безопасные уровни воздействия (обув) загрязняющих веществ в атмосферном воздухе населенных мест дополнение N 4 к ГН 2.1.6.2309-07. Гигиенические нормативы&quot;) (Зарегистрировано в Минюсте РФ 19.05.2009 N 13954)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27.04.2009 N 25 (зарегистрировано Минюстом России 19.05.2009, регистрационный N 13954), </w:t>
      </w:r>
      <w:hyperlink w:history="0" r:id="rId42" w:tooltip="Постановление Главного государственного санитарного врача РФ от 05.02.2010 N 8 &quot;Об утверждении гигиенических нормативов ГН 2.1.6.2577-10&quot; (вместе с &quot;ГН 2.1.6.2577-10. Ориентировочные безопасные уровни воздействия (обув) загрязняющих веществ в атмосферном воздухе населенных мест. Дополнение N 5 к ГН 2.1.6.2309-07. Гигиенические нормативы&quot;) (Зарегистрировано в Минюсте РФ 18.03.2010 N 166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05.02.2010 N 8 (зарегистрировано Минюстом России 18.03.2010, регистрационный N 16649), </w:t>
      </w:r>
      <w:hyperlink w:history="0" r:id="rId43" w:tooltip="Постановление Главного государственного санитарного врача РФ от 02.08.2010 N 98 &quot;Об утверждении гигиенических нормативов ГН 2.1.6.2703-10 &quot;Дополнение N 6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2.09.2010 N 1833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02.08.2010 N 98 (зарегистрировано Минюстом России 02.09.2010, регистрационный N 18339), </w:t>
      </w:r>
      <w:hyperlink w:history="0" r:id="rId44" w:tooltip="Постановление Главного государственного санитарного врача РФ от 10.11.2010 N 142 &quot;Об утверждении гигиенических нормативов ГН 2.1.6.2752-10 &quot;Дополнение N 7 к ГН 2.1.6.2309-07 &quot;Ориентировочные безопасные уровни воздействия (ОБУВ) загрязняющих веществ в атмосферном воздухе населенных мест&quot; (вместе с &quot;ГН 2.1.6.2752-10. Дополнение N 7 к ГН 2.1.6.2309-07.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10.11.2010 N 142 (зарегистрировано Минюстом России 21.12.2010, регистрационный N 19292), </w:t>
      </w:r>
      <w:hyperlink w:history="0" r:id="rId45" w:tooltip="Постановление Главного государственного санитарного врача РФ от 24.12.2010 N 170 &quot;Об утверждении гигиенических нормативов ГН 2.1.6.2798-10 &quot;Дополнение N 8 к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Ф 03.02.2011 N 19692)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24.12.2010 N 170 (зарегистрировано Минюстом России 03.02.2011, регистрационный N 19692), </w:t>
      </w:r>
      <w:hyperlink w:history="0" r:id="rId46" w:tooltip="Постановление Главного государственного санитарного врача РФ от 12.07.2011 N 95 &quot;Об утверждении гигиенических нормативов ГН 2.1.6.2894-11 &quot;Дополнение N 9 к ГН 2.1.6.2309-07 &quot;Ориентировочные безопасные уровни воздействия (ОБУВ) загрязняющих веществ в атмосферном воздухе населенных мест&quot; (вместе с &quot;ГН 2.1.6.2894-11...&quot;) (Зарегистрировано в Минюсте РФ 04.10.2011 N 21973)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12.07.2011 N 95 (зарегистрировано Минюстом России 04.10.2011, регистрационный N 21973), с изменениями, внесенными постановлением Главного государственного санитарного врача Российской Федерации от 09.10.2013 N 51 (зарегистрировано Минюстом России 02.12.2013, регистрационный N 30518), </w:t>
      </w:r>
      <w:hyperlink w:history="0" r:id="rId47" w:tooltip="Постановление Главного государственного санитарного врача РФ от 10.12.2014 N 84 &quot;О внесении изменений N 11 в ГН 2.1.6.2309-07 &quot;Ориентировочные безопасные уровни воздействия (ОБУВ) загрязняющих веществ в атмосферном воздухе населенных мест&quot; (Зарегистрировано в Минюсте России 15.01.2015 N 35549)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10.12.2014 N 84 (зарегистрировано Минюстом России 15.01.2015, регистрационный N 35549), </w:t>
      </w:r>
      <w:hyperlink w:history="0" r:id="rId48" w:tooltip="Постановление Главного государственного санитарного врача РФ от 21.10.2016 N 162 &quot;О внесении изменений в ГН 2.1.6.2309-07 &quot;Ориентировочные безопасные уровни действия (ОБУВ) загрязняющих веществ в атмосферном воздухе населенных мест&quot; (Зарегистрировано в Минюсте России 30.11.2016 N 44506) ------------ Утратил силу или отменен {КонсультантПлюс}">
        <w:r>
          <w:rPr>
            <w:sz w:val="20"/>
            <w:color w:val="0000ff"/>
          </w:rPr>
          <w:t xml:space="preserve">постановлением</w:t>
        </w:r>
      </w:hyperlink>
      <w:r>
        <w:rPr>
          <w:sz w:val="20"/>
        </w:rPr>
        <w:t xml:space="preserve"> Главного государственного санитарного врача Российской Федерации от 21.10.2016 N 162 (зарегистрировано Минюстом России 30.11.2016, регистрационный N 44506).</w:t>
      </w:r>
    </w:p>
    <w:p>
      <w:pPr>
        <w:pStyle w:val="0"/>
        <w:jc w:val="both"/>
      </w:pPr>
      <w:r>
        <w:rPr>
          <w:sz w:val="20"/>
        </w:rPr>
      </w:r>
    </w:p>
    <w:p>
      <w:pPr>
        <w:pStyle w:val="0"/>
        <w:ind w:firstLine="540"/>
        <w:jc w:val="both"/>
      </w:pPr>
      <w:r>
        <w:rPr>
          <w:sz w:val="20"/>
        </w:rPr>
        <w:t xml:space="preserve">Для экологических нормативов качества атмосферного воздуха, определенных для конкретных загрязняющих веществ, а также нормативов качества атмосферного воздуха, установленных субъектом Российской Федерации &lt;14&gt;, указываются значения таких нормативов.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&lt;14&gt; </w:t>
      </w:r>
      <w:hyperlink w:history="0" r:id="rId49"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Статья 6</w:t>
        </w:r>
      </w:hyperlink>
      <w:r>
        <w:rPr>
          <w:sz w:val="20"/>
        </w:rPr>
        <w:t xml:space="preserve"> Федерального закона от 10.01.2002 N 7-ФЗ "Об охране окружающей среды" (Собрание законодательства Российской Федерации, 2002, N 2, ст. 133; 2014, N 30, ст. 4220).</w:t>
      </w:r>
    </w:p>
    <w:p>
      <w:pPr>
        <w:pStyle w:val="0"/>
        <w:jc w:val="both"/>
      </w:pPr>
      <w:r>
        <w:rPr>
          <w:sz w:val="20"/>
        </w:rPr>
      </w:r>
    </w:p>
    <w:p>
      <w:pPr>
        <w:pStyle w:val="0"/>
        <w:ind w:firstLine="540"/>
        <w:jc w:val="both"/>
      </w:pPr>
      <w:r>
        <w:rPr>
          <w:sz w:val="20"/>
        </w:rPr>
        <w:t xml:space="preserve">15. Информация о географических, климатических и метеорологических характеристиках района расположения объекта ОНВ, определяющих условия рассеивания загрязняющих веществ в атмосферном воздухе, содержит следующие сведения:</w:t>
      </w:r>
    </w:p>
    <w:p>
      <w:pPr>
        <w:pStyle w:val="0"/>
        <w:spacing w:before="200" w:line-rule="auto"/>
        <w:ind w:firstLine="540"/>
        <w:jc w:val="both"/>
      </w:pPr>
      <w:r>
        <w:rPr>
          <w:sz w:val="20"/>
        </w:rPr>
        <w:t xml:space="preserve">коэффициент, зависящий от температурной стратификации атмосферы (А);</w:t>
      </w:r>
    </w:p>
    <w:p>
      <w:pPr>
        <w:pStyle w:val="0"/>
        <w:spacing w:before="200" w:line-rule="auto"/>
        <w:ind w:firstLine="540"/>
        <w:jc w:val="both"/>
      </w:pPr>
      <w:r>
        <w:rPr>
          <w:sz w:val="20"/>
        </w:rPr>
        <w:t xml:space="preserve">коэффициент рельефа местности;</w:t>
      </w:r>
    </w:p>
    <w:p>
      <w:pPr>
        <w:pStyle w:val="0"/>
        <w:spacing w:before="200" w:line-rule="auto"/>
        <w:ind w:firstLine="540"/>
        <w:jc w:val="both"/>
      </w:pPr>
      <w:r>
        <w:rPr>
          <w:sz w:val="20"/>
        </w:rPr>
        <w:t xml:space="preserve">средняя максимальная температура наружного воздуха наиболее жаркого месяца года (T, °C);</w:t>
      </w:r>
    </w:p>
    <w:p>
      <w:pPr>
        <w:pStyle w:val="0"/>
        <w:spacing w:before="200" w:line-rule="auto"/>
        <w:ind w:firstLine="540"/>
        <w:jc w:val="both"/>
      </w:pPr>
      <w:r>
        <w:rPr>
          <w:sz w:val="20"/>
        </w:rPr>
        <w:t xml:space="preserve">средняя температура наружного воздуха наиболее холодного месяца (T, °C);</w:t>
      </w:r>
    </w:p>
    <w:p>
      <w:pPr>
        <w:pStyle w:val="0"/>
        <w:spacing w:before="200" w:line-rule="auto"/>
        <w:ind w:firstLine="540"/>
        <w:jc w:val="both"/>
      </w:pPr>
      <w:r>
        <w:rPr>
          <w:sz w:val="20"/>
        </w:rPr>
        <w:t xml:space="preserve">среднегодовая роза ветров по 8 румбам ветра (%);</w:t>
      </w:r>
    </w:p>
    <w:p>
      <w:pPr>
        <w:pStyle w:val="0"/>
        <w:spacing w:before="200" w:line-rule="auto"/>
        <w:ind w:firstLine="540"/>
        <w:jc w:val="both"/>
      </w:pPr>
      <w:r>
        <w:rPr>
          <w:sz w:val="20"/>
        </w:rPr>
        <w:t xml:space="preserve">данные о скорости ветра, необходимые для проведения расчетов рассеивания.</w:t>
      </w:r>
    </w:p>
    <w:p>
      <w:pPr>
        <w:pStyle w:val="0"/>
        <w:spacing w:before="200" w:line-rule="auto"/>
        <w:ind w:firstLine="540"/>
        <w:jc w:val="both"/>
      </w:pPr>
      <w:r>
        <w:rPr>
          <w:sz w:val="20"/>
        </w:rPr>
        <w:t xml:space="preserve">Состав и значения географических, климатических и метеорологических характеристик района расположения объекта ОНВ, необходимых для проведения расчетов рассеивания, определяются в соответствии с </w:t>
      </w:r>
      <w:hyperlink w:history="0" r:id="rId5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&lt;15&gt;. Рекомендуемый образец документирования информации о географических, климатических и метеорологических характеристиках района расположения объекта ОНВ, определяющих условия рассеивания выбросов, приведен в </w:t>
      </w:r>
      <w:hyperlink w:history="0" w:anchor="P385" w:tooltip="Таблица N 1">
        <w:r>
          <w:rPr>
            <w:sz w:val="20"/>
            <w:color w:val="0000ff"/>
          </w:rPr>
          <w:t xml:space="preserve">таблице N 1</w:t>
        </w:r>
      </w:hyperlink>
      <w:r>
        <w:rPr>
          <w:sz w:val="20"/>
        </w:rPr>
        <w:t xml:space="preserve"> приложения N 1 к настоящей методике.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&lt;15&gt; </w:t>
      </w:r>
      <w:hyperlink w:history="0" r:id="rId5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IV</w:t>
        </w:r>
      </w:hyperlink>
      <w:r>
        <w:rPr>
          <w:sz w:val="20"/>
        </w:rPr>
        <w:t xml:space="preserve">, </w:t>
      </w:r>
      <w:hyperlink w:history="0" r:id="rId5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V</w:t>
        </w:r>
      </w:hyperlink>
      <w:r>
        <w:rPr>
          <w:sz w:val="20"/>
        </w:rPr>
        <w:t xml:space="preserve">, </w:t>
      </w:r>
      <w:hyperlink w:history="0" r:id="rId5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w:t>
        </w:r>
      </w:hyperlink>
      <w:r>
        <w:rPr>
          <w:sz w:val="20"/>
        </w:rPr>
        <w:t xml:space="preserve"> и </w:t>
      </w:r>
      <w:hyperlink w:history="0" r:id="rId54"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bookmarkStart w:id="142" w:name="P142"/>
    <w:bookmarkEnd w:id="142"/>
    <w:p>
      <w:pPr>
        <w:pStyle w:val="0"/>
        <w:ind w:firstLine="540"/>
        <w:jc w:val="both"/>
      </w:pPr>
      <w:r>
        <w:rPr>
          <w:sz w:val="20"/>
        </w:rPr>
        <w:t xml:space="preserve">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&lt;16&gt; </w:t>
      </w:r>
      <w:hyperlink w:history="0" r:id="rId55"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spacing w:before="200" w:line-rule="auto"/>
        <w:ind w:firstLine="540"/>
        <w:jc w:val="both"/>
      </w:pPr>
      <w:r>
        <w:rPr>
          <w:sz w:val="20"/>
        </w:rPr>
        <w:t xml:space="preserve">&lt;17&gt; </w:t>
      </w:r>
      <w:hyperlink w:history="0" r:id="rId56" w:tooltip="Постановление Правительства РФ от 15.11.1997 N 1425 (ред. от 28.03.2008, с изм. от 29.09.2021) &quot;Об информационных услугах в области гидрометеорологии и мониторинга загрязнения окружающей природной среды&quot; {КонсультантПлюс}">
        <w:r>
          <w:rPr>
            <w:sz w:val="20"/>
            <w:color w:val="0000ff"/>
          </w:rPr>
          <w:t xml:space="preserve">Постановление</w:t>
        </w:r>
      </w:hyperlink>
      <w:r>
        <w:rPr>
          <w:sz w:val="20"/>
        </w:rPr>
        <w:t xml:space="preserve"> Правительства Российской Федерации от 15.11.1997 N 1425 "Об информационных услугах в области гидрометеорологии и мониторинга загрязнения окружающей природной среды" (Собрание законодательства Российской Федерации, 1997, N 47, ст. 5410; 2008, N 13, ст. 1314).</w:t>
      </w:r>
    </w:p>
    <w:p>
      <w:pPr>
        <w:pStyle w:val="0"/>
        <w:jc w:val="both"/>
      </w:pPr>
      <w:r>
        <w:rPr>
          <w:sz w:val="20"/>
        </w:rPr>
      </w:r>
    </w:p>
    <w:p>
      <w:pPr>
        <w:pStyle w:val="0"/>
        <w:ind w:firstLine="540"/>
        <w:jc w:val="both"/>
      </w:pPr>
      <w:r>
        <w:rPr>
          <w:sz w:val="20"/>
        </w:rPr>
        <w:t xml:space="preserve">Данные о фоновом уровне загрязнения атмосферного воздуха представляются организациями федерального органа исполнительной власти в области гидрометеорологии и смежных с ней областях в срок, не превышающий 25 рабочих дней со дня получения запроса.</w:t>
      </w:r>
    </w:p>
    <w:p>
      <w:pPr>
        <w:pStyle w:val="0"/>
        <w:spacing w:before="200" w:line-rule="auto"/>
        <w:ind w:firstLine="540"/>
        <w:jc w:val="both"/>
      </w:pPr>
      <w:r>
        <w:rPr>
          <w:sz w:val="20"/>
        </w:rPr>
        <w:t xml:space="preserve">В отношении загрязняющих веществ, по которым не осуществляется государственный мониторинг атмосферного воздуха, фоновый уровень загрязнения атмосферного воздуха определяется на основе данных сводных расчетов загрязнения атмосферного воздуха в случае, если такие расчеты проводятся на территории населенного пункта, его части или территории индустриального (промышленного) парка в соответствии со </w:t>
      </w:r>
      <w:hyperlink w:history="0" r:id="rId57" w:tooltip="Федеральный закон от 04.05.1999 N 96-ФЗ (ред. от 13.06.2023) &quot;Об охране атмосферного воздуха&quot; {КонсультантПлюс}">
        <w:r>
          <w:rPr>
            <w:sz w:val="20"/>
            <w:color w:val="0000ff"/>
          </w:rPr>
          <w:t xml:space="preserve">статьей 22.1</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 В данном случае сведения о фоновых концентрациях загрязняющих веществ запрашиваются в органах государственной власти соответствующего субъекта Российской Федерации &lt;18&gt;, или, при проведении сводных расчетов для городских округов - участников эксперимента по квотированию выбросов, - в соответствующем территориальном органе Росприроднадзора &lt;19&gt;.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&lt;18&gt; </w:t>
      </w:r>
      <w:hyperlink w:history="0" r:id="rId58" w:tooltip="Федеральный закон от 04.05.1999 N 96-ФЗ (ред. от 13.06.2023) &quot;Об охране атмосферного воздуха&quot; {КонсультантПлюс}">
        <w:r>
          <w:rPr>
            <w:sz w:val="20"/>
            <w:color w:val="0000ff"/>
          </w:rPr>
          <w:t xml:space="preserve">Пункт 2 статьи 6</w:t>
        </w:r>
      </w:hyperlink>
      <w:r>
        <w:rPr>
          <w:sz w:val="20"/>
        </w:rPr>
        <w:t xml:space="preserve"> Федерального закона от 04.05.1999 N 96-ФЗ "Об охране атмосферного воздуха" (Собрание законодательства Российской Федерации, 1999, N 18, ст. 2222; 2019, N 30, ст. 4097).</w:t>
      </w:r>
    </w:p>
    <w:p>
      <w:pPr>
        <w:pStyle w:val="0"/>
        <w:spacing w:before="200" w:line-rule="auto"/>
        <w:ind w:firstLine="540"/>
        <w:jc w:val="both"/>
      </w:pPr>
      <w:r>
        <w:rPr>
          <w:sz w:val="20"/>
        </w:rPr>
        <w:t xml:space="preserve">&lt;19&gt; </w:t>
      </w:r>
      <w:hyperlink w:history="0" r:id="rId59" w:tooltip="Федеральный закон от 26.07.2019 N 195-ФЗ (ред. от 28.04.2023) &quot;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quot; (с изм. и доп., вступ. в силу с 01.09.2023) {КонсультантПлюс}">
        <w:r>
          <w:rPr>
            <w:sz w:val="20"/>
            <w:color w:val="0000ff"/>
          </w:rPr>
          <w:t xml:space="preserve">Пункт 3 статьи 4</w:t>
        </w:r>
      </w:hyperlink>
      <w:r>
        <w:rPr>
          <w:sz w:val="20"/>
        </w:rPr>
        <w:t xml:space="preserve"> Федерального закона от 26.07.2019 N 195-ФЗ "О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 (Собрание законодательства Российской Федерации, 2019, N 30, ст. 4097).</w:t>
      </w:r>
    </w:p>
    <w:p>
      <w:pPr>
        <w:pStyle w:val="0"/>
        <w:jc w:val="both"/>
      </w:pPr>
      <w:r>
        <w:rPr>
          <w:sz w:val="20"/>
        </w:rPr>
      </w:r>
    </w:p>
    <w:p>
      <w:pPr>
        <w:pStyle w:val="0"/>
        <w:ind w:firstLine="540"/>
        <w:jc w:val="both"/>
      </w:pPr>
      <w:r>
        <w:rPr>
          <w:sz w:val="20"/>
        </w:rPr>
        <w:t xml:space="preserve">17. Сведения о расположении объекта ОНВ и прилегающей территории содержат:</w:t>
      </w:r>
    </w:p>
    <w:p>
      <w:pPr>
        <w:pStyle w:val="0"/>
        <w:spacing w:before="200" w:line-rule="auto"/>
        <w:ind w:firstLine="540"/>
        <w:jc w:val="both"/>
      </w:pPr>
      <w:r>
        <w:rPr>
          <w:sz w:val="20"/>
        </w:rPr>
        <w:t xml:space="preserve">полное наименование и код объекта ОНВ (при наличии) &lt;20&gt;, место нахождения объекта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&lt;20&gt; </w:t>
      </w:r>
      <w:hyperlink w:history="0" r:id="rId60" w:tooltip="Приказ Минприроды России от 23.12.2015 N 553 (ред. от 22.04.2022) &quot;Об утверждении порядка формирования кодов объектов, оказывающих негативное воздействие на окружающую среду, и присвоения их соответствующим объектам&quot; (Зарегистрировано в Минюсте России 27.01.2016 N 40808) {КонсультантПлюс}">
        <w:r>
          <w:rPr>
            <w:sz w:val="20"/>
            <w:color w:val="0000ff"/>
          </w:rPr>
          <w:t xml:space="preserve">Приказ</w:t>
        </w:r>
      </w:hyperlink>
      <w:r>
        <w:rPr>
          <w:sz w:val="20"/>
        </w:rPr>
        <w:t xml:space="preserve"> Минприроды России от 23.12.2015 N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 (зарегистрирован Минюстом России 27.01.2016, регистрационный N 40808).</w:t>
      </w:r>
    </w:p>
    <w:p>
      <w:pPr>
        <w:pStyle w:val="0"/>
        <w:jc w:val="both"/>
      </w:pPr>
      <w:r>
        <w:rPr>
          <w:sz w:val="20"/>
        </w:rPr>
      </w:r>
    </w:p>
    <w:p>
      <w:pPr>
        <w:pStyle w:val="0"/>
        <w:ind w:firstLine="540"/>
        <w:jc w:val="both"/>
      </w:pPr>
      <w:r>
        <w:rPr>
          <w:sz w:val="20"/>
        </w:rPr>
        <w:t xml:space="preserve">карту-схему объекта ОНВ, с указанием масштаба, направлений сторон света и используемой при инвентаризации выбросов системы координат &lt;21&gt;, с нанесенными на данную карту-схему сооружениями, установками и стационарными источниками с указанием номеров, присвоенных при инвентаризации выбросов, границами земельного участка, на котором расположен объект ОНВ; границами санитарно-защитной зоны, установленной в соответствии с </w:t>
      </w:r>
      <w:hyperlink w:history="0" r:id="rId61" w:tooltip="Постановление Правительства РФ от 03.03.2018 N 222 (ред. от 03.03.2022) &quot;Об утверждении Правил установления санитарно-защитных зон и использования земельных участков, расположенных в границах санитарно-защитных зон&quot; {КонсультантПлюс}">
        <w:r>
          <w:rPr>
            <w:sz w:val="20"/>
            <w:color w:val="0000ff"/>
          </w:rPr>
          <w:t xml:space="preserve">Правилами</w:t>
        </w:r>
      </w:hyperlink>
      <w:r>
        <w:rPr>
          <w:sz w:val="20"/>
        </w:rPr>
        <w:t xml:space="preserve"> установления санитарно-защитных зон и использования земельных участков, расположенных в границах санитарно-защитных зон, утвержденными постановлением Правительства Российской Федерации от 03.03.2018 N 222 &lt;22&gt;;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&lt;21&gt; </w:t>
      </w:r>
      <w:hyperlink w:history="0" r:id="rId6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12</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утвержденный приказом Минприроды России от 07.08.2018 N 352 (зарегистрирован Минюстом России 24.10.2018, регистрационный N 52522).</w:t>
      </w:r>
    </w:p>
    <w:p>
      <w:pPr>
        <w:pStyle w:val="0"/>
        <w:spacing w:before="200" w:line-rule="auto"/>
        <w:ind w:firstLine="540"/>
        <w:jc w:val="both"/>
      </w:pPr>
      <w:r>
        <w:rPr>
          <w:sz w:val="20"/>
        </w:rPr>
        <w:t xml:space="preserve">&lt;22&gt; Собрание законодательства Российской Федерации, 2018, N 11, ст. 1636; N 53, ст. 8666.</w:t>
      </w:r>
    </w:p>
    <w:p>
      <w:pPr>
        <w:pStyle w:val="0"/>
        <w:jc w:val="both"/>
      </w:pPr>
      <w:r>
        <w:rPr>
          <w:sz w:val="20"/>
        </w:rPr>
      </w:r>
    </w:p>
    <w:p>
      <w:pPr>
        <w:pStyle w:val="0"/>
        <w:ind w:firstLine="540"/>
        <w:jc w:val="both"/>
      </w:pPr>
      <w:r>
        <w:rPr>
          <w:sz w:val="20"/>
        </w:rPr>
        <w:t xml:space="preserve">ситуационный план расположения объекта ОНВ по отношению к близлежащим зданиям, сооружениям, объектам жилой зоны (с информацией, необходимой для проведения расчетов рассеивания), зонам производственного, сельскохозяйственного и иного назначения, особо охраняемым природным территориям, зонам с особыми условиями с указанием границ санитарно-защитной зоны, масштаба плана, а также с указанием всех объектов ОНВ, находящихся на расстоянии не более 2 километров от объекта ОНВ, для которого разрабатываются предельно допустимые выбросы, в производственной зоне (на основе данных Федеральной государственной информационной системы территориального планирования) &lt;23&gt;, на территории индустриального (промышленного) парка (на основе данных реестра индустриальных (промышленных) парков и управляющих компаний индустриальных (промышленных) парков &lt;24&gt;) при наличии таких объектов ОНВ.</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&lt;23&gt; </w:t>
      </w:r>
      <w:hyperlink w:history="0" r:id="rId63"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Часть 7 статьи 35</w:t>
        </w:r>
      </w:hyperlink>
      <w:r>
        <w:rPr>
          <w:sz w:val="20"/>
        </w:rPr>
        <w:t xml:space="preserve"> Градостроительного кодекса Российской Федерации (Собрание законодательства Российской Федерации, 2005, N 1, ст. 16), </w:t>
      </w:r>
      <w:hyperlink w:history="0" r:id="rId64" w:tooltip="&quot;Градостроительный кодекс Российской Федерации&quot; от 29.12.2004 N 190-ФЗ (ред. от 04.08.2023) (с изм. и доп., вступ. в силу с 01.09.2023) {КонсультантПлюс}">
        <w:r>
          <w:rPr>
            <w:sz w:val="20"/>
            <w:color w:val="0000ff"/>
          </w:rPr>
          <w:t xml:space="preserve">пункт 3 части 2 статьи 57.1</w:t>
        </w:r>
      </w:hyperlink>
      <w:r>
        <w:rPr>
          <w:sz w:val="20"/>
        </w:rPr>
        <w:t xml:space="preserve"> Градостроительного кодекса Российской Федерации (Собрание законодательства Российской Федерации, 2005, N 1, ст. 16; 2011, N 13, ст. 1688).</w:t>
      </w:r>
    </w:p>
    <w:p>
      <w:pPr>
        <w:pStyle w:val="0"/>
        <w:spacing w:before="200" w:line-rule="auto"/>
        <w:ind w:firstLine="540"/>
        <w:jc w:val="both"/>
      </w:pPr>
      <w:r>
        <w:rPr>
          <w:sz w:val="20"/>
        </w:rPr>
        <w:t xml:space="preserve">&lt;24&gt; </w:t>
      </w:r>
      <w:hyperlink w:history="0" r:id="rId65"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2</w:t>
        </w:r>
      </w:hyperlink>
      <w:r>
        <w:rPr>
          <w:sz w:val="20"/>
        </w:rPr>
        <w:t xml:space="preserve"> Требований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 (Собрание законодательства Российской Федерации, 2015, N 33, ст. 4827).</w:t>
      </w:r>
    </w:p>
    <w:p>
      <w:pPr>
        <w:pStyle w:val="0"/>
        <w:spacing w:before="200" w:line-rule="auto"/>
        <w:ind w:firstLine="540"/>
        <w:jc w:val="both"/>
      </w:pPr>
      <w:hyperlink w:history="0" r:id="rId66" w:tooltip="Постановление Правительства РФ от 04.08.2015 N 794 (ред. от 26.10.2022) &quot;Об индустриальных (промышленных) парках и управляющих компаниях индустриальных (промышленных) парков&quot; (вместе с &quot;Требованиями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quot;, &quot;Правилами подтверждения соответствия индустриального (промышленного) парка и управляющей компании индустриального (промышленного)  {КонсультантПлюс}">
        <w:r>
          <w:rPr>
            <w:sz w:val="20"/>
            <w:color w:val="0000ff"/>
          </w:rPr>
          <w:t xml:space="preserve">Пункт 6</w:t>
        </w:r>
      </w:hyperlink>
      <w:r>
        <w:rPr>
          <w:sz w:val="20"/>
        </w:rPr>
        <w:t xml:space="preserve"> Правил подтверждения соответствия индустриального (промышленного) парка и управляющей компании индустриального (промышленного) парка требованиям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утвержденных постановлением Правительства Российской Федерации от 04.08.2015 N 794.</w:t>
      </w:r>
    </w:p>
    <w:p>
      <w:pPr>
        <w:pStyle w:val="0"/>
        <w:jc w:val="both"/>
      </w:pPr>
      <w:r>
        <w:rPr>
          <w:sz w:val="20"/>
        </w:rPr>
      </w:r>
    </w:p>
    <w:p>
      <w:pPr>
        <w:pStyle w:val="0"/>
        <w:ind w:firstLine="540"/>
        <w:jc w:val="both"/>
      </w:pPr>
      <w:r>
        <w:rPr>
          <w:sz w:val="20"/>
        </w:rPr>
        <w:t xml:space="preserve">Доступ к данным Федеральной государственной информационной системы территориального планирования осуществляется в соответствии с </w:t>
      </w:r>
      <w:hyperlink w:history="0" r:id="rId67" w:tooltip="Постановление Правительства РФ от 12.04.2012 N 289 (ред. от 19.06.2019) &quot;О федеральной государственной информационной системе территориального планирования&quot; (вместе с &quot;Правилами ведения федеральной государственной информационной системы территориального планирования&quot;) {КонсультантПлюс}">
        <w:r>
          <w:rPr>
            <w:sz w:val="20"/>
            <w:color w:val="0000ff"/>
          </w:rPr>
          <w:t xml:space="preserve">Правилами</w:t>
        </w:r>
      </w:hyperlink>
      <w:r>
        <w:rPr>
          <w:sz w:val="20"/>
        </w:rPr>
        <w:t xml:space="preserve"> ведения федеральной государственной информационной системы территориального планирования, утвержденными постановлением Правительства Российской Федерации от 12.04.2012 N 289 "О федеральной государственной информационной системе территориального планирования" &lt;25&gt;.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&lt;25&gt; Собрание законодательства Российской Федерации, 2012, N 17, ст. 1963; 2019, N 26, ст. 3436.</w:t>
      </w:r>
    </w:p>
    <w:p>
      <w:pPr>
        <w:pStyle w:val="0"/>
        <w:jc w:val="both"/>
      </w:pPr>
      <w:r>
        <w:rPr>
          <w:sz w:val="20"/>
        </w:rPr>
      </w:r>
    </w:p>
    <w:p>
      <w:pPr>
        <w:pStyle w:val="0"/>
        <w:ind w:firstLine="540"/>
        <w:jc w:val="both"/>
      </w:pPr>
      <w:r>
        <w:rPr>
          <w:sz w:val="20"/>
        </w:rPr>
        <w:t xml:space="preserve">18. Сведения об объекте ОНВ и его воздействии на атмосферный воздух с учетом возможных изменений видов и объемов деятельности (перспективы развития) содержат:</w:t>
      </w:r>
    </w:p>
    <w:p>
      <w:pPr>
        <w:pStyle w:val="0"/>
        <w:spacing w:before="200" w:line-rule="auto"/>
        <w:ind w:firstLine="540"/>
        <w:jc w:val="both"/>
      </w:pPr>
      <w:r>
        <w:rPr>
          <w:sz w:val="20"/>
        </w:rPr>
        <w:t xml:space="preserve">описание видов деятельности на объекте ОНВ, включая сведения о видах и характеристиках используемого сырья, материалов, топливно-энергетических ресурсов; информацию о видах и объемах производства продукции (товаров), выполнения работ и (или) оказания услуг (далее - производство продукции) с указанием проектных и фактических значений, включающую показатели основной деятельности, описание основных технологических процессов, оборудования и источников выбросов;</w:t>
      </w:r>
    </w:p>
    <w:p>
      <w:pPr>
        <w:pStyle w:val="0"/>
        <w:spacing w:before="200" w:line-rule="auto"/>
        <w:ind w:firstLine="540"/>
        <w:jc w:val="both"/>
      </w:pPr>
      <w:r>
        <w:rPr>
          <w:sz w:val="20"/>
        </w:rPr>
        <w:t xml:space="preserve">сведения о количестве, характеристиках и эффективности установок очистки газа (далее - ГОУ);</w:t>
      </w:r>
    </w:p>
    <w:p>
      <w:pPr>
        <w:pStyle w:val="0"/>
        <w:spacing w:before="200" w:line-rule="auto"/>
        <w:ind w:firstLine="540"/>
        <w:jc w:val="both"/>
      </w:pPr>
      <w:r>
        <w:rPr>
          <w:sz w:val="20"/>
        </w:rPr>
        <w:t xml:space="preserve">сведения о перспективе развития производства на предстоящий период (при наличии), в том числе в части планирования мероприятий по снижению выбросов, включая данные об изменениях объемов производства, реконструкции, ликвидации производств, источников выбросов, строительстве новых производств, сооружений и установок, сроках проведения реконструкции, расширения и введения в действие новых производств, сооружений и установок, а также общие сведения об основных перспективных направлениях воздухоохранных мероприятий со ссылкой на документ, определяющий перспективу развития и содержащий сведения о наличии проектов на реконструкцию, расширение или строительство.</w:t>
      </w:r>
    </w:p>
    <w:p>
      <w:pPr>
        <w:pStyle w:val="0"/>
        <w:spacing w:before="200" w:line-rule="auto"/>
        <w:ind w:firstLine="540"/>
        <w:jc w:val="both"/>
      </w:pPr>
      <w:r>
        <w:rPr>
          <w:sz w:val="20"/>
        </w:rPr>
        <w:t xml:space="preserve">19. Данные об инвентаризации выбросов для действующих объектов ОНВ, включая сведения о стационарных источниках и выбросах объекта ОНВ, в том числе о стационарных источниках залповых выбросов, приводятся в соответствии с отчетом о результатах инвентаризации выбросов &lt;26&gt; и включают данные о наименованиях, количестве и характеристиках источников выделения (сооружениях, технических устройствах, оборудовании, технологических или иных процессах, являющихся источниками образования и выделения загрязняющих веществ) &lt;27&gt; и времени работы источников выделения (часов в сутки, часов в год), а также о соответствующих таким источникам выделения стационарных источниках и характеристиках выбросов по каждому подразделению объекта ОНВ, в том числе цеху, участку.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&lt;26&gt; </w:t>
      </w:r>
      <w:hyperlink w:history="0" r:id="rId68"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35</w:t>
        </w:r>
      </w:hyperlink>
      <w:r>
        <w:rPr>
          <w:sz w:val="20"/>
        </w:rPr>
        <w:t xml:space="preserve">, </w:t>
      </w:r>
      <w:hyperlink w:history="0" r:id="rId69"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36</w:t>
        </w:r>
      </w:hyperlink>
      <w:r>
        <w:rPr>
          <w:sz w:val="20"/>
        </w:rPr>
        <w:t xml:space="preserve">, </w:t>
      </w:r>
      <w:hyperlink w:history="0" r:id="rId70"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w:t>
      </w:r>
      <w:hyperlink w:history="0" r:id="rId71"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38</w:t>
        </w:r>
      </w:hyperlink>
      <w:r>
        <w:rPr>
          <w:sz w:val="20"/>
        </w:rPr>
        <w:t xml:space="preserve">, </w:t>
      </w:r>
      <w:hyperlink w:history="0" r:id="rId72"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39</w:t>
        </w:r>
      </w:hyperlink>
      <w:r>
        <w:rPr>
          <w:sz w:val="20"/>
        </w:rPr>
        <w:t xml:space="preserve">, </w:t>
      </w:r>
      <w:hyperlink w:history="0" r:id="rId73"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40</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spacing w:before="200" w:line-rule="auto"/>
        <w:ind w:firstLine="540"/>
        <w:jc w:val="both"/>
      </w:pPr>
      <w:r>
        <w:rPr>
          <w:sz w:val="20"/>
        </w:rPr>
        <w:t xml:space="preserve">&lt;27&gt; </w:t>
      </w:r>
      <w:hyperlink w:history="0" r:id="rId7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Пункты 5</w:t>
        </w:r>
      </w:hyperlink>
      <w:r>
        <w:rPr>
          <w:sz w:val="20"/>
        </w:rPr>
        <w:t xml:space="preserve">, </w:t>
      </w:r>
      <w:hyperlink w:history="0" r:id="rId75"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37</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Сведения о стационарных источниках и выбросах, в том числе залповых, приводятся на момент разработки предельно допустимых выбросов и содержат данные:</w:t>
      </w:r>
    </w:p>
    <w:p>
      <w:pPr>
        <w:pStyle w:val="0"/>
        <w:spacing w:before="200" w:line-rule="auto"/>
        <w:ind w:firstLine="540"/>
        <w:jc w:val="both"/>
      </w:pPr>
      <w:r>
        <w:rPr>
          <w:sz w:val="20"/>
        </w:rPr>
        <w:t xml:space="preserve">о номере каждого стационарного источника и номере режима (стадии) его работы, соответствующих отчету об инвентаризации выбросов, о координатах, высоте, размерах устья (для точечных стационарных источников) или ширине, длине, величине площади (для площадных стационарных источников);</w:t>
      </w:r>
    </w:p>
    <w:p>
      <w:pPr>
        <w:pStyle w:val="0"/>
        <w:spacing w:before="200" w:line-rule="auto"/>
        <w:ind w:firstLine="540"/>
        <w:jc w:val="both"/>
      </w:pPr>
      <w:r>
        <w:rPr>
          <w:sz w:val="20"/>
        </w:rPr>
        <w:t xml:space="preserve">о параметрах газовоздушной смеси на выходе из стационарного источника, включая скорость (м/с), температуру (°C) и объемный расход (м</w:t>
      </w:r>
      <w:r>
        <w:rPr>
          <w:sz w:val="20"/>
          <w:vertAlign w:val="superscript"/>
        </w:rPr>
        <w:t xml:space="preserve">3</w:t>
      </w:r>
      <w:r>
        <w:rPr>
          <w:sz w:val="20"/>
        </w:rPr>
        <w:t xml:space="preserve">/с);</w:t>
      </w:r>
    </w:p>
    <w:p>
      <w:pPr>
        <w:pStyle w:val="0"/>
        <w:spacing w:before="200" w:line-rule="auto"/>
        <w:ind w:firstLine="540"/>
        <w:jc w:val="both"/>
      </w:pPr>
      <w:r>
        <w:rPr>
          <w:sz w:val="20"/>
        </w:rPr>
        <w:t xml:space="preserve">об установках очистки газа, включая наименование, фактический коэффициент обеспеченности очистки газа &lt;28&gt;, среднюю фактическую степень очистки в отношении подвергающихся очистке (утилизации и обезвреживанию) загрязняющих веществ и технические характеристики ГОУ, содержащиеся в паспорте ГОУ;</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&lt;28&gt; </w:t>
      </w:r>
      <w:hyperlink w:history="0" r:id="rId76"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19</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о фактических выбросах, включая наименования и коды выбрасываемых загрязняющих веществ, величину массового расхода газовоздушной смеси (грамм в секунду и тонн в год, далее - г/с и т/год соответственно), приведенные к нормальным условиям показатели выбросов (мг/м</w:t>
      </w:r>
      <w:r>
        <w:rPr>
          <w:sz w:val="20"/>
          <w:vertAlign w:val="superscript"/>
        </w:rPr>
        <w:t xml:space="preserve">3</w:t>
      </w:r>
      <w:r>
        <w:rPr>
          <w:sz w:val="20"/>
        </w:rPr>
        <w:t xml:space="preserve">) в случае их определения инструментальными методами, а также значения валовых выбросов (т/год);</w:t>
      </w:r>
    </w:p>
    <w:p>
      <w:pPr>
        <w:pStyle w:val="0"/>
        <w:spacing w:before="200" w:line-rule="auto"/>
        <w:ind w:firstLine="540"/>
        <w:jc w:val="both"/>
      </w:pPr>
      <w:r>
        <w:rPr>
          <w:sz w:val="20"/>
        </w:rPr>
        <w:t xml:space="preserve">о залповых выбросах, включая перечень стационарных источников, для которых характерны залповые выбросы, с указанием наименований подразделений объекта ОНВ и номеров стационарных источников, перечень загрязняющих веществ и значения массового расхода выбросов без учета залповых выбросов и при залповых выбросах (г/с), периодичность (ед./год), продолжительность каждого залпового выброса (минуты, часы) и годовые величины залповых выбросов (т/год), а также характеристики условий, при которых возможны залповые выбросы;</w:t>
      </w:r>
    </w:p>
    <w:p>
      <w:pPr>
        <w:pStyle w:val="0"/>
        <w:spacing w:before="200" w:line-rule="auto"/>
        <w:ind w:firstLine="540"/>
        <w:jc w:val="both"/>
      </w:pPr>
      <w:r>
        <w:rPr>
          <w:sz w:val="20"/>
        </w:rPr>
        <w:t xml:space="preserve">о дополнительных параметрах стационарных источников и (или) выбросов, (в случае необходимости применения таких параметров в соответствии с </w:t>
      </w:r>
      <w:hyperlink w:history="0" r:id="rId77"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w:t>
      </w:r>
    </w:p>
    <w:p>
      <w:pPr>
        <w:pStyle w:val="0"/>
        <w:spacing w:before="200" w:line-rule="auto"/>
        <w:ind w:firstLine="540"/>
        <w:jc w:val="both"/>
      </w:pPr>
      <w:r>
        <w:rPr>
          <w:sz w:val="20"/>
        </w:rPr>
        <w:t xml:space="preserve">Рекомендуемые образцы оформления сведений о стационарных источниках и выбросах и о залповых выбросах приводятся в </w:t>
      </w:r>
      <w:hyperlink w:history="0" w:anchor="P430" w:tooltip="Таблица N 2">
        <w:r>
          <w:rPr>
            <w:sz w:val="20"/>
            <w:color w:val="0000ff"/>
          </w:rPr>
          <w:t xml:space="preserve">таблицах N 2</w:t>
        </w:r>
      </w:hyperlink>
      <w:r>
        <w:rPr>
          <w:sz w:val="20"/>
        </w:rPr>
        <w:t xml:space="preserve"> (при необходимости дополняется параметрами стационарных источников и (или) выбросов, требующимися в соответствии с </w:t>
      </w:r>
      <w:hyperlink w:history="0" r:id="rId78"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главой XII</w:t>
        </w:r>
      </w:hyperlink>
      <w:r>
        <w:rPr>
          <w:sz w:val="20"/>
        </w:rPr>
        <w:t xml:space="preserve"> Методов расчета рассеивания) и </w:t>
      </w:r>
      <w:hyperlink w:history="0" w:anchor="P544" w:tooltip="Таблица N 3">
        <w:r>
          <w:rPr>
            <w:sz w:val="20"/>
            <w:color w:val="0000ff"/>
          </w:rPr>
          <w:t xml:space="preserve">N 3</w:t>
        </w:r>
      </w:hyperlink>
      <w:r>
        <w:rPr>
          <w:sz w:val="20"/>
        </w:rPr>
        <w:t xml:space="preserve"> приложения N 1 к настоящей методике.</w:t>
      </w:r>
    </w:p>
    <w:bookmarkStart w:id="193" w:name="P193"/>
    <w:bookmarkEnd w:id="193"/>
    <w:p>
      <w:pPr>
        <w:pStyle w:val="0"/>
        <w:spacing w:before="200" w:line-rule="auto"/>
        <w:ind w:firstLine="540"/>
        <w:jc w:val="both"/>
      </w:pPr>
      <w:r>
        <w:rPr>
          <w:sz w:val="20"/>
        </w:rPr>
        <w:t xml:space="preserve">20. Данные о стационарных источниках и выбросах, полученные на основе проектной документации для строящихся, вводимых в эксплуатацию новых и (или) реконструированных объектов ОНВ, формируются на основе расчетов состава и количества выбросов указанных объектов ОНВ.</w:t>
      </w:r>
    </w:p>
    <w:p>
      <w:pPr>
        <w:pStyle w:val="0"/>
        <w:spacing w:before="200" w:line-rule="auto"/>
        <w:ind w:firstLine="540"/>
        <w:jc w:val="both"/>
      </w:pPr>
      <w:r>
        <w:rPr>
          <w:sz w:val="20"/>
        </w:rPr>
        <w:t xml:space="preserve">Расчеты состава и количества выбросов для строящихся, вводимых в эксплуатацию новых и (или) реконструированных объектов ОНВ, осуществляются исходя из содержащихся в проектной документации данных о стационарных источниках и выбросах (далее - проектные характеристики выбросов) и включают сведения о выбросах по каждому стационарному источнику на период строительства с учетом этапов строительства, а также на период последующей эксплуатации объекта ОНВ. При оформлении сведений о стационарных источниках и о выбросах, в том числе залповых, для строящихся, вводимых в эксплуатацию новых и (или) реконструированных объектов ОНВ, указываются проектные характеристики выбросов.</w:t>
      </w:r>
    </w:p>
    <w:p>
      <w:pPr>
        <w:pStyle w:val="0"/>
        <w:spacing w:before="200" w:line-rule="auto"/>
        <w:ind w:firstLine="540"/>
        <w:jc w:val="both"/>
      </w:pPr>
      <w:r>
        <w:rPr>
          <w:sz w:val="20"/>
        </w:rPr>
        <w:t xml:space="preserve">Проектные характеристики выбросов определяются с учетом руководств (инструкций) по эксплуатации проектируемого технологического оборудования и проектируемых технологических операций, по данным производителя (поставщика) технологического оборудования и (или) по данным об объектах-аналогах.</w:t>
      </w:r>
    </w:p>
    <w:p>
      <w:pPr>
        <w:pStyle w:val="0"/>
        <w:spacing w:before="200" w:line-rule="auto"/>
        <w:ind w:firstLine="540"/>
        <w:jc w:val="both"/>
      </w:pPr>
      <w:r>
        <w:rPr>
          <w:sz w:val="20"/>
        </w:rPr>
        <w:t xml:space="preserve">Расчеты состава и количества выбросов проводятся на основе характеристик технологического оборудования, выделяющего загрязняющие вещества, и характеристик объектов проектирования, связанных с выделением загрязняющих веществ, указанных в следующих разделах (подразделах) проектной документации &lt;29&gt;: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&lt;29&gt; </w:t>
      </w:r>
      <w:hyperlink w:history="0" r:id="rId7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Пункты 15</w:t>
        </w:r>
      </w:hyperlink>
      <w:r>
        <w:rPr>
          <w:sz w:val="20"/>
        </w:rPr>
        <w:t xml:space="preserve">, </w:t>
      </w:r>
      <w:hyperlink w:history="0" r:id="rId8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19</w:t>
        </w:r>
      </w:hyperlink>
      <w:r>
        <w:rPr>
          <w:sz w:val="20"/>
        </w:rPr>
        <w:t xml:space="preserve">, </w:t>
      </w:r>
      <w:hyperlink w:history="0" r:id="rId81"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22</w:t>
        </w:r>
      </w:hyperlink>
      <w:r>
        <w:rPr>
          <w:sz w:val="20"/>
        </w:rPr>
        <w:t xml:space="preserve">, </w:t>
      </w:r>
      <w:hyperlink w:history="0" r:id="rId82"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23</w:t>
        </w:r>
      </w:hyperlink>
      <w:r>
        <w:rPr>
          <w:sz w:val="20"/>
        </w:rPr>
        <w:t xml:space="preserve">, </w:t>
      </w:r>
      <w:hyperlink w:history="0" r:id="rId83"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25</w:t>
        </w:r>
      </w:hyperlink>
      <w:r>
        <w:rPr>
          <w:sz w:val="20"/>
        </w:rPr>
        <w:t xml:space="preserve">, </w:t>
      </w:r>
      <w:hyperlink w:history="0" r:id="rId84"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34</w:t>
        </w:r>
      </w:hyperlink>
      <w:r>
        <w:rPr>
          <w:sz w:val="20"/>
        </w:rPr>
        <w:t xml:space="preserve">, </w:t>
      </w:r>
      <w:hyperlink w:history="0" r:id="rId85"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35</w:t>
        </w:r>
      </w:hyperlink>
      <w:r>
        <w:rPr>
          <w:sz w:val="20"/>
        </w:rPr>
        <w:t xml:space="preserve">, </w:t>
      </w:r>
      <w:hyperlink w:history="0" r:id="rId86"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36</w:t>
        </w:r>
      </w:hyperlink>
      <w:r>
        <w:rPr>
          <w:sz w:val="20"/>
        </w:rPr>
        <w:t xml:space="preserve">, </w:t>
      </w:r>
      <w:hyperlink w:history="0" r:id="rId87"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37</w:t>
        </w:r>
      </w:hyperlink>
      <w:r>
        <w:rPr>
          <w:sz w:val="20"/>
        </w:rPr>
        <w:t xml:space="preserve">, </w:t>
      </w:r>
      <w:hyperlink w:history="0" r:id="rId88"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38</w:t>
        </w:r>
      </w:hyperlink>
      <w:r>
        <w:rPr>
          <w:sz w:val="20"/>
        </w:rPr>
        <w:t xml:space="preserve">, </w:t>
      </w:r>
      <w:hyperlink w:history="0" r:id="rId89"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39</w:t>
        </w:r>
      </w:hyperlink>
      <w:r>
        <w:rPr>
          <w:sz w:val="20"/>
        </w:rPr>
        <w:t xml:space="preserve"> и </w:t>
      </w:r>
      <w:hyperlink w:history="0" r:id="rId90" w:tooltip="Постановление Правительства РФ от 16.02.2008 N 87 (ред. от 15.09.2023) &quot;О составе разделов проектной документации и требованиях к их содержанию&quot; {КонсультантПлюс}">
        <w:r>
          <w:rPr>
            <w:sz w:val="20"/>
            <w:color w:val="0000ff"/>
          </w:rPr>
          <w:t xml:space="preserve">40</w:t>
        </w:r>
      </w:hyperlink>
      <w:r>
        <w:rPr>
          <w:sz w:val="20"/>
        </w:rP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16.02.2008 N 87.</w:t>
      </w:r>
    </w:p>
    <w:p>
      <w:pPr>
        <w:pStyle w:val="0"/>
        <w:jc w:val="both"/>
      </w:pPr>
      <w:r>
        <w:rPr>
          <w:sz w:val="20"/>
        </w:rPr>
      </w:r>
    </w:p>
    <w:p>
      <w:pPr>
        <w:pStyle w:val="0"/>
        <w:ind w:firstLine="540"/>
        <w:jc w:val="both"/>
      </w:pPr>
      <w:r>
        <w:rPr>
          <w:sz w:val="20"/>
        </w:rPr>
        <w:t xml:space="preserve">а) для объектов капитального строительства производственного и непроизводственного назначения:</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pPr>
        <w:pStyle w:val="0"/>
        <w:spacing w:before="200" w:line-rule="auto"/>
        <w:ind w:firstLine="540"/>
        <w:jc w:val="both"/>
      </w:pPr>
      <w:r>
        <w:rPr>
          <w:sz w:val="20"/>
        </w:rPr>
        <w:t xml:space="preserve">"Отопление, вентиляция и кондиционирование воздуха, тепловые сети",</w:t>
      </w:r>
    </w:p>
    <w:p>
      <w:pPr>
        <w:pStyle w:val="0"/>
        <w:spacing w:before="200" w:line-rule="auto"/>
        <w:ind w:firstLine="540"/>
        <w:jc w:val="both"/>
      </w:pPr>
      <w:r>
        <w:rPr>
          <w:sz w:val="20"/>
        </w:rPr>
        <w:t xml:space="preserve">"Технологические решения";</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"Перечень мероприятий по охране окружающей среды";</w:t>
      </w:r>
    </w:p>
    <w:p>
      <w:pPr>
        <w:pStyle w:val="0"/>
        <w:spacing w:before="200" w:line-rule="auto"/>
        <w:ind w:firstLine="540"/>
        <w:jc w:val="both"/>
      </w:pPr>
      <w:r>
        <w:rPr>
          <w:sz w:val="20"/>
        </w:rPr>
        <w:t xml:space="preserve">"Схема планировочной организации земельного участка";</w:t>
      </w:r>
    </w:p>
    <w:p>
      <w:pPr>
        <w:pStyle w:val="0"/>
        <w:spacing w:before="200" w:line-rule="auto"/>
        <w:ind w:firstLine="540"/>
        <w:jc w:val="both"/>
      </w:pPr>
      <w:r>
        <w:rPr>
          <w:sz w:val="20"/>
        </w:rPr>
        <w:t xml:space="preserve">"Проект организации работ по сносу или демонтажу объектов капитального строительства" (при сносе (демонтаже) объекта или части объекта капитального строительства);</w:t>
      </w:r>
    </w:p>
    <w:p>
      <w:pPr>
        <w:pStyle w:val="0"/>
        <w:spacing w:before="200" w:line-rule="auto"/>
        <w:ind w:firstLine="540"/>
        <w:jc w:val="both"/>
      </w:pPr>
      <w:r>
        <w:rPr>
          <w:sz w:val="20"/>
        </w:rPr>
        <w:t xml:space="preserve">б) для линейных объектов капитального строительства:</w:t>
      </w:r>
    </w:p>
    <w:p>
      <w:pPr>
        <w:pStyle w:val="0"/>
        <w:spacing w:before="200" w:line-rule="auto"/>
        <w:ind w:firstLine="540"/>
        <w:jc w:val="both"/>
      </w:pPr>
      <w:r>
        <w:rPr>
          <w:sz w:val="20"/>
        </w:rPr>
        <w:t xml:space="preserve">"Пояснительная записка";</w:t>
      </w:r>
    </w:p>
    <w:p>
      <w:pPr>
        <w:pStyle w:val="0"/>
        <w:spacing w:before="200" w:line-rule="auto"/>
        <w:ind w:firstLine="540"/>
        <w:jc w:val="both"/>
      </w:pPr>
      <w:r>
        <w:rPr>
          <w:sz w:val="20"/>
        </w:rPr>
        <w:t xml:space="preserve">"Проект полосы отвода";</w:t>
      </w:r>
    </w:p>
    <w:p>
      <w:pPr>
        <w:pStyle w:val="0"/>
        <w:spacing w:before="200" w:line-rule="auto"/>
        <w:ind w:firstLine="540"/>
        <w:jc w:val="both"/>
      </w:pPr>
      <w:r>
        <w:rPr>
          <w:sz w:val="20"/>
        </w:rPr>
        <w:t xml:space="preserve">"Технологические и конструктивные решения линейного объекта. Искусственные сооружения";</w:t>
      </w:r>
    </w:p>
    <w:p>
      <w:pPr>
        <w:pStyle w:val="0"/>
        <w:spacing w:before="200" w:line-rule="auto"/>
        <w:ind w:firstLine="540"/>
        <w:jc w:val="both"/>
      </w:pPr>
      <w:r>
        <w:rPr>
          <w:sz w:val="20"/>
        </w:rPr>
        <w:t xml:space="preserve">"Здания, строения и сооружения, входящие в инфраструктуру линейного объекта";</w:t>
      </w:r>
    </w:p>
    <w:p>
      <w:pPr>
        <w:pStyle w:val="0"/>
        <w:spacing w:before="200" w:line-rule="auto"/>
        <w:ind w:firstLine="540"/>
        <w:jc w:val="both"/>
      </w:pPr>
      <w:r>
        <w:rPr>
          <w:sz w:val="20"/>
        </w:rPr>
        <w:t xml:space="preserve">"Проект организации строительства";</w:t>
      </w:r>
    </w:p>
    <w:p>
      <w:pPr>
        <w:pStyle w:val="0"/>
        <w:spacing w:before="200" w:line-rule="auto"/>
        <w:ind w:firstLine="540"/>
        <w:jc w:val="both"/>
      </w:pPr>
      <w:r>
        <w:rPr>
          <w:sz w:val="20"/>
        </w:rPr>
        <w:t xml:space="preserve">"Проект организации работ по сносу или демонтажу линейного объекта";</w:t>
      </w:r>
    </w:p>
    <w:p>
      <w:pPr>
        <w:pStyle w:val="0"/>
        <w:spacing w:before="200" w:line-rule="auto"/>
        <w:ind w:firstLine="540"/>
        <w:jc w:val="both"/>
      </w:pPr>
      <w:r>
        <w:rPr>
          <w:sz w:val="20"/>
        </w:rPr>
        <w:t xml:space="preserve">"Мероприятия по охране окружающей среды";</w:t>
      </w:r>
    </w:p>
    <w:p>
      <w:pPr>
        <w:pStyle w:val="0"/>
        <w:spacing w:before="200" w:line-rule="auto"/>
        <w:ind w:firstLine="540"/>
        <w:jc w:val="both"/>
      </w:pPr>
      <w:r>
        <w:rPr>
          <w:sz w:val="20"/>
        </w:rPr>
        <w:t xml:space="preserve">"Проект организации работ по сносу (демонтажу) линейного объекта" (при сносе (демонтаже) линейного объекта или части линейного объекта).</w:t>
      </w:r>
    </w:p>
    <w:p>
      <w:pPr>
        <w:pStyle w:val="0"/>
        <w:jc w:val="both"/>
      </w:pPr>
      <w:r>
        <w:rPr>
          <w:sz w:val="20"/>
        </w:rPr>
      </w:r>
    </w:p>
    <w:bookmarkStart w:id="219" w:name="P219"/>
    <w:bookmarkEnd w:id="219"/>
    <w:p>
      <w:pPr>
        <w:pStyle w:val="2"/>
        <w:outlineLvl w:val="1"/>
        <w:jc w:val="center"/>
      </w:pPr>
      <w:r>
        <w:rPr>
          <w:sz w:val="20"/>
        </w:rPr>
        <w:t xml:space="preserve">III. Определение перечня загрязняющих</w:t>
      </w:r>
    </w:p>
    <w:p>
      <w:pPr>
        <w:pStyle w:val="2"/>
        <w:jc w:val="center"/>
      </w:pPr>
      <w:r>
        <w:rPr>
          <w:sz w:val="20"/>
        </w:rPr>
        <w:t xml:space="preserve">веществ и стационарных источников, в отношении которых</w:t>
      </w:r>
    </w:p>
    <w:p>
      <w:pPr>
        <w:pStyle w:val="2"/>
        <w:jc w:val="center"/>
      </w:pPr>
      <w:r>
        <w:rPr>
          <w:sz w:val="20"/>
        </w:rPr>
        <w:t xml:space="preserve">осуществляется разработка предельно допустимых выбросов</w:t>
      </w:r>
    </w:p>
    <w:p>
      <w:pPr>
        <w:pStyle w:val="0"/>
        <w:jc w:val="both"/>
      </w:pPr>
      <w:r>
        <w:rPr>
          <w:sz w:val="20"/>
        </w:rPr>
      </w:r>
    </w:p>
    <w:bookmarkStart w:id="223" w:name="P223"/>
    <w:bookmarkEnd w:id="223"/>
    <w:p>
      <w:pPr>
        <w:pStyle w:val="0"/>
        <w:ind w:firstLine="540"/>
        <w:jc w:val="both"/>
      </w:pPr>
      <w:r>
        <w:rPr>
          <w:sz w:val="20"/>
        </w:rPr>
        <w:t xml:space="preserve">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w:t>
      </w:r>
    </w:p>
    <w:p>
      <w:pPr>
        <w:pStyle w:val="0"/>
        <w:spacing w:before="200" w:line-rule="auto"/>
        <w:ind w:firstLine="540"/>
        <w:jc w:val="both"/>
      </w:pPr>
      <w:r>
        <w:rPr>
          <w:sz w:val="20"/>
        </w:rPr>
        <w:t xml:space="preserve">а) для планируемых к строительству объектов ОНВ, а также для действующих объектов ОНВ II категории из перечня загрязняющих веществ, поступающих в атмосферный воздух от стационарных источников объекта ОНВ, выбираются загрязняющие вещества, которые включены в </w:t>
      </w:r>
      <w:hyperlink w:history="0" r:id="rId91"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загрязняющих веществ, поступающих в атмосферный воздух от стационарных источников объекта ОНВ, выбираются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которые включены в </w:t>
      </w:r>
      <w:hyperlink w:history="0" r:id="rId92"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22. Перечень загрязняющих веществ, в отношении которых разрабатываются предельно допустимые выбросы, включает наименования и коды загрязняющих веществ (в порядке возрастания кодов) с указанием класса опасности, вида (ПДК</w:t>
      </w:r>
      <w:r>
        <w:rPr>
          <w:sz w:val="20"/>
          <w:vertAlign w:val="subscript"/>
        </w:rPr>
        <w:t xml:space="preserve">м.р.</w:t>
      </w:r>
      <w:r>
        <w:rPr>
          <w:sz w:val="20"/>
        </w:rPr>
        <w:t xml:space="preserve">, ОБУВ, ПДК</w:t>
      </w:r>
      <w:r>
        <w:rPr>
          <w:sz w:val="20"/>
          <w:vertAlign w:val="subscript"/>
        </w:rPr>
        <w:t xml:space="preserve">с.с</w:t>
      </w:r>
      <w:r>
        <w:rPr>
          <w:sz w:val="20"/>
        </w:rPr>
        <w:t xml:space="preserve">., ПДК</w:t>
      </w:r>
      <w:r>
        <w:rPr>
          <w:sz w:val="20"/>
          <w:vertAlign w:val="subscript"/>
        </w:rPr>
        <w:t xml:space="preserve">с.год</w:t>
      </w:r>
      <w:r>
        <w:rPr>
          <w:sz w:val="20"/>
        </w:rPr>
        <w:t xml:space="preserve">) и значения гигиенического норматива качества атмосферного воздуха каждого загрязняющего вещества, а также, при наличии, значения экологического норматива качества атмосферного воздуха каждого загрязняющего вещества и норматива (показателя) качества атмосферного воздуха каждого загрязняющего вещества, установленного субъектом Российской Федерации.</w:t>
      </w:r>
    </w:p>
    <w:p>
      <w:pPr>
        <w:pStyle w:val="0"/>
        <w:spacing w:before="200" w:line-rule="auto"/>
        <w:ind w:firstLine="540"/>
        <w:jc w:val="both"/>
      </w:pPr>
      <w:r>
        <w:rPr>
          <w:sz w:val="20"/>
        </w:rPr>
        <w:t xml:space="preserve">Для каждого загрязняющего вещества также приводятся усредненные значения суммарного выброса т/год за три года (при наличии), предшествующих году, в котором производятся расчеты предельно допустимых выбросов, а для строящихся, вводимых в эксплуатацию новых и (или) реконструированных объектов - с использованием данных проектной документации на строительство, реконструкцию объектов капитального строительства.</w:t>
      </w:r>
    </w:p>
    <w:p>
      <w:pPr>
        <w:pStyle w:val="0"/>
        <w:spacing w:before="200" w:line-rule="auto"/>
        <w:ind w:firstLine="540"/>
        <w:jc w:val="both"/>
      </w:pPr>
      <w:r>
        <w:rPr>
          <w:sz w:val="20"/>
        </w:rPr>
        <w:t xml:space="preserve">Дополнительно приводятся данные об общем значении суммарных выбросов (т/год) загрязняющих веществ, в отношении которых разрабатываются предельно допустимые выбросы, в том числе отдельно твердых загрязняющих веществ и жидких (газообразных) загрязняющих веществ, а также перечень смесей загрязняющих веществ, обладающих суммацией действия (комбинированным действием), и данные о значениях коэффициента, учитывающего скорость оседания загрязняющих веществ (газообразных и аэрозолей, включая твердые частицы) в атмосферном воздухе для каждого загрязняющего вещества в каждом источнике выбросов.</w:t>
      </w:r>
    </w:p>
    <w:p>
      <w:pPr>
        <w:pStyle w:val="0"/>
        <w:spacing w:before="200" w:line-rule="auto"/>
        <w:ind w:firstLine="540"/>
        <w:jc w:val="both"/>
      </w:pPr>
      <w:r>
        <w:rPr>
          <w:sz w:val="20"/>
        </w:rPr>
        <w:t xml:space="preserve">Перечень смесей загрязняющих веществ, обладающих суммацией действия (комбинированным действием), определяется в соответствии с </w:t>
      </w:r>
      <w:hyperlink w:history="0" r:id="rId93"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разделом III</w:t>
        </w:r>
      </w:hyperlink>
      <w:r>
        <w:rPr>
          <w:sz w:val="20"/>
        </w:rPr>
        <w:t xml:space="preserve"> Приложения "Гигиенические нормативы ГН 2.1.6.3492-17 "Предельно допустимые концентрации (ПДК) загрязняющих веществ в атмосферном воздухе городских и сельских поселений", утвержденного постановлением Главного государственного санитарного врача Российской Федерации от 22.12.2017 N 165.</w:t>
      </w:r>
    </w:p>
    <w:p>
      <w:pPr>
        <w:pStyle w:val="0"/>
        <w:spacing w:before="200" w:line-rule="auto"/>
        <w:ind w:firstLine="540"/>
        <w:jc w:val="both"/>
      </w:pPr>
      <w:r>
        <w:rPr>
          <w:sz w:val="20"/>
        </w:rPr>
        <w:t xml:space="preserve">Рекомендуемый образец табличного оформления перечня загрязняющих веществ, для которых разрабатываются предельно допустимые выбросы, приведен в </w:t>
      </w:r>
      <w:hyperlink w:history="0" w:anchor="P598" w:tooltip="Таблица N 4">
        <w:r>
          <w:rPr>
            <w:sz w:val="20"/>
            <w:color w:val="0000ff"/>
          </w:rPr>
          <w:t xml:space="preserve">таблице N 4</w:t>
        </w:r>
      </w:hyperlink>
      <w:r>
        <w:rPr>
          <w:sz w:val="20"/>
        </w:rPr>
        <w:t xml:space="preserve"> приложения N 1 к настоящей методике.</w:t>
      </w:r>
    </w:p>
    <w:p>
      <w:pPr>
        <w:pStyle w:val="0"/>
        <w:spacing w:before="200" w:line-rule="auto"/>
        <w:ind w:firstLine="540"/>
        <w:jc w:val="both"/>
      </w:pPr>
      <w:r>
        <w:rPr>
          <w:sz w:val="20"/>
        </w:rPr>
        <w:t xml:space="preserve">23. При определении перечня стационарных источников, для которых разрабатываются предельно допустимые выбросы, учитываются:</w:t>
      </w:r>
    </w:p>
    <w:p>
      <w:pPr>
        <w:pStyle w:val="0"/>
        <w:spacing w:before="200" w:line-rule="auto"/>
        <w:ind w:firstLine="540"/>
        <w:jc w:val="both"/>
      </w:pPr>
      <w:r>
        <w:rPr>
          <w:sz w:val="20"/>
        </w:rPr>
        <w:t xml:space="preserve">а) все стационарные источники объекта ОНВ, в том числе организованные (точечные, линейные) и неорганизованные (площадные, объемные), а также учитываются стационарные источники, для которых характерны залповые выбросы (при наличии);</w:t>
      </w:r>
    </w:p>
    <w:p>
      <w:pPr>
        <w:pStyle w:val="0"/>
        <w:spacing w:before="200" w:line-rule="auto"/>
        <w:ind w:firstLine="540"/>
        <w:jc w:val="both"/>
      </w:pPr>
      <w:r>
        <w:rPr>
          <w:sz w:val="20"/>
        </w:rPr>
        <w:t xml:space="preserve">б) планируемые к строительству, вводу в эксплуатацию новые и (или) реконструированные стационарные источники на объекте ОНВ, ликвидируемые стационарные источники на основе утвержденной проектной документации в соответствии с этапами строительства, ввода в эксплуатацию, ликвидации.</w:t>
      </w:r>
    </w:p>
    <w:bookmarkStart w:id="234" w:name="P234"/>
    <w:bookmarkEnd w:id="234"/>
    <w:p>
      <w:pPr>
        <w:pStyle w:val="0"/>
        <w:spacing w:before="200" w:line-rule="auto"/>
        <w:ind w:firstLine="540"/>
        <w:jc w:val="both"/>
      </w:pPr>
      <w:r>
        <w:rPr>
          <w:sz w:val="20"/>
        </w:rPr>
        <w:t xml:space="preserve">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w:t>
      </w:r>
    </w:p>
    <w:p>
      <w:pPr>
        <w:pStyle w:val="0"/>
        <w:spacing w:before="200" w:line-rule="auto"/>
        <w:ind w:firstLine="540"/>
        <w:jc w:val="both"/>
      </w:pPr>
      <w:r>
        <w:rPr>
          <w:sz w:val="20"/>
        </w:rPr>
        <w:t xml:space="preserve">а) для планируемого строительства объектов ОНВ, а также для действующих объектов ОНВ II категории из перечня стационарных источников объекта ОНВ выбираются стационарные источники, выбросы которых содержат загрязняющие вещества, включенные в </w:t>
      </w:r>
      <w:hyperlink w:history="0" r:id="rId94"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spacing w:before="200" w:line-rule="auto"/>
        <w:ind w:firstLine="540"/>
        <w:jc w:val="both"/>
      </w:pPr>
      <w:r>
        <w:rPr>
          <w:sz w:val="20"/>
        </w:rPr>
        <w:t xml:space="preserve">б) для действующих объектов ОНВ I и III категорий из перечня стационарных источников объекта ОНВ выбираются стационарные источники, выбросы которых содержат высокотоксичные вещества, вещества, обладающие канцерогенными, мутагенными свойствами (вещества I, II класса опасности в соответствии с санитарными правилами), включенные в </w:t>
      </w:r>
      <w:hyperlink w:history="0" r:id="rId95" w:tooltip="Распоряжение Правительства РФ от 08.07.2015 N 1316-р (ред. от 10.05.2019) &lt;Об утверждении перечня загрязняющих веществ, в отношении которых применяются меры государственного регулирования в области охраны окружающей среды&gt; {КонсультантПлюс}">
        <w:r>
          <w:rPr>
            <w:sz w:val="20"/>
            <w:color w:val="0000ff"/>
          </w:rPr>
          <w:t xml:space="preserve">Перечень</w:t>
        </w:r>
      </w:hyperlink>
      <w:r>
        <w:rPr>
          <w:sz w:val="20"/>
        </w:rPr>
        <w:t xml:space="preserve"> регулируемых загрязняющих веществ.</w:t>
      </w:r>
    </w:p>
    <w:p>
      <w:pPr>
        <w:pStyle w:val="0"/>
        <w:jc w:val="both"/>
      </w:pPr>
      <w:r>
        <w:rPr>
          <w:sz w:val="20"/>
        </w:rPr>
      </w:r>
    </w:p>
    <w:bookmarkStart w:id="238" w:name="P238"/>
    <w:bookmarkEnd w:id="238"/>
    <w:p>
      <w:pPr>
        <w:pStyle w:val="2"/>
        <w:outlineLvl w:val="1"/>
        <w:jc w:val="center"/>
      </w:pPr>
      <w:r>
        <w:rPr>
          <w:sz w:val="20"/>
        </w:rPr>
        <w:t xml:space="preserve">IV. Проведение и анализ расчетов рассеивания выбросов</w:t>
      </w:r>
    </w:p>
    <w:p>
      <w:pPr>
        <w:pStyle w:val="2"/>
        <w:jc w:val="center"/>
      </w:pPr>
      <w:r>
        <w:rPr>
          <w:sz w:val="20"/>
        </w:rPr>
        <w:t xml:space="preserve">и расчет значений предельно допустимых выбросов</w:t>
      </w:r>
    </w:p>
    <w:p>
      <w:pPr>
        <w:pStyle w:val="0"/>
        <w:jc w:val="both"/>
      </w:pPr>
      <w:r>
        <w:rPr>
          <w:sz w:val="20"/>
        </w:rPr>
      </w:r>
    </w:p>
    <w:p>
      <w:pPr>
        <w:pStyle w:val="0"/>
        <w:ind w:firstLine="540"/>
        <w:jc w:val="both"/>
      </w:pPr>
      <w:r>
        <w:rPr>
          <w:sz w:val="20"/>
        </w:rPr>
        <w:t xml:space="preserve">25. На основе данных, указанных в </w:t>
      </w:r>
      <w:hyperlink w:history="0" w:anchor="P103" w:tooltip="13. В состав данных, на основе которых проводится разработка предельно допустимых выбросов, входят:">
        <w:r>
          <w:rPr>
            <w:sz w:val="20"/>
            <w:color w:val="0000ff"/>
          </w:rPr>
          <w:t xml:space="preserve">пункте 13</w:t>
        </w:r>
      </w:hyperlink>
      <w:r>
        <w:rPr>
          <w:sz w:val="20"/>
        </w:rPr>
        <w:t xml:space="preserve"> настоящей методики, для каждого стационарного источника и для совокупности стационарных источников объекта ОНВ в отношении конкретных загрязняющих веществ и смесей загрязняющих веществ, обладающих суммацией действия (комбинированным действием), определенных в соответствии с </w:t>
      </w:r>
      <w:hyperlink w:history="0" w:anchor="P223" w:tooltip="21. Перечень загрязняющих веществ, в отношении которых разрабатываются предельно допустимые выбросы для объекта ОНВ, определяется с использованием следующих способов:">
        <w:r>
          <w:rPr>
            <w:sz w:val="20"/>
            <w:color w:val="0000ff"/>
          </w:rPr>
          <w:t xml:space="preserve">пунктами 21</w:t>
        </w:r>
      </w:hyperlink>
      <w:r>
        <w:rPr>
          <w:sz w:val="20"/>
        </w:rPr>
        <w:t xml:space="preserve"> - </w:t>
      </w:r>
      <w:hyperlink w:history="0" w:anchor="P234" w:tooltip="24. Перечень стационарных источников объекта ОНВ, для которых разрабатываются предельно допустимые выбросы, определяется с использованием следующих способов:">
        <w:r>
          <w:rPr>
            <w:sz w:val="20"/>
            <w:color w:val="0000ff"/>
          </w:rPr>
          <w:t xml:space="preserve">24</w:t>
        </w:r>
      </w:hyperlink>
      <w:r>
        <w:rPr>
          <w:sz w:val="20"/>
        </w:rPr>
        <w:t xml:space="preserve"> настоящей методики, проводится расчет рассеивания каждого загрязняющего вещества в атмосферном воздухе, определяется зона влияния выбросов данного загрязняющего вещества, выявляются особенности распределения концентраций данного загрязняющего вещества в атмосферном воздухе в соответствии с </w:t>
      </w:r>
      <w:hyperlink w:history="0" r:id="rId9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26. Зона влияния выбросов конкретного загрязняющего вещества (далее - j-ое загрязняющее вещество) определяется как территория, ограниченная замкнутой линией, вне которой для любой точки местности в течение всего времени выбросов j-го загрязняющего вещества выполняется условие (1):</w:t>
      </w:r>
    </w:p>
    <w:p>
      <w:pPr>
        <w:pStyle w:val="0"/>
        <w:jc w:val="both"/>
      </w:pPr>
      <w:r>
        <w:rPr>
          <w:sz w:val="20"/>
        </w:rPr>
      </w:r>
    </w:p>
    <w:p>
      <w:pPr>
        <w:pStyle w:val="0"/>
        <w:jc w:val="center"/>
      </w:pPr>
      <w:r>
        <w:rPr>
          <w:position w:val="-8"/>
        </w:rPr>
        <w:drawing>
          <wp:inline distT="0" distB="0" distL="0" distR="0">
            <wp:extent cx="141922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7">
                      <a:extLst>
                        <a:ext uri="{28A0092B-C50C-407E-A947-70E740481C1C}">
                          <a14:useLocalDpi xmlns:a14="http://schemas.microsoft.com/office/drawing/2010/main" val="0"/>
                        </a:ext>
                      </a:extLst>
                    </a:blip>
                    <a:srcRect/>
                    <a:stretch>
                      <a:fillRect/>
                    </a:stretch>
                  </pic:blipFill>
                  <pic:spPr bwMode="auto">
                    <a:xfrm>
                      <a:off x="0" y="0"/>
                      <a:ext cx="1419225"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98">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приземной концентрации j-го загрязняющего вещества в атмосферном воздухе (C</w:t>
      </w:r>
      <w:r>
        <w:rPr>
          <w:sz w:val="20"/>
          <w:vertAlign w:val="subscript"/>
        </w:rPr>
        <w:t xml:space="preserve">пр,j</w:t>
      </w:r>
      <w:r>
        <w:rPr>
          <w:sz w:val="20"/>
        </w:rPr>
        <w:t xml:space="preserve">), создаваемой выбросами стационарных источников рассматриваемого объекта ОНВ, в долях ПДК</w:t>
      </w:r>
      <w:r>
        <w:rPr>
          <w:sz w:val="20"/>
          <w:vertAlign w:val="subscript"/>
        </w:rPr>
        <w:t xml:space="preserve">j</w:t>
      </w:r>
      <w:r>
        <w:rPr>
          <w:sz w:val="20"/>
        </w:rPr>
        <w:t xml:space="preserve">;</w:t>
      </w:r>
    </w:p>
    <w:p>
      <w:pPr>
        <w:pStyle w:val="0"/>
        <w:spacing w:before="200" w:line-rule="auto"/>
        <w:ind w:firstLine="540"/>
        <w:jc w:val="both"/>
      </w:pPr>
      <w:r>
        <w:rPr>
          <w:sz w:val="20"/>
        </w:rPr>
        <w:t xml:space="preserve">ПДК</w:t>
      </w:r>
      <w:r>
        <w:rPr>
          <w:sz w:val="20"/>
          <w:vertAlign w:val="subscript"/>
        </w:rPr>
        <w:t xml:space="preserve">j</w:t>
      </w:r>
      <w:r>
        <w:rPr>
          <w:sz w:val="20"/>
        </w:rPr>
        <w:t xml:space="preserve"> (мг/м</w:t>
      </w:r>
      <w:r>
        <w:rPr>
          <w:sz w:val="20"/>
          <w:vertAlign w:val="superscript"/>
        </w:rPr>
        <w:t xml:space="preserve">3</w:t>
      </w:r>
      <w:r>
        <w:rPr>
          <w:sz w:val="20"/>
        </w:rPr>
        <w:t xml:space="preserve">) - предельно допустимая концентрация (далее - ПДК) рассматриваемого j-го загрязняющего вещества в атмосферном воздухе, соответствующая наиболее жесткому нормативу качества атмосферного воздуха из числа указанных в </w:t>
      </w:r>
      <w:hyperlink w:history="0" w:anchor="P114" w:tooltip="14. Результаты анализа гигиенических и экологических (при их наличии) нормативов качества атмосферного воздуха, применимых для района расположения объекта ОНВ, содержат сведения о наличии и значениях:">
        <w:r>
          <w:rPr>
            <w:sz w:val="20"/>
            <w:color w:val="0000ff"/>
          </w:rPr>
          <w:t xml:space="preserve">пункте 14</w:t>
        </w:r>
      </w:hyperlink>
      <w:r>
        <w:rPr>
          <w:sz w:val="20"/>
        </w:rPr>
        <w:t xml:space="preserve"> настоящей методики.</w:t>
      </w:r>
    </w:p>
    <w:p>
      <w:pPr>
        <w:pStyle w:val="0"/>
        <w:spacing w:before="200" w:line-rule="auto"/>
        <w:ind w:firstLine="540"/>
        <w:jc w:val="both"/>
      </w:pPr>
      <w:r>
        <w:rPr>
          <w:sz w:val="20"/>
        </w:rPr>
        <w:t xml:space="preserve">27. На основе определения зоны влияния выбросов объекта ОНВ выбираются размеры расчетной области, шаги и общее количество узлов расчетной сетки и проводятся расчеты приземных концентраций загрязняющих веществ в слое атмосферного воздуха от 0 до 2 м включительно, а также расчеты вертикального распределения концентраций загрязняющих веществ на разных высотах в случае необходимости учета влияния застройки в соответствии с </w:t>
      </w:r>
      <w:hyperlink w:history="0" r:id="rId99"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Размер расчетной области и шаги расчетной сетки должны обеспечивать определение концентраций загрязняющих веществ в атмосферном воздухе на границе санитарно-защитной зоны объекта ОНВ, жилых зон и зон с особыми условиями в расчетных точках, расположенных в различных направлениях сторон света от земельного участка, на котором размещен объект ОНВ.</w:t>
      </w:r>
    </w:p>
    <w:p>
      <w:pPr>
        <w:pStyle w:val="0"/>
        <w:spacing w:before="200" w:line-rule="auto"/>
        <w:ind w:firstLine="540"/>
        <w:jc w:val="both"/>
      </w:pPr>
      <w:r>
        <w:rPr>
          <w:sz w:val="20"/>
        </w:rPr>
        <w:t xml:space="preserve">Если с удалением от объекта ОНВ приземная концентрация загрязняющего вещества в атмосферном воздухе возрастает, расчетная область включает узлы расчетной сетки с наибольшим значением такой концентрации.</w:t>
      </w:r>
    </w:p>
    <w:p>
      <w:pPr>
        <w:pStyle w:val="0"/>
        <w:spacing w:before="200" w:line-rule="auto"/>
        <w:ind w:firstLine="540"/>
        <w:jc w:val="both"/>
      </w:pPr>
      <w:r>
        <w:rPr>
          <w:sz w:val="20"/>
        </w:rPr>
        <w:t xml:space="preserve">28. С использованием </w:t>
      </w:r>
      <w:hyperlink w:history="0" r:id="rId100"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Методов</w:t>
        </w:r>
      </w:hyperlink>
      <w:r>
        <w:rPr>
          <w:sz w:val="20"/>
        </w:rPr>
        <w:t xml:space="preserve"> расчета рассеивания для расчетной области определяются:</w:t>
      </w:r>
    </w:p>
    <w:p>
      <w:pPr>
        <w:pStyle w:val="0"/>
        <w:spacing w:before="200" w:line-rule="auto"/>
        <w:ind w:firstLine="540"/>
        <w:jc w:val="both"/>
      </w:pPr>
      <w:r>
        <w:rPr>
          <w:sz w:val="20"/>
        </w:rPr>
        <w:t xml:space="preserve">характеризующее воздействие объекта ОНВ распределение в атмосферном воздухе концентраций загрязняющих веществ, выбрасываемых совокупностью стационарных источников объекта ОНВ;</w:t>
      </w:r>
    </w:p>
    <w:p>
      <w:pPr>
        <w:pStyle w:val="0"/>
        <w:spacing w:before="200" w:line-rule="auto"/>
        <w:ind w:firstLine="540"/>
        <w:jc w:val="both"/>
      </w:pPr>
      <w:r>
        <w:rPr>
          <w:sz w:val="20"/>
        </w:rPr>
        <w:t xml:space="preserve">суммарное загрязнение атмосферного воздуха, формируемое воздействием объекта ОНВ с учетом фонового уровня загрязнения в районе расположения объекта ОНВ.</w:t>
      </w:r>
    </w:p>
    <w:p>
      <w:pPr>
        <w:pStyle w:val="0"/>
        <w:spacing w:before="200" w:line-rule="auto"/>
        <w:ind w:firstLine="540"/>
        <w:jc w:val="both"/>
      </w:pPr>
      <w:r>
        <w:rPr>
          <w:sz w:val="20"/>
        </w:rPr>
        <w:t xml:space="preserve">29. Суммарное загрязнение атмосферного воздуха определяется на момент разработки предельно допустимых выбросов, а также учетом перспективы развития на последующие 7 лет и (или) с учетом этапов строительства и содержит:</w:t>
      </w:r>
    </w:p>
    <w:p>
      <w:pPr>
        <w:pStyle w:val="0"/>
        <w:spacing w:before="200" w:line-rule="auto"/>
        <w:ind w:firstLine="540"/>
        <w:jc w:val="both"/>
      </w:pPr>
      <w:r>
        <w:rPr>
          <w:sz w:val="20"/>
        </w:rPr>
        <w:t xml:space="preserve">а) сведения о наименованиях использованных программ для электронных вычислительных машин, используемых для расчетов рассеивания и расчета загрязнения атмосферного воздуха, с описанием основных характеристик и условий проведения расчетов рассеивания, в том числе расчетной области, шага сетки, учета застройки;</w:t>
      </w:r>
    </w:p>
    <w:p>
      <w:pPr>
        <w:pStyle w:val="0"/>
        <w:spacing w:before="200" w:line-rule="auto"/>
        <w:ind w:firstLine="540"/>
        <w:jc w:val="both"/>
      </w:pPr>
      <w:r>
        <w:rPr>
          <w:sz w:val="20"/>
        </w:rPr>
        <w:t xml:space="preserve">б) сведения о принятых для расчета рассеивания изменениях параметров выбросов, координат источников выбросов в случаях, предусмотренных </w:t>
      </w:r>
      <w:hyperlink w:history="0" r:id="rId10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в) результаты детальных расчетов загрязнения атмосферного воздуха с учетом фонового уровня загрязнения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г) карты-схемы с нанесенными на них изолиниями расчетных приземных концентраций загрязняющих веществ;</w:t>
      </w:r>
    </w:p>
    <w:p>
      <w:pPr>
        <w:pStyle w:val="0"/>
        <w:spacing w:before="200" w:line-rule="auto"/>
        <w:ind w:firstLine="540"/>
        <w:jc w:val="both"/>
      </w:pPr>
      <w:r>
        <w:rPr>
          <w:sz w:val="20"/>
        </w:rPr>
        <w:t xml:space="preserve">д) перечень стационарных источников с наибольшим воздействием на атмосферный воздух с указанием на момент разработки предельно допустимых выбросов и на перспективу развития, подразделения, в том числе цеха, участка, к которому относится источник, номера источника на карте-схеме, номера расчетной (контрольной) точки и наименований и кодов загрязняющих веществ, их максимальных приземных концентраций (в долях ПДК) на границе земельного участка, на котором расположен объект ОНВ, границе санитарно-защитной зоны и в жилой зоне и (или) зоне с особыми условиями, с учетом и без учета фонового уровня загрязнения атмосферного воздуха (рекомендуемый образец оформления такого перечня приведен в </w:t>
      </w:r>
      <w:hyperlink w:history="0" w:anchor="P652" w:tooltip="Таблица N 5">
        <w:r>
          <w:rPr>
            <w:sz w:val="20"/>
            <w:color w:val="0000ff"/>
          </w:rPr>
          <w:t xml:space="preserve">таблице N 5</w:t>
        </w:r>
      </w:hyperlink>
      <w:r>
        <w:rPr>
          <w:sz w:val="20"/>
        </w:rPr>
        <w:t xml:space="preserve"> приложения N 2 к настоящей методике, заполняется отдельно для расчетов по максимальным разовым концентрациям и для расчетов по долгопериодным концентрациям).</w:t>
      </w:r>
    </w:p>
    <w:p>
      <w:pPr>
        <w:pStyle w:val="0"/>
        <w:spacing w:before="200" w:line-rule="auto"/>
        <w:ind w:firstLine="540"/>
        <w:jc w:val="both"/>
      </w:pPr>
      <w:r>
        <w:rPr>
          <w:sz w:val="20"/>
        </w:rPr>
        <w:t xml:space="preserve">30. На основе результатов расчета общего загрязнения атмосферного воздуха проверяется соблюдение гигиенических и экологических (при их наличии) нормативов качества атмосферного воздуха, и, исходя из необходимости соблюдения указанных нормативов и показателей, рассчитываются значения предельно допустимых выбросов.</w:t>
      </w:r>
    </w:p>
    <w:bookmarkStart w:id="261" w:name="P261"/>
    <w:bookmarkEnd w:id="261"/>
    <w:p>
      <w:pPr>
        <w:pStyle w:val="0"/>
        <w:spacing w:before="200" w:line-rule="auto"/>
        <w:ind w:firstLine="540"/>
        <w:jc w:val="both"/>
      </w:pPr>
      <w:r>
        <w:rPr>
          <w:sz w:val="20"/>
        </w:rPr>
        <w:t xml:space="preserve">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&lt;30&gt; </w:t>
      </w:r>
      <w:hyperlink w:history="0" r:id="rId102" w:tooltip="Приказ Минприроды России от 29.11.2019 N 813 &quot;Об утверждении правил проведения сводных расчетов загрязнения атмосферного воздуха, включая их актуализацию&quot; (Зарегистрировано в Минюсте России 24.12.2019 N 56955) {КонсультантПлюс}">
        <w:r>
          <w:rPr>
            <w:sz w:val="20"/>
            <w:color w:val="0000ff"/>
          </w:rPr>
          <w:t xml:space="preserve">Приказ</w:t>
        </w:r>
      </w:hyperlink>
      <w:r>
        <w:rPr>
          <w:sz w:val="20"/>
        </w:rPr>
        <w:t xml:space="preserve"> Минприроды России от 29.11.2019 N 813 "Об утверждении правил проведения сводных расчетов загрязнения атмосферного воздуха, включая их актуализацию" (зарегистрирован Минюстом России 24.12.2019, регистрационный N 56955).</w:t>
      </w:r>
    </w:p>
    <w:p>
      <w:pPr>
        <w:pStyle w:val="0"/>
        <w:jc w:val="both"/>
      </w:pPr>
      <w:r>
        <w:rPr>
          <w:sz w:val="20"/>
        </w:rPr>
      </w:r>
    </w:p>
    <w:p>
      <w:pPr>
        <w:pStyle w:val="0"/>
        <w:ind w:firstLine="540"/>
        <w:jc w:val="both"/>
      </w:pPr>
      <w:r>
        <w:rPr>
          <w:sz w:val="20"/>
        </w:rPr>
        <w:t xml:space="preserve">До разработки сводных расчетов загрязнения атмосферного воздуха допускается разработка предельно допустимых выбросов для каждого объекта ОНВ, указанного в </w:t>
      </w:r>
      <w:hyperlink w:history="0" w:anchor="P261" w:tooltip="31. В случае если в производственной зоне, в том числе на территории индустриального (промышленного) парка, находятся несколько объектов ОНВ, имеющих стационарные источники, то предельно допустимые выбросы для каждого объекта ОНВ в такой производственной зоне рассчитываются с учетом выбросов от стационарных источников всех объектов ОНВ, расположенных на данной территории, с использованием метода сводных расчетов загрязнения атмосферного воздуха &lt;30&gt;.">
        <w:r>
          <w:rPr>
            <w:sz w:val="20"/>
            <w:color w:val="0000ff"/>
          </w:rPr>
          <w:t xml:space="preserve">абзаце первом</w:t>
        </w:r>
      </w:hyperlink>
      <w:r>
        <w:rPr>
          <w:sz w:val="20"/>
        </w:rPr>
        <w:t xml:space="preserve"> настоящего пункта, отдельно с учетом фонового уровня загрязнения атмосферного воздуха &lt;31&gt;.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&lt;31&gt; </w:t>
      </w:r>
      <w:hyperlink w:history="0" r:id="rId103" w:tooltip="Приказ Минприроды России от 22.11.2019 N 794 &quot;Об утверждении методических указаний по определению фонового уровня загрязнения атмосферного воздуха&quot; (Зарегистрировано в Минюсте России 24.12.2019 N 56958) {КонсультантПлюс}">
        <w:r>
          <w:rPr>
            <w:sz w:val="20"/>
            <w:color w:val="0000ff"/>
          </w:rPr>
          <w:t xml:space="preserve">Приказ</w:t>
        </w:r>
      </w:hyperlink>
      <w:r>
        <w:rPr>
          <w:sz w:val="20"/>
        </w:rPr>
        <w:t xml:space="preserve"> Минприроды России от 22.11.2019 N 794 "Об утверждении методических указаний по определению фонового уровня загрязнения атмосферного воздуха" (зарегистрирован Минюстом России 24.12.2019, регистрационный N 56958).</w:t>
      </w:r>
    </w:p>
    <w:p>
      <w:pPr>
        <w:pStyle w:val="0"/>
        <w:jc w:val="both"/>
      </w:pPr>
      <w:r>
        <w:rPr>
          <w:sz w:val="20"/>
        </w:rPr>
      </w:r>
    </w:p>
    <w:p>
      <w:pPr>
        <w:pStyle w:val="0"/>
        <w:ind w:firstLine="540"/>
        <w:jc w:val="both"/>
      </w:pPr>
      <w:r>
        <w:rPr>
          <w:sz w:val="20"/>
        </w:rPr>
        <w:t xml:space="preserve">32. В результате расчетов предельно допустимых выбросов определяется масса загрязняющего вещества и (или) смеси загрязняющих веществ, поступающая в атмосферный воздух в единицу времени от конкретного стационарного источника и от совокупности стационарных источников объекта ОНВ на момент разработки предельно допустимых выбросов и на перспективу развития.</w:t>
      </w:r>
    </w:p>
    <w:p>
      <w:pPr>
        <w:pStyle w:val="0"/>
        <w:spacing w:before="200" w:line-rule="auto"/>
        <w:ind w:firstLine="540"/>
        <w:jc w:val="both"/>
      </w:pPr>
      <w:r>
        <w:rPr>
          <w:sz w:val="20"/>
        </w:rPr>
        <w:t xml:space="preserve">При разработке предельно допустимых выбросов для каждого конкретного стационарного источника и для совокупности стационарных источников объекта ОНВ рассчитываются следующие значения выбросов:</w:t>
      </w:r>
    </w:p>
    <w:p>
      <w:pPr>
        <w:pStyle w:val="0"/>
        <w:spacing w:before="200" w:line-rule="auto"/>
        <w:ind w:firstLine="540"/>
        <w:jc w:val="both"/>
      </w:pPr>
      <w:r>
        <w:rPr>
          <w:sz w:val="20"/>
        </w:rPr>
        <w:t xml:space="preserve">максимальные разовые значения выбросов загрязняющих веществ в атмосферный воздух (г/с), отражающие наибольшую мощность выбросов этих веществ (массу выбросов загрязняющих веществ в единицу времени) - в отношении загрязняющих веществ, для которых установлены максимальные разовые предельно допустимые концентрации в атмосферном воздухе;</w:t>
      </w:r>
    </w:p>
    <w:p>
      <w:pPr>
        <w:pStyle w:val="0"/>
        <w:spacing w:before="200" w:line-rule="auto"/>
        <w:ind w:firstLine="540"/>
        <w:jc w:val="both"/>
      </w:pPr>
      <w:r>
        <w:rPr>
          <w:sz w:val="20"/>
        </w:rPr>
        <w:t xml:space="preserve">усредненные значения выбросов загрязняющих веществ за год (г/с) с учетом времени работы стационарных источников в течение года и нестационарности выбросов &lt;32&gt; за этот период (год) - в отношении загрязняющих веществ, для которых установлены значения среднесуточных и (или) среднегодовых предельно допустимых концентраций в атмосферном воздухе;</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&lt;32&gt; </w:t>
      </w:r>
      <w:hyperlink w:history="0" r:id="rId104" w:tooltip="Приказ Минприроды России от 07.08.2018 N 352 (ред. от 17.09.2019) &quot;Об утверждении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и и корректировки&quot; (Зарегистрировано в Минюсте России 24.10.2018 N 52522) ------------ Утратил силу или отменен {КонсультантПлюс}">
        <w:r>
          <w:rPr>
            <w:sz w:val="20"/>
            <w:color w:val="0000ff"/>
          </w:rPr>
          <w:t xml:space="preserve">Пункт 8</w:t>
        </w:r>
      </w:hyperlink>
      <w:r>
        <w:rPr>
          <w:sz w:val="20"/>
        </w:rPr>
        <w:t xml:space="preserve"> Порядка проведения инвентаризации стационарных источников и выбросов вредных (загрязняющих) веществ в атмосферный воздух, корректировки ее данных, документирования и хранения данных, полученных в результате проведения таких инвентаризаций и корректировки, утвержденного приказом Минприроды России от 07.08.2018 N 352.</w:t>
      </w:r>
    </w:p>
    <w:p>
      <w:pPr>
        <w:pStyle w:val="0"/>
        <w:jc w:val="both"/>
      </w:pPr>
      <w:r>
        <w:rPr>
          <w:sz w:val="20"/>
        </w:rPr>
      </w:r>
    </w:p>
    <w:p>
      <w:pPr>
        <w:pStyle w:val="0"/>
        <w:ind w:firstLine="540"/>
        <w:jc w:val="both"/>
      </w:pPr>
      <w:r>
        <w:rPr>
          <w:sz w:val="20"/>
        </w:rPr>
        <w:t xml:space="preserve">значения валовых (годовых) выбросов загрязняющих веществ (т/год), отражающие суммарную массу выбросов конкретного загрязняющего вещества за год с учетом времени работы оборудования, сезонности нагрузки, расхода топлива, сырья и материалов в течение года.</w:t>
      </w:r>
    </w:p>
    <w:p>
      <w:pPr>
        <w:pStyle w:val="0"/>
        <w:spacing w:before="200" w:line-rule="auto"/>
        <w:ind w:firstLine="540"/>
        <w:jc w:val="both"/>
      </w:pPr>
      <w:r>
        <w:rPr>
          <w:sz w:val="20"/>
        </w:rPr>
        <w:t xml:space="preserve">33. Расчет предельно допустимых выбросов в отношении каждого j-го загрязняющего вещества, поступающего в атмосферный воздух, осуществляется исходя из необходимости соблюдения за границей санитарно-защитной зоны объекта ОНВ условия, указанного в формуле (2), с учетом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пункта 35</w:t>
        </w:r>
      </w:hyperlink>
      <w:r>
        <w:rPr>
          <w:sz w:val="20"/>
        </w:rPr>
        <w:t xml:space="preserve"> настоящей методики:</w:t>
      </w:r>
    </w:p>
    <w:p>
      <w:pPr>
        <w:pStyle w:val="0"/>
        <w:jc w:val="both"/>
      </w:pPr>
      <w:r>
        <w:rPr>
          <w:sz w:val="20"/>
        </w:rPr>
      </w:r>
    </w:p>
    <w:bookmarkStart w:id="279" w:name="P279"/>
    <w:bookmarkEnd w:id="279"/>
    <w:p>
      <w:pPr>
        <w:pStyle w:val="0"/>
        <w:jc w:val="center"/>
      </w:pPr>
      <w:r>
        <w:rPr>
          <w:position w:val="-8"/>
        </w:rPr>
        <w:drawing>
          <wp:inline distT="0" distB="0" distL="0" distR="0">
            <wp:extent cx="17907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5">
                      <a:extLst>
                        <a:ext uri="{28A0092B-C50C-407E-A947-70E740481C1C}">
                          <a14:useLocalDpi xmlns:a14="http://schemas.microsoft.com/office/drawing/2010/main" val="0"/>
                        </a:ext>
                      </a:extLst>
                    </a:blip>
                    <a:srcRect/>
                    <a:stretch>
                      <a:fillRect/>
                    </a:stretch>
                  </pic:blipFill>
                  <pic:spPr bwMode="auto">
                    <a:xfrm>
                      <a:off x="0" y="0"/>
                      <a:ext cx="17907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jc w:val="both"/>
      </w:pPr>
      <w:r>
        <w:rPr>
          <w:sz w:val="20"/>
        </w:rPr>
      </w:r>
    </w:p>
    <w:bookmarkStart w:id="283" w:name="P283"/>
    <w:bookmarkEnd w:id="283"/>
    <w:p>
      <w:pPr>
        <w:pStyle w:val="0"/>
        <w:jc w:val="center"/>
      </w:pPr>
      <w:r>
        <w:rPr>
          <w:position w:val="-26"/>
        </w:rPr>
        <w:drawing>
          <wp:inline distT="0" distB="0" distL="0" distR="0">
            <wp:extent cx="1181100" cy="4667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6">
                      <a:extLst>
                        <a:ext uri="{28A0092B-C50C-407E-A947-70E740481C1C}">
                          <a14:useLocalDpi xmlns:a14="http://schemas.microsoft.com/office/drawing/2010/main" val="0"/>
                        </a:ext>
                      </a:extLst>
                    </a:blip>
                    <a:srcRect/>
                    <a:stretch>
                      <a:fillRect/>
                    </a:stretch>
                  </pic:blipFill>
                  <pic:spPr bwMode="auto">
                    <a:xfrm>
                      <a:off x="0" y="0"/>
                      <a:ext cx="1181100" cy="466725"/>
                    </a:xfrm>
                    <a:prstGeom prst="rect">
                      <a:avLst/>
                    </a:prstGeom>
                    <a:noFill/>
                    <a:ln>
                      <a:noFill/>
                    </a:ln>
                  </pic:spPr>
                </pic:pic>
              </a:graphicData>
            </a:graphic>
          </wp:inline>
        </w:drawing>
      </w:r>
    </w:p>
    <w:p>
      <w:pPr>
        <w:pStyle w:val="0"/>
        <w:jc w:val="both"/>
      </w:pPr>
      <w:r>
        <w:rPr>
          <w:sz w:val="20"/>
        </w:rPr>
      </w:r>
    </w:p>
    <w:p>
      <w:pPr>
        <w:pStyle w:val="0"/>
        <w:jc w:val="center"/>
      </w:pPr>
      <w:r>
        <w:rPr>
          <w:position w:val="-8"/>
        </w:rPr>
        <w:drawing>
          <wp:inline distT="0" distB="0" distL="0" distR="0">
            <wp:extent cx="21240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7">
                      <a:extLst>
                        <a:ext uri="{28A0092B-C50C-407E-A947-70E740481C1C}">
                          <a14:useLocalDpi xmlns:a14="http://schemas.microsoft.com/office/drawing/2010/main" val="0"/>
                        </a:ext>
                      </a:extLst>
                    </a:blip>
                    <a:srcRect/>
                    <a:stretch>
                      <a:fillRect/>
                    </a:stretch>
                  </pic:blipFill>
                  <pic:spPr bwMode="auto">
                    <a:xfrm>
                      <a:off x="0" y="0"/>
                      <a:ext cx="2124075" cy="238125"/>
                    </a:xfrm>
                    <a:prstGeom prst="rect">
                      <a:avLst/>
                    </a:prstGeom>
                    <a:noFill/>
                    <a:ln>
                      <a:noFill/>
                    </a:ln>
                  </pic:spPr>
                </pic:pic>
              </a:graphicData>
            </a:graphic>
          </wp:inline>
        </w:drawing>
      </w:r>
    </w:p>
    <w:p>
      <w:pPr>
        <w:pStyle w:val="0"/>
        <w:jc w:val="both"/>
      </w:pPr>
      <w:r>
        <w:rPr>
          <w:sz w:val="20"/>
        </w:rPr>
      </w:r>
    </w:p>
    <w:p>
      <w:pPr>
        <w:pStyle w:val="0"/>
        <w:ind w:firstLine="540"/>
        <w:jc w:val="both"/>
      </w:pPr>
      <w:r>
        <w:rPr>
          <w:position w:val="-8"/>
        </w:rPr>
        <w:drawing>
          <wp:inline distT="0" distB="0" distL="0" distR="0">
            <wp:extent cx="3333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8">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noFill/>
                    <a:ln>
                      <a:noFill/>
                    </a:ln>
                  </pic:spPr>
                </pic:pic>
              </a:graphicData>
            </a:graphic>
          </wp:inline>
        </w:drawing>
      </w:r>
      <w:r>
        <w:rPr>
          <w:sz w:val="20"/>
        </w:rPr>
        <w:t xml:space="preserve"> - суммарная концентрация j-го загрязняющего вещества с учетом фонового уровня загрязнения атмосферного воздуха, в долях ПДК;</w:t>
      </w:r>
    </w:p>
    <w:p>
      <w:pPr>
        <w:pStyle w:val="0"/>
        <w:spacing w:before="200" w:line-rule="auto"/>
        <w:ind w:firstLine="540"/>
        <w:jc w:val="both"/>
      </w:pP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 значение C</w:t>
      </w:r>
      <w:r>
        <w:rPr>
          <w:sz w:val="20"/>
          <w:vertAlign w:val="subscript"/>
        </w:rPr>
        <w:t xml:space="preserve">пр,j</w:t>
      </w:r>
      <w:r>
        <w:rPr>
          <w:sz w:val="20"/>
        </w:rPr>
        <w:t xml:space="preserve"> в долях ПДК</w:t>
      </w:r>
      <w:r>
        <w:rPr>
          <w:sz w:val="20"/>
          <w:vertAlign w:val="subscript"/>
        </w:rPr>
        <w:t xml:space="preserve">j</w:t>
      </w:r>
      <w:r>
        <w:rPr>
          <w:sz w:val="20"/>
        </w:rPr>
        <w:t xml:space="preserve">;</w:t>
      </w:r>
    </w:p>
    <w:p>
      <w:pPr>
        <w:pStyle w:val="0"/>
        <w:spacing w:before="200" w:line-rule="auto"/>
        <w:ind w:firstLine="540"/>
        <w:jc w:val="both"/>
      </w:pP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0">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(в долях ПДК</w:t>
      </w:r>
      <w:r>
        <w:rPr>
          <w:sz w:val="20"/>
          <w:vertAlign w:val="subscript"/>
        </w:rPr>
        <w:t xml:space="preserve">j</w:t>
      </w:r>
      <w:r>
        <w:rPr>
          <w:sz w:val="20"/>
        </w:rPr>
        <w:t xml:space="preserve">) - фоновая концентрация загрязняющего вещества, создаваемая выбросами других источников, определяемая в соответствии с </w:t>
      </w:r>
      <w:hyperlink w:history="0" w:anchor="P142" w:tooltip="16. Данные о фоновом уровне загрязнения атмосферного воздуха (фоновых концентрациях загрязняющих веществ) &lt;16&gt; запрашиваются в организациях федерального органа исполнительной власти в области гидрометеорологии и смежных с ней областях &lt;17&gt;.">
        <w:r>
          <w:rPr>
            <w:sz w:val="20"/>
            <w:color w:val="0000ff"/>
          </w:rPr>
          <w:t xml:space="preserve">пунктами 16</w:t>
        </w:r>
      </w:hyperlink>
      <w:r>
        <w:rPr>
          <w:sz w:val="20"/>
        </w:rPr>
        <w:t xml:space="preserve"> и </w:t>
      </w:r>
      <w:hyperlink w:history="0" w:anchor="P303" w:tooltip="35. Учет фоновой концентрации  при расчете предельно допустимых выбросов осуществляется при выполнении условия (5) за границами земельного участка, на котором расположен объект ОНВ:">
        <w:r>
          <w:rPr>
            <w:sz w:val="20"/>
            <w:color w:val="0000ff"/>
          </w:rPr>
          <w:t xml:space="preserve">35</w:t>
        </w:r>
      </w:hyperlink>
      <w:r>
        <w:rPr>
          <w:sz w:val="20"/>
        </w:rPr>
        <w:t xml:space="preserve"> настоящей методики;</w:t>
      </w:r>
    </w:p>
    <w:p>
      <w:pPr>
        <w:pStyle w:val="0"/>
        <w:spacing w:before="200" w:line-rule="auto"/>
        <w:ind w:firstLine="540"/>
        <w:jc w:val="both"/>
      </w:pPr>
      <w:r>
        <w:rPr>
          <w:sz w:val="20"/>
        </w:rPr>
        <w:t xml:space="preserve">C</w:t>
      </w:r>
      <w:r>
        <w:rPr>
          <w:sz w:val="20"/>
          <w:vertAlign w:val="subscript"/>
        </w:rPr>
        <w:t xml:space="preserve">пр,j</w:t>
      </w:r>
      <w:r>
        <w:rPr>
          <w:sz w:val="20"/>
        </w:rPr>
        <w:t xml:space="preserve"> (мг/м</w:t>
      </w:r>
      <w:r>
        <w:rPr>
          <w:sz w:val="20"/>
          <w:vertAlign w:val="superscript"/>
        </w:rPr>
        <w:t xml:space="preserve">3</w:t>
      </w:r>
      <w:r>
        <w:rPr>
          <w:sz w:val="20"/>
        </w:rPr>
        <w:t xml:space="preserve">) - приземная концентрация j-го загрязняющего вещества в атмосферном воздухе, создаваемая выбросами стационарных источников рассматриваемого объекта ОНВ, рассчитанная в соответствии с </w:t>
      </w:r>
      <w:hyperlink w:history="0" r:id="rId11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p>
      <w:pPr>
        <w:pStyle w:val="0"/>
        <w:spacing w:before="200" w:line-rule="auto"/>
        <w:ind w:firstLine="540"/>
        <w:jc w:val="both"/>
      </w:pPr>
      <w:r>
        <w:rPr>
          <w:sz w:val="20"/>
        </w:rPr>
        <w:t xml:space="preserve">ПДК</w:t>
      </w:r>
      <w:r>
        <w:rPr>
          <w:sz w:val="20"/>
          <w:vertAlign w:val="subscript"/>
        </w:rPr>
        <w:t xml:space="preserve">гj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гигиеническому нормативу качества атмосферного воздуха &lt;33&gt;; при использовании гигиенических нормативов качества атмосферного воздуха (ПДК</w:t>
      </w:r>
      <w:r>
        <w:rPr>
          <w:sz w:val="20"/>
          <w:vertAlign w:val="subscript"/>
        </w:rPr>
        <w:t xml:space="preserve">гj</w:t>
      </w:r>
      <w:r>
        <w:rPr>
          <w:sz w:val="20"/>
        </w:rPr>
        <w:t xml:space="preserve">) для жилой зоны применяется предусмотренный условием, указанным в </w:t>
      </w:r>
      <w:hyperlink w:history="0" w:anchor="P279" w:tooltip="Ссылка на текущий документ">
        <w:r>
          <w:rPr>
            <w:sz w:val="20"/>
            <w:color w:val="0000ff"/>
          </w:rPr>
          <w:t xml:space="preserve">формуле (2)</w:t>
        </w:r>
      </w:hyperlink>
      <w:r>
        <w:rPr>
          <w:sz w:val="20"/>
        </w:rPr>
        <w:t xml:space="preserve">, количественный критерий 1, а для зон с особыми условиями - количественный критерий 0,8 &lt;34&gt;;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&lt;33&gt; </w:t>
      </w:r>
      <w:hyperlink w:history="0" r:id="rId112"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13"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spacing w:before="200" w:line-rule="auto"/>
        <w:ind w:firstLine="540"/>
        <w:jc w:val="both"/>
      </w:pPr>
      <w:r>
        <w:rPr>
          <w:sz w:val="20"/>
        </w:rPr>
        <w:t xml:space="preserve">&lt;34&gt; </w:t>
      </w:r>
      <w:hyperlink w:history="0" r:id="rId114" w:tooltip="Постановление Главного государственного санитарного врача РФ от 17.05.2001 N 14 &quot;О введении в действие санитарных правил&quot; (вместе с &quot;СанПиН 2.1.6.1032-01. 2.1.6.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Санитарно-эпидемиологические правила и нормативы&quot;) (Зарегистрировано в Минюсте РФ 18.05.2001 N 2711)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17.05.2001 N 14 "О введении в действие санитарных правил".</w:t>
      </w:r>
    </w:p>
    <w:p>
      <w:pPr>
        <w:pStyle w:val="0"/>
        <w:jc w:val="both"/>
      </w:pPr>
      <w:r>
        <w:rPr>
          <w:sz w:val="20"/>
        </w:rPr>
      </w:r>
    </w:p>
    <w:p>
      <w:pPr>
        <w:pStyle w:val="0"/>
        <w:ind w:firstLine="540"/>
        <w:jc w:val="both"/>
      </w:pPr>
      <w:r>
        <w:rPr>
          <w:sz w:val="20"/>
        </w:rPr>
        <w:t xml:space="preserve">ПДК</w:t>
      </w:r>
      <w:r>
        <w:rPr>
          <w:sz w:val="20"/>
          <w:vertAlign w:val="subscript"/>
        </w:rPr>
        <w:t xml:space="preserve">эj</w:t>
      </w:r>
      <w:r>
        <w:rPr>
          <w:sz w:val="20"/>
        </w:rPr>
        <w:t xml:space="preserve"> (мг/м</w:t>
      </w:r>
      <w:r>
        <w:rPr>
          <w:sz w:val="20"/>
          <w:vertAlign w:val="superscript"/>
        </w:rPr>
        <w:t xml:space="preserve">3</w:t>
      </w:r>
      <w:r>
        <w:rPr>
          <w:sz w:val="20"/>
        </w:rPr>
        <w:t xml:space="preserve">) - предельно допустимая концентрация рассматриваемого j-го загрязняющего вещества в атмосферном воздухе, соответствующая экологическому нормативу качества атмосферного воздуха (в случае наличия экологических нормативов качества атмосферного воздуха, установленных в соответствии с </w:t>
      </w:r>
      <w:hyperlink w:history="0" r:id="rId115" w:tooltip="Постановление Правительства РФ от 02.03.2000 N 182 (ред. от 13.02.2019)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quot; {КонсультантПлюс}">
        <w:r>
          <w:rPr>
            <w:sz w:val="20"/>
            <w:color w:val="0000ff"/>
          </w:rPr>
          <w:t xml:space="preserve">пунктом 1</w:t>
        </w:r>
      </w:hyperlink>
      <w:r>
        <w:rPr>
          <w:sz w:val="20"/>
        </w:rPr>
        <w:t xml:space="preserve"> постановления Правительства Российской Федерации от 02.03.2000 N 182 "О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(загрязняющих) веществ и потенциально опасных веществ").</w:t>
      </w:r>
    </w:p>
    <w:p>
      <w:pPr>
        <w:pStyle w:val="0"/>
        <w:spacing w:before="200" w:line-rule="auto"/>
        <w:ind w:firstLine="540"/>
        <w:jc w:val="both"/>
      </w:pPr>
      <w:r>
        <w:rPr>
          <w:sz w:val="20"/>
        </w:rPr>
        <w:t xml:space="preserve">34. Значения C</w:t>
      </w:r>
      <w:r>
        <w:rPr>
          <w:sz w:val="20"/>
          <w:vertAlign w:val="subscript"/>
        </w:rPr>
        <w:t xml:space="preserve">пр,j</w:t>
      </w:r>
      <w:r>
        <w:rPr>
          <w:sz w:val="20"/>
        </w:rPr>
        <w:t xml:space="preserve"> в </w:t>
      </w:r>
      <w:hyperlink w:history="0" w:anchor="P283" w:tooltip="Ссылка на текущий документ">
        <w:r>
          <w:rPr>
            <w:sz w:val="20"/>
            <w:color w:val="0000ff"/>
          </w:rPr>
          <w:t xml:space="preserve">формуле (3)</w:t>
        </w:r>
      </w:hyperlink>
      <w:r>
        <w:rPr>
          <w:sz w:val="20"/>
        </w:rPr>
        <w:t xml:space="preserve"> должны соответствовать тому временному интервалу осреднения, что и ПДК</w:t>
      </w:r>
      <w:r>
        <w:rPr>
          <w:sz w:val="20"/>
          <w:vertAlign w:val="subscript"/>
        </w:rPr>
        <w:t xml:space="preserve">j,</w:t>
      </w:r>
      <w:r>
        <w:rPr>
          <w:sz w:val="20"/>
        </w:rPr>
        <w:t xml:space="preserve"> с которыми они сопоставляются.</w:t>
      </w:r>
    </w:p>
    <w:p>
      <w:pPr>
        <w:pStyle w:val="0"/>
        <w:spacing w:before="200" w:line-rule="auto"/>
        <w:ind w:firstLine="540"/>
        <w:jc w:val="both"/>
      </w:pPr>
      <w:r>
        <w:rPr>
          <w:sz w:val="20"/>
        </w:rPr>
        <w:t xml:space="preserve">Для загрязняющих веществ, по которым санитарными правилами, утвержденными федеральным органом исполнительной власти, осуществляющим федеральный государственный санитарно-эпидемиологический надзор, установлены максимальные разовые ПДК или ОБУВ, проводится расчет осредненных за 20 - 30-минутный интервал максимальных разовых концентраций, которые сопоставляются с максимальными разовыми ПДК или ОБУВ.</w:t>
      </w:r>
    </w:p>
    <w:p>
      <w:pPr>
        <w:pStyle w:val="0"/>
        <w:spacing w:before="200" w:line-rule="auto"/>
        <w:ind w:firstLine="540"/>
        <w:jc w:val="both"/>
      </w:pPr>
      <w:r>
        <w:rPr>
          <w:sz w:val="20"/>
        </w:rPr>
        <w:t xml:space="preserve">Для загрязняющих веществ, по которым установлены среднесуточные ПДК, проводится расчет значений концентраций, усредненных за год с учетом времени работы и изменений состава и мощности выбросов (нестационарности выбросов) стационарных источников в течение года, и такие концентрации сопоставляются со среднесуточными ПДК или среднегодовыми ПДК (при их наличии).</w:t>
      </w:r>
    </w:p>
    <w:p>
      <w:pPr>
        <w:pStyle w:val="0"/>
        <w:spacing w:before="200" w:line-rule="auto"/>
        <w:ind w:firstLine="540"/>
        <w:jc w:val="both"/>
      </w:pPr>
      <w:r>
        <w:rPr>
          <w:sz w:val="20"/>
        </w:rPr>
        <w:t xml:space="preserve">Если для загрязняющего вещества установлены значения и максимальных разовых и среднесуточных ПДК, то расчетные максимальные разовые концентрации сопоставляются с максимальными разовыми ПДК, а расчетные среднегодовые концентрации сопоставляются со среднесуточными ПДК.</w:t>
      </w:r>
    </w:p>
    <w:p>
      <w:pPr>
        <w:pStyle w:val="0"/>
        <w:spacing w:before="200" w:line-rule="auto"/>
        <w:ind w:firstLine="540"/>
        <w:jc w:val="both"/>
      </w:pPr>
      <w:r>
        <w:rPr>
          <w:sz w:val="20"/>
        </w:rPr>
        <w:t xml:space="preserve">Для определения величин </w:t>
      </w:r>
      <w:r>
        <w:rPr>
          <w:position w:val="-8"/>
        </w:rPr>
        <w:drawing>
          <wp:inline distT="0" distB="0" distL="0" distR="0">
            <wp:extent cx="295275"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09">
                      <a:extLst>
                        <a:ext uri="{28A0092B-C50C-407E-A947-70E740481C1C}">
                          <a14:useLocalDpi xmlns:a14="http://schemas.microsoft.com/office/drawing/2010/main" val="0"/>
                        </a:ext>
                      </a:extLst>
                    </a:blip>
                    <a:srcRect/>
                    <a:stretch>
                      <a:fillRect/>
                    </a:stretch>
                  </pic:blipFill>
                  <pic:spPr bwMode="auto">
                    <a:xfrm>
                      <a:off x="0" y="0"/>
                      <a:ext cx="295275" cy="238125"/>
                    </a:xfrm>
                    <a:prstGeom prst="rect">
                      <a:avLst/>
                    </a:prstGeom>
                    <a:noFill/>
                    <a:ln>
                      <a:noFill/>
                    </a:ln>
                  </pic:spPr>
                </pic:pic>
              </a:graphicData>
            </a:graphic>
          </wp:inline>
        </w:drawing>
      </w:r>
      <w:r>
        <w:rPr>
          <w:sz w:val="20"/>
        </w:rPr>
        <w:t xml:space="preserve"> на основе расчета долгопериодных средних концентраций, в частности, усредненных за год, используются значения среднегодовой предельно допустимой концентрации (ПДК</w:t>
      </w:r>
      <w:r>
        <w:rPr>
          <w:sz w:val="20"/>
          <w:vertAlign w:val="subscript"/>
        </w:rPr>
        <w:t xml:space="preserve">с.год</w:t>
      </w:r>
      <w:r>
        <w:rPr>
          <w:sz w:val="20"/>
        </w:rPr>
        <w:t xml:space="preserve">).</w:t>
      </w:r>
    </w:p>
    <w:p>
      <w:pPr>
        <w:pStyle w:val="0"/>
        <w:spacing w:before="200" w:line-rule="auto"/>
        <w:ind w:firstLine="540"/>
        <w:jc w:val="both"/>
      </w:pPr>
      <w:r>
        <w:rPr>
          <w:sz w:val="20"/>
        </w:rPr>
        <w:t xml:space="preserve">Определение величин долгопериодных концентраций осуществляется в соответствии с </w:t>
      </w:r>
      <w:hyperlink w:history="0" r:id="rId116"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w:t>
      </w:r>
    </w:p>
    <w:bookmarkStart w:id="303" w:name="P303"/>
    <w:bookmarkEnd w:id="303"/>
    <w:p>
      <w:pPr>
        <w:pStyle w:val="0"/>
        <w:spacing w:before="200" w:line-rule="auto"/>
        <w:ind w:firstLine="540"/>
        <w:jc w:val="both"/>
      </w:pPr>
      <w:r>
        <w:rPr>
          <w:sz w:val="20"/>
        </w:rPr>
        <w:t xml:space="preserve">35. Учет фоновой концентрации </w:t>
      </w:r>
      <w:r>
        <w:rPr>
          <w:position w:val="-8"/>
        </w:rPr>
        <w:drawing>
          <wp:inline distT="0" distB="0" distL="0" distR="0">
            <wp:extent cx="3048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7">
                      <a:extLst>
                        <a:ext uri="{28A0092B-C50C-407E-A947-70E740481C1C}">
                          <a14:useLocalDpi xmlns:a14="http://schemas.microsoft.com/office/drawing/2010/main" val="0"/>
                        </a:ext>
                      </a:extLst>
                    </a:blip>
                    <a:srcRect/>
                    <a:stretch>
                      <a:fillRect/>
                    </a:stretch>
                  </pic:blipFill>
                  <pic:spPr bwMode="auto">
                    <a:xfrm>
                      <a:off x="0" y="0"/>
                      <a:ext cx="304800" cy="238125"/>
                    </a:xfrm>
                    <a:prstGeom prst="rect">
                      <a:avLst/>
                    </a:prstGeom>
                    <a:noFill/>
                    <a:ln>
                      <a:noFill/>
                    </a:ln>
                  </pic:spPr>
                </pic:pic>
              </a:graphicData>
            </a:graphic>
          </wp:inline>
        </w:drawing>
      </w:r>
      <w:r>
        <w:rPr>
          <w:sz w:val="20"/>
        </w:rPr>
        <w:t xml:space="preserve"> при расчете предельно допустимых выбросов осуществляется при выполнении условия (5) за границами земельного участка, на котором расположен объект ОНВ:</w:t>
      </w:r>
    </w:p>
    <w:p>
      <w:pPr>
        <w:pStyle w:val="0"/>
        <w:jc w:val="both"/>
      </w:pPr>
      <w:r>
        <w:rPr>
          <w:sz w:val="20"/>
        </w:rPr>
      </w:r>
    </w:p>
    <w:p>
      <w:pPr>
        <w:pStyle w:val="0"/>
        <w:jc w:val="center"/>
      </w:pPr>
      <w:r>
        <w:rPr>
          <w:position w:val="-8"/>
        </w:rPr>
        <w:drawing>
          <wp:inline distT="0" distB="0" distL="0" distR="0">
            <wp:extent cx="2324100" cy="238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18">
                      <a:extLst>
                        <a:ext uri="{28A0092B-C50C-407E-A947-70E740481C1C}">
                          <a14:useLocalDpi xmlns:a14="http://schemas.microsoft.com/office/drawing/2010/main" val="0"/>
                        </a:ext>
                      </a:extLst>
                    </a:blip>
                    <a:srcRect/>
                    <a:stretch>
                      <a:fillRect/>
                    </a:stretch>
                  </pic:blipFill>
                  <pic:spPr bwMode="auto">
                    <a:xfrm>
                      <a:off x="0" y="0"/>
                      <a:ext cx="2324100" cy="2381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Для загрязняющих веществ, выбрасываемых стационарными источниками объекта ОНВ, для которых условие (5) выполняется, учитывается фоновый уровень загрязнения атмосферного воздуха для конкретных загрязняющих веществ, а также для смесей загрязняющих веществ, обладающих суммацией действия (комбинированным действием) &lt;35&gt;. При этом рассматриваются смеси загрязняющих веществ, которые образованы загрязняющими веществами, выбрасываемыми стационарными источниками объекта ОНВ, для которых условие (5) выполняется с учетом фонового уровня загрязнения атмосферного воздуха.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&lt;35&gt; </w:t>
      </w:r>
      <w:hyperlink w:history="0" r:id="rId119" w:tooltip="Постановление Главного государственного санитарного врача РФ от 22.12.2017 N 165 (ред. от 31.05.2018) &quot;Об утверждении гигиенических нормативов ГН 2.1.6.3492-17 &quot;Предельно допустимые концентрации (ПДК) загрязняющих веществ в атмосферном воздухе городских и сельских поселений&quot; (вместе с &quot;ГН 2.1.6.3492-17. Гигиенические нормативы...&quot;) (Зарегистрировано в Минюсте России 09.01.2018 N 49557)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22.12.2017 N 165 "Об утверждении гигиенических нормативов ГН 2.1.6.3492-17 "Предельно допустимые концентрации (ПДК) загрязняющих веществ в атмосферном воздухе городских и сельских поселений" и </w:t>
      </w:r>
      <w:hyperlink w:history="0" r:id="rId120" w:tooltip="Постановление Главного государственного санитарного врача РФ от 19.12.2007 N 92 (ред. от 21.10.2016) &quot;Об утверждении ГН 2.1.6.2309-07&quot; (вместе с &quot;ГН 2.1.6.2309-07. 2.1.6. Атмосферный воздух и воздух закрытых помещений, санитарная охрана воздуха. Ориентировочные безопасные уровни воздействия (ОБУВ) загрязняющих веществ в атмосферном воздухе населенных мест. Гигиенические нормативы&quot;) (Зарегистрировано в Минюсте России 21.01.2008 N 10966) ------------ Утратил силу или отменен {КонсультантПлюс}">
        <w:r>
          <w:rPr>
            <w:sz w:val="20"/>
            <w:color w:val="0000ff"/>
          </w:rPr>
          <w:t xml:space="preserve">постановление</w:t>
        </w:r>
      </w:hyperlink>
      <w:r>
        <w:rPr>
          <w:sz w:val="20"/>
        </w:rPr>
        <w:t xml:space="preserve"> Главного государственного санитарного врача Российской Федерации от 19.12.2007 N 92 "Об утверждении ГН 2.1.6.2309-07".</w:t>
      </w:r>
    </w:p>
    <w:p>
      <w:pPr>
        <w:pStyle w:val="0"/>
        <w:jc w:val="both"/>
      </w:pPr>
      <w:r>
        <w:rPr>
          <w:sz w:val="20"/>
        </w:rPr>
      </w:r>
    </w:p>
    <w:p>
      <w:pPr>
        <w:pStyle w:val="0"/>
        <w:ind w:firstLine="540"/>
        <w:jc w:val="both"/>
      </w:pPr>
      <w:r>
        <w:rPr>
          <w:sz w:val="20"/>
        </w:rPr>
        <w:t xml:space="preserve">Если приземная концентрация загрязняющего вещества в атмосферном воздухе, формируемая выбросами какого-либо загрязняющего вещества, не превышает 0,1 ПДК за границами земельного участка, на котором расположен объект ОНВ, то при расчете предельно допустимых выбросов такого загрязняющего вещества фоновый уровень загрязнения атмосферного воздуха принимается равным 0, и учет фонового уровня загрязнения атмосферного воздуха для смесей загрязняющих веществ, обладающих суммацией действия (комбинированным действием), в которые входит данное загрязняющее вещество, не выполняется.</w:t>
      </w:r>
    </w:p>
    <w:p>
      <w:pPr>
        <w:pStyle w:val="0"/>
        <w:spacing w:before="200" w:line-rule="auto"/>
        <w:ind w:firstLine="540"/>
        <w:jc w:val="both"/>
      </w:pPr>
      <w:r>
        <w:rPr>
          <w:sz w:val="20"/>
        </w:rPr>
        <w:t xml:space="preserve">В случае, если организациями федерального органа исполнительной власти в области гидрометеорологии и смежных с ней областях по запросу не представлены данные о фоновом уровне загрязнения атмосферного воздуха (фоновых концентрациях загрязняющих веществ) и отсутствуют официальные данные о фоновом уровне загрязнения атмосферного воздуха, полученные на основе результатов сводных расчетов загрязнения атмосферного воздуха, фоновый уровень загрязнения атмосферного воздуха при проведении расчетов рассеивания выбросов для конкретного стационарного источника и объекта ОНВ в целом при разработке предельно допустимых выбросов принимается равным 0.</w:t>
      </w:r>
    </w:p>
    <w:p>
      <w:pPr>
        <w:pStyle w:val="0"/>
        <w:spacing w:before="200" w:line-rule="auto"/>
        <w:ind w:firstLine="540"/>
        <w:jc w:val="both"/>
      </w:pPr>
      <w:r>
        <w:rPr>
          <w:sz w:val="20"/>
        </w:rPr>
        <w:t xml:space="preserve">Учет фонового уровня загрязнения атмосферного воздуха при определении предельно допустимых выбросов осуществляется в порядке, установленном </w:t>
      </w:r>
      <w:hyperlink w:history="0" r:id="rId12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расчета рассеивания &lt;36&gt;.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&lt;36&gt; </w:t>
      </w:r>
      <w:hyperlink w:history="0" r:id="rId122"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Главы X</w:t>
        </w:r>
      </w:hyperlink>
      <w:r>
        <w:rPr>
          <w:sz w:val="20"/>
        </w:rPr>
        <w:t xml:space="preserve"> и </w:t>
      </w:r>
      <w:hyperlink w:history="0" r:id="rId123"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XI</w:t>
        </w:r>
      </w:hyperlink>
      <w:r>
        <w:rPr>
          <w:sz w:val="20"/>
        </w:rPr>
        <w:t xml:space="preserve"> Методов расчетов рассеивания выбросов вредных (загрязняющих) веществ в атмосферном воздухе, утвержденных приказом Минприроды России от 06.06.2017 N 273.</w:t>
      </w:r>
    </w:p>
    <w:p>
      <w:pPr>
        <w:pStyle w:val="0"/>
        <w:jc w:val="both"/>
      </w:pPr>
      <w:r>
        <w:rPr>
          <w:sz w:val="20"/>
        </w:rPr>
      </w:r>
    </w:p>
    <w:p>
      <w:pPr>
        <w:pStyle w:val="0"/>
        <w:ind w:firstLine="540"/>
        <w:jc w:val="both"/>
      </w:pPr>
      <w:r>
        <w:rPr>
          <w:sz w:val="20"/>
        </w:rPr>
        <w:t xml:space="preserve">36. Для линейных объектов ОНВ при проектировании работ, которые ведутся с последовательным продвижением от участка к участку, выбирается один из однотипных участков ведения работ, наиболее близко расположенный к жилым зонам или зонам с особыми условиями, для такого участка рассчитываются значения выбросов, и на их основе выполняются расчеты рассеивания выбросов. Далее по результатам расчетов с учетом фонового уровня загрязнения атмосферного воздуха определяются наибольшие приземные концентрации в жилых зонах (с учетом планируемого развития территории) или зонах с особыми условиями, и разрабатываются предельно допустимые выбросы в соответствии с </w:t>
      </w:r>
      <w:hyperlink w:history="0" w:anchor="P100" w:tooltip="II. Формирование данных для разработки предельно">
        <w:r>
          <w:rPr>
            <w:sz w:val="20"/>
            <w:color w:val="0000ff"/>
          </w:rPr>
          <w:t xml:space="preserve">главами II</w:t>
        </w:r>
      </w:hyperlink>
      <w:r>
        <w:rPr>
          <w:sz w:val="20"/>
        </w:rPr>
        <w:t xml:space="preserve">, </w:t>
      </w:r>
      <w:hyperlink w:history="0" w:anchor="P219" w:tooltip="III. Определение перечня загрязняющих">
        <w:r>
          <w:rPr>
            <w:sz w:val="20"/>
            <w:color w:val="0000ff"/>
          </w:rPr>
          <w:t xml:space="preserve">III</w:t>
        </w:r>
      </w:hyperlink>
      <w:r>
        <w:rPr>
          <w:sz w:val="20"/>
        </w:rPr>
        <w:t xml:space="preserve">, </w:t>
      </w:r>
      <w:hyperlink w:history="0" w:anchor="P238" w:tooltip="IV. Проведение и анализ расчетов рассеивания выбросов">
        <w:r>
          <w:rPr>
            <w:sz w:val="20"/>
            <w:color w:val="0000ff"/>
          </w:rPr>
          <w:t xml:space="preserve">IV</w:t>
        </w:r>
      </w:hyperlink>
      <w:r>
        <w:rPr>
          <w:sz w:val="20"/>
        </w:rPr>
        <w:t xml:space="preserve"> и </w:t>
      </w:r>
      <w:hyperlink w:history="0" w:anchor="P335" w:tooltip="V. Расчет выбросов для соблюдения предельно">
        <w:r>
          <w:rPr>
            <w:sz w:val="20"/>
            <w:color w:val="0000ff"/>
          </w:rPr>
          <w:t xml:space="preserve">V</w:t>
        </w:r>
      </w:hyperlink>
      <w:r>
        <w:rPr>
          <w:sz w:val="20"/>
        </w:rPr>
        <w:t xml:space="preserve"> настоящей методики.</w:t>
      </w:r>
    </w:p>
    <w:p>
      <w:pPr>
        <w:pStyle w:val="0"/>
        <w:spacing w:before="200" w:line-rule="auto"/>
        <w:ind w:firstLine="540"/>
        <w:jc w:val="both"/>
      </w:pPr>
      <w:r>
        <w:rPr>
          <w:sz w:val="20"/>
        </w:rPr>
        <w:t xml:space="preserve">37. Для стационарных источников, деятельность которых осуществляется не на конкретной территории, а в различных районах (местах) населенного пункта, субъекта Российской Федерации, в том числе окрасочных или сварочных работ, передвижных генераторов, и в разное время, исходя из объемов выполненных за прошедшие 2 - 3 года работ и планов на последующие годы, проводятся расчеты приземных концентраций на примере одной из площадок ведения работ, расположенной наиболее близко к жилым зонам и (или) зонам с особыми условиями, и для данного случая определяются допустимые выбросы (г/с). При этом значение валовых (годовых) выбросов загрязняющих веществ (т/год) определяется как сумма годовых выбросов (т/год) на всех местах проведения работ за рассматриваемый период.</w:t>
      </w:r>
    </w:p>
    <w:p>
      <w:pPr>
        <w:pStyle w:val="0"/>
        <w:spacing w:before="200" w:line-rule="auto"/>
        <w:ind w:firstLine="540"/>
        <w:jc w:val="both"/>
      </w:pPr>
      <w:r>
        <w:rPr>
          <w:sz w:val="20"/>
        </w:rPr>
        <w:t xml:space="preserve">38. При разработке предельно допустимых выбросов для строящихся, вводимых в эксплуатацию новых и (или) реконструированных объектов ОНВ, если проектные значения выбросов меньше расчетных значений предельно допустимых выбросов, в качестве предельно допустимых выбросов принимается проектное значение выбросов.</w:t>
      </w:r>
    </w:p>
    <w:p>
      <w:pPr>
        <w:pStyle w:val="0"/>
        <w:spacing w:before="200" w:line-rule="auto"/>
        <w:ind w:firstLine="540"/>
        <w:jc w:val="both"/>
      </w:pPr>
      <w:r>
        <w:rPr>
          <w:sz w:val="20"/>
        </w:rPr>
        <w:t xml:space="preserve">39. При разработке предельно допустимых выбросов для объекта ОНВ определяются стационарные источники и загрязняющие вещества, по которым условие, указанное в </w:t>
      </w:r>
      <w:hyperlink w:history="0" w:anchor="P279" w:tooltip="Ссылка на текущий документ">
        <w:r>
          <w:rPr>
            <w:sz w:val="20"/>
            <w:color w:val="0000ff"/>
          </w:rPr>
          <w:t xml:space="preserve">формуле (2)</w:t>
        </w:r>
      </w:hyperlink>
      <w:r>
        <w:rPr>
          <w:sz w:val="20"/>
        </w:rPr>
        <w:t xml:space="preserve">, не соблюдается, и, соответственно, предельно допустимые выбросы на объекте ОНВ не обеспечиваются.</w:t>
      </w:r>
    </w:p>
    <w:p>
      <w:pPr>
        <w:pStyle w:val="0"/>
        <w:spacing w:before="200" w:line-rule="auto"/>
        <w:ind w:firstLine="540"/>
        <w:jc w:val="both"/>
      </w:pPr>
      <w:r>
        <w:rPr>
          <w:sz w:val="20"/>
        </w:rPr>
        <w:t xml:space="preserve">При несоблюдении условия, указанного в </w:t>
      </w:r>
      <w:hyperlink w:history="0" w:anchor="P279" w:tooltip="Ссылка на текущий документ">
        <w:r>
          <w:rPr>
            <w:sz w:val="20"/>
            <w:color w:val="0000ff"/>
          </w:rPr>
          <w:t xml:space="preserve">формуле (2)</w:t>
        </w:r>
      </w:hyperlink>
      <w:r>
        <w:rPr>
          <w:sz w:val="20"/>
        </w:rPr>
        <w:t xml:space="preserve">, для объектов ОНВ I категории разрабатывается программа повышения экологической эффективности &lt;37&gt;, а для объектов ОНВ II и III категории - разрабатывается план мероприятий по охране окружающей среды &lt;38&gt; в целях достижения предельно допустимых выбросов, и в соответствии со </w:t>
      </w:r>
      <w:hyperlink w:history="0" r:id="rId124" w:tooltip="Федеральный закон от 10.01.2002 N 7-ФЗ (ред. от 04.08.2023) &quot;Об охране окружающей среды&quot; (с изм. и доп., вступ. в силу с 01.10.2023) {КонсультантПлюс}">
        <w:r>
          <w:rPr>
            <w:sz w:val="20"/>
            <w:color w:val="0000ff"/>
          </w:rPr>
          <w:t xml:space="preserve">статьей 23.1</w:t>
        </w:r>
      </w:hyperlink>
      <w:r>
        <w:rPr>
          <w:sz w:val="20"/>
        </w:rPr>
        <w:t xml:space="preserve"> Федерального закона от 10.01.2002 N 7-ФЗ "Об охране окружающей среды" &lt;39&gt; устанавливаются временно разрешенные выбросы.</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&lt;37&gt; </w:t>
      </w:r>
      <w:hyperlink w:history="0" r:id="rId125" w:tooltip="Приказ Минприроды России от 17.12.2018 N 666 &quot;Об утверждении правил разработки программы повышения экологической эффективности&quot; (Зарегистрировано в Минюсте России 19.07.2019 N 55317) ------------ Утратил силу или отменен {КонсультантПлюс}">
        <w:r>
          <w:rPr>
            <w:sz w:val="20"/>
            <w:color w:val="0000ff"/>
          </w:rPr>
          <w:t xml:space="preserve">Приказ</w:t>
        </w:r>
      </w:hyperlink>
      <w:r>
        <w:rPr>
          <w:sz w:val="20"/>
        </w:rPr>
        <w:t xml:space="preserve"> Минприроды России от 17.12.2018 N 666 "Об утверждении правил разработки программы повышения экологической эффективности" (зарегистрирован Минюстом России 19.07.2019, регистрационный N 55317).</w:t>
      </w:r>
    </w:p>
    <w:p>
      <w:pPr>
        <w:pStyle w:val="0"/>
        <w:spacing w:before="200" w:line-rule="auto"/>
        <w:ind w:firstLine="540"/>
        <w:jc w:val="both"/>
      </w:pPr>
      <w:r>
        <w:rPr>
          <w:sz w:val="20"/>
        </w:rPr>
        <w:t xml:space="preserve">&lt;38&gt; </w:t>
      </w:r>
      <w:hyperlink w:history="0" r:id="rId126" w:tooltip="Приказ Минприроды России от 17.12.2018 N 667 &quot;Об утверждении правил разработки плана мероприятий по охране окружающей среды&quot; (Зарегистрировано в Минюсте России 25.04.2019 N 54514) {КонсультантПлюс}">
        <w:r>
          <w:rPr>
            <w:sz w:val="20"/>
            <w:color w:val="0000ff"/>
          </w:rPr>
          <w:t xml:space="preserve">Приказ</w:t>
        </w:r>
      </w:hyperlink>
      <w:r>
        <w:rPr>
          <w:sz w:val="20"/>
        </w:rPr>
        <w:t xml:space="preserve"> Минприроды России от 17.12.2018 N 667 "Об утверждении правил разработки плана мероприятий по охране окружающей среды" (зарегистрирован Минюстом России 25.04.2019, регистрационный N 54514).</w:t>
      </w:r>
    </w:p>
    <w:p>
      <w:pPr>
        <w:pStyle w:val="0"/>
        <w:spacing w:before="200" w:line-rule="auto"/>
        <w:ind w:firstLine="540"/>
        <w:jc w:val="both"/>
      </w:pPr>
      <w:r>
        <w:rPr>
          <w:sz w:val="20"/>
        </w:rPr>
        <w:t xml:space="preserve">&lt;39&gt; Собрание законодательства Российской Федерации, 1999, N 18, ст. 2222; 2017, N 31, ст. 4774.</w:t>
      </w:r>
    </w:p>
    <w:p>
      <w:pPr>
        <w:pStyle w:val="0"/>
        <w:jc w:val="both"/>
      </w:pPr>
      <w:r>
        <w:rPr>
          <w:sz w:val="20"/>
        </w:rPr>
      </w:r>
    </w:p>
    <w:bookmarkStart w:id="327" w:name="P327"/>
    <w:bookmarkEnd w:id="327"/>
    <w:p>
      <w:pPr>
        <w:pStyle w:val="0"/>
        <w:ind w:firstLine="540"/>
        <w:jc w:val="both"/>
      </w:pPr>
      <w:r>
        <w:rPr>
          <w:sz w:val="20"/>
        </w:rPr>
        <w:t xml:space="preserve">40. Результаты расчетов предельно допустимых выбросов для объектов ОНВ, получающих комплексные экологические разрешения, оформляются по </w:t>
      </w:r>
      <w:hyperlink w:history="0" r:id="rId127" w:tooltip="Приказ Минприроды России от 11.10.2018 N 510 (ред. от 23.06.202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о в Минюсте России 10.12.2018 N 52927) ------------ Утратил силу или отменен {КонсультантПлюс}">
        <w:r>
          <w:rPr>
            <w:sz w:val="20"/>
            <w:color w:val="0000ff"/>
          </w:rPr>
          <w:t xml:space="preserve">форме</w:t>
        </w:r>
      </w:hyperlink>
      <w:r>
        <w:rPr>
          <w:sz w:val="20"/>
        </w:rPr>
        <w:t xml:space="preserve">, утвержденной приказом Минприроды России от 11.10.2018 N 510 "Об утверждении формы заявки на получение комплексного экологического разрешения и формы комплексного экологического разрешения"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России 02.12.2020, регистрационный N 61225).</w:t>
      </w:r>
    </w:p>
    <w:p>
      <w:pPr>
        <w:pStyle w:val="0"/>
        <w:spacing w:before="200" w:line-rule="auto"/>
        <w:ind w:firstLine="540"/>
        <w:jc w:val="both"/>
      </w:pPr>
      <w:r>
        <w:rPr>
          <w:sz w:val="20"/>
        </w:rPr>
        <w:t xml:space="preserve">Результаты расчетов предельно допустимых выбросов для объектов ОНВ, за исключением указанных в </w:t>
      </w:r>
      <w:hyperlink w:history="0" w:anchor="P327" w:tooltip="40. Результаты расчетов предельно допустимых выбросов для объектов ОНВ, получающих комплексные экологические разрешения, оформляются по форме, утвержденной приказом Минприроды России от 11.10.2018 N 510 &quot;Об утверждении формы заявки на получение комплексного экологического разрешения и формы комплексного экологического разрешения&quot; (зарегистрирован Минюстом России 10.12.2018, регистрационный номер 52927), с изменениями, внесенными приказом Минприроды России от 23.06.2020 N 383 (зарегистрирован Минюстом Рос...">
        <w:r>
          <w:rPr>
            <w:sz w:val="20"/>
            <w:color w:val="0000ff"/>
          </w:rPr>
          <w:t xml:space="preserve">абзаце первом</w:t>
        </w:r>
      </w:hyperlink>
      <w:r>
        <w:rPr>
          <w:sz w:val="20"/>
        </w:rPr>
        <w:t xml:space="preserve"> настоящего пункта, оформляются в виде таблицы, в которой для каждого стационарного источника (с указанием подразделения, цеха, участка, к которому относится источник, и номера источника) по каждому загрязняющему веществу (с указанием наименования и кода загрязняющего вещества) на момент разработки предельно допустимых выбросов и на последующие 7 лет отдельно приводятся значения рассчитанных предельно допустимых выбросов, являющихся нормативами допустимых выбросов в соответствии с законодательством в области охраны окружающей среды, а также, при необходимости, временно разрешенных выбросов (г/с и т/год).</w:t>
      </w:r>
    </w:p>
    <w:p>
      <w:pPr>
        <w:pStyle w:val="0"/>
        <w:spacing w:before="200" w:line-rule="auto"/>
        <w:ind w:firstLine="540"/>
        <w:jc w:val="both"/>
      </w:pPr>
      <w:r>
        <w:rPr>
          <w:sz w:val="20"/>
        </w:rPr>
        <w:t xml:space="preserve">Для объекта ОНВ, получающего комплексное экологическое разрешение, нормативы допустимых выбросов устанавливаются комплексным экологическим разрешением, выдаваемым в порядке, установленным </w:t>
      </w:r>
      <w:hyperlink w:history="0" r:id="rId128" w:tooltip="Постановление Правительства РФ от 13.02.2019 N 143 (ред. от 12.11.2020) &quot;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13.02.2019 N 143 "Об утверждении Правил рассмотрения заявок на получение комплексных экологических разрешений, выдачи, переоформления, пересмотра, отзыва комплексных экологических разрешений и внесения изменений в них" (Собрание законодательства Российской Федерации, 2019, N 8, ст. 777).</w:t>
      </w:r>
    </w:p>
    <w:p>
      <w:pPr>
        <w:pStyle w:val="0"/>
        <w:spacing w:before="200" w:line-rule="auto"/>
        <w:ind w:firstLine="540"/>
        <w:jc w:val="both"/>
      </w:pPr>
      <w:r>
        <w:rPr>
          <w:sz w:val="20"/>
        </w:rPr>
        <w:t xml:space="preserve">Для объектов ОНВ II категории, не получающих комплексное экологическое разрешение, и объектов ОНВ III категории нормативы допустимых выбросов устанавливаются юридическим лицом и индивидуальным предпринимателем, осуществляющим хозяйственную и (или) иную деятельность на объекте ОНВ.</w:t>
      </w:r>
    </w:p>
    <w:p>
      <w:pPr>
        <w:pStyle w:val="0"/>
        <w:spacing w:before="200" w:line-rule="auto"/>
        <w:ind w:firstLine="540"/>
        <w:jc w:val="both"/>
      </w:pPr>
      <w:r>
        <w:rPr>
          <w:sz w:val="20"/>
        </w:rPr>
        <w:t xml:space="preserve">Для каждого загрязняющего вещества указываются суммарные значения нормативов допустимых выбросов и, при необходимости, временно разрешенных выбросов (далее - нормативы выбросов), а также приводится общее суммарное (итоговое) значение нормативов выбросов всех загрязняющих веществ (т/год), в отношении которых разрабатываются нормативы выбросов. Рекомендуемый образец оформления нормативов выбросов загрязняющих веществ в атмосферный воздух по конкретным стационарным источникам и загрязняющим веществам приведен в </w:t>
      </w:r>
      <w:hyperlink w:history="0" w:anchor="P712" w:tooltip="Таблица N 6">
        <w:r>
          <w:rPr>
            <w:sz w:val="20"/>
            <w:color w:val="0000ff"/>
          </w:rPr>
          <w:t xml:space="preserve">таблице N 6</w:t>
        </w:r>
      </w:hyperlink>
      <w:r>
        <w:rPr>
          <w:sz w:val="20"/>
        </w:rPr>
        <w:t xml:space="preserve"> приложения N 2 к настоящей методике.</w:t>
      </w:r>
    </w:p>
    <w:p>
      <w:pPr>
        <w:pStyle w:val="0"/>
        <w:spacing w:before="200" w:line-rule="auto"/>
        <w:ind w:firstLine="540"/>
        <w:jc w:val="both"/>
      </w:pPr>
      <w:r>
        <w:rPr>
          <w:sz w:val="20"/>
        </w:rPr>
        <w:t xml:space="preserve">Для объектов ОНВ с количеством стационарных источников более 50 допускается дополнительно приводить обобщенные данные по отдельным подразделениям (цехам).</w:t>
      </w:r>
    </w:p>
    <w:p>
      <w:pPr>
        <w:pStyle w:val="0"/>
        <w:spacing w:before="200" w:line-rule="auto"/>
        <w:ind w:firstLine="540"/>
        <w:jc w:val="both"/>
      </w:pPr>
      <w:r>
        <w:rPr>
          <w:sz w:val="20"/>
        </w:rPr>
        <w:t xml:space="preserve">Отдельно оформляется расчет нормативов выбросов загрязняющих веществ в атмосферный воздух по объекту ОНВ, содержащий по каждому загрязняющему веществу (с указанием наименования, кода и класса опасности загрязняющего вещества) в целом по объекту ОНВ на момент разработки нормативов выбросов и на последующие 7 лет значения рассчитанных нормативов допустимых выбросов и, при необходимости, временно разрешенных выбросов (т/год). Также приводится общее суммарное (итоговое) значение норматива выбросов всех загрязняющих веществ, в отношении которых разрабатываются нормативы выбросов. Дополнительно приводятся данные об общих значениях нормативов выбросов твердых загрязняющих веществ и жидких (газообразных) загрязняющих веществ. Рекомендуемый образец оформления нормативов выбросов загрязняющих веществ в атмосферный воздух по объекту ОНВ приведен в </w:t>
      </w:r>
      <w:hyperlink w:history="0" w:anchor="P1036" w:tooltip="Таблица N 7">
        <w:r>
          <w:rPr>
            <w:sz w:val="20"/>
            <w:color w:val="0000ff"/>
          </w:rPr>
          <w:t xml:space="preserve">таблице N 7</w:t>
        </w:r>
      </w:hyperlink>
      <w:r>
        <w:rPr>
          <w:sz w:val="20"/>
        </w:rPr>
        <w:t xml:space="preserve"> приложения N 2 к настоящей методике.</w:t>
      </w:r>
    </w:p>
    <w:p>
      <w:pPr>
        <w:pStyle w:val="0"/>
        <w:jc w:val="both"/>
      </w:pPr>
      <w:r>
        <w:rPr>
          <w:sz w:val="20"/>
        </w:rPr>
      </w:r>
    </w:p>
    <w:bookmarkStart w:id="335" w:name="P335"/>
    <w:bookmarkEnd w:id="335"/>
    <w:p>
      <w:pPr>
        <w:pStyle w:val="2"/>
        <w:outlineLvl w:val="1"/>
        <w:jc w:val="center"/>
      </w:pPr>
      <w:r>
        <w:rPr>
          <w:sz w:val="20"/>
        </w:rPr>
        <w:t xml:space="preserve">V. Расчет выбросов для соблюдения предельно</w:t>
      </w:r>
    </w:p>
    <w:p>
      <w:pPr>
        <w:pStyle w:val="2"/>
        <w:jc w:val="center"/>
      </w:pPr>
      <w:r>
        <w:rPr>
          <w:sz w:val="20"/>
        </w:rPr>
        <w:t xml:space="preserve">допустимых выбросов при наступлении неблагоприятных</w:t>
      </w:r>
    </w:p>
    <w:p>
      <w:pPr>
        <w:pStyle w:val="2"/>
        <w:jc w:val="center"/>
      </w:pPr>
      <w:r>
        <w:rPr>
          <w:sz w:val="20"/>
        </w:rPr>
        <w:t xml:space="preserve">метеорологических условий</w:t>
      </w:r>
    </w:p>
    <w:p>
      <w:pPr>
        <w:pStyle w:val="0"/>
        <w:jc w:val="both"/>
      </w:pPr>
      <w:r>
        <w:rPr>
          <w:sz w:val="20"/>
        </w:rPr>
      </w:r>
    </w:p>
    <w:p>
      <w:pPr>
        <w:pStyle w:val="0"/>
        <w:ind w:firstLine="540"/>
        <w:jc w:val="both"/>
      </w:pPr>
      <w:r>
        <w:rPr>
          <w:sz w:val="20"/>
        </w:rPr>
        <w:t xml:space="preserve">41. При разработке предельно допустимых выбросов осуществляется расчет значений выбросов, позволяющих обеспечить нормативы качества атмосферного воздуха, указанные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в периоды неблагоприятных метеорологических условий (далее - НМУ, расчет выбросов на периоды НМУ соответственно) с учетом особенностей рассеивания выбросов загрязняющих веществ стационарных источников объекта ОНВ в зависимости от степени опасности прогнозируемых НМУ.</w:t>
      </w:r>
    </w:p>
    <w:p>
      <w:pPr>
        <w:pStyle w:val="0"/>
        <w:spacing w:before="200" w:line-rule="auto"/>
        <w:ind w:firstLine="540"/>
        <w:jc w:val="both"/>
      </w:pPr>
      <w:r>
        <w:rPr>
          <w:sz w:val="20"/>
        </w:rPr>
        <w:t xml:space="preserve">42. Расчет выбросов на периоды НМУ проводится на основании мероприятий по уменьшению выбросов в периоды НМУ, разработанных в соответствии с утвержденными приказом Минприроды России от 28.11.2019 N 811 </w:t>
      </w:r>
      <w:hyperlink w:history="0" r:id="rId129"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требованиями</w:t>
        </w:r>
      </w:hyperlink>
      <w:r>
        <w:rPr>
          <w:sz w:val="20"/>
        </w:rPr>
        <w:t xml:space="preserve"> &lt;40&gt;, и включает:</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&lt;40&gt; </w:t>
      </w:r>
      <w:hyperlink w:history="0" r:id="rId130" w:tooltip="Приказ Минприроды России от 28.11.2019 N 811 &quot;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quot; (Зарегистрировано в Минюсте России 24.12.2019 N 56960) {КонсультантПлюс}">
        <w:r>
          <w:rPr>
            <w:sz w:val="20"/>
            <w:color w:val="0000ff"/>
          </w:rPr>
          <w:t xml:space="preserve">Приказ</w:t>
        </w:r>
      </w:hyperlink>
      <w:r>
        <w:rPr>
          <w:sz w:val="20"/>
        </w:rPr>
        <w:t xml:space="preserve"> Минприроды России от 28.11.2019 N 811 "Об утверждении требований к мероприятиям по уменьшению выбросов загрязняющих веществ в атмосферный воздух в периоды неблагоприятных метеорологических условий" (зарегистрирован Минюстом России 24.12.2019, регистрационный N 56960).</w:t>
      </w:r>
    </w:p>
    <w:p>
      <w:pPr>
        <w:pStyle w:val="0"/>
        <w:jc w:val="both"/>
      </w:pPr>
      <w:r>
        <w:rPr>
          <w:sz w:val="20"/>
        </w:rPr>
      </w:r>
    </w:p>
    <w:p>
      <w:pPr>
        <w:pStyle w:val="0"/>
        <w:ind w:firstLine="540"/>
        <w:jc w:val="both"/>
      </w:pPr>
      <w:r>
        <w:rPr>
          <w:sz w:val="20"/>
        </w:rPr>
        <w:t xml:space="preserve">анализ загрязнения атмосферного воздуха, создаваемого выбросами объекта ОНВ, степеней опасности НМУ, характерных для района размещения объекта ОНВ, а также особенностей НМУ, таких как приподнятые и приземные инверсии, штилевые условия, туманы и преобладающие ветра;</w:t>
      </w:r>
    </w:p>
    <w:p>
      <w:pPr>
        <w:pStyle w:val="0"/>
        <w:spacing w:before="200" w:line-rule="auto"/>
        <w:ind w:firstLine="540"/>
        <w:jc w:val="both"/>
      </w:pPr>
      <w:r>
        <w:rPr>
          <w:sz w:val="20"/>
        </w:rPr>
        <w:t xml:space="preserve">определение перечня загрязняющих веществ, по которым необходимо уменьшение выбросов в периоды НМУ;</w:t>
      </w:r>
    </w:p>
    <w:p>
      <w:pPr>
        <w:pStyle w:val="0"/>
        <w:spacing w:before="200" w:line-rule="auto"/>
        <w:ind w:firstLine="540"/>
        <w:jc w:val="both"/>
      </w:pPr>
      <w:r>
        <w:rPr>
          <w:sz w:val="20"/>
        </w:rPr>
        <w:t xml:space="preserve">определение перечня стационарных источников, на которых проводится уменьшение выбросов в периоды НМУ, и мероприятий по уменьшению выбросов в периоды НМУ для выбранных стационарных источников;</w:t>
      </w:r>
    </w:p>
    <w:p>
      <w:pPr>
        <w:pStyle w:val="0"/>
        <w:spacing w:before="200" w:line-rule="auto"/>
        <w:ind w:firstLine="540"/>
        <w:jc w:val="both"/>
      </w:pPr>
      <w:r>
        <w:rPr>
          <w:sz w:val="20"/>
        </w:rPr>
        <w:t xml:space="preserve">расчет приземных концентраций загрязняющих веществ с учетом проведения мероприятий по уменьшению выбросов в периоды НМУ и оценку обеспечения нормативов качества атмосферного воздуха, указанных в </w:t>
      </w:r>
      <w:hyperlink w:history="0" w:anchor="P63" w:tooltip="6. Расчет предельно допустимых выбросов осуществляется исходя из необходимости соблюдения гигиенических и экологических нормативов качества атмосферного воздуха, установленных в соответствии с пунктами 1 и 2 постановления Правительства Российской Федерации от 02.03.2000 N 182 &quot;О порядке установления и пересмотра экологических и гигиенических нормативов качества атмосферного воздуха, предельно допустимых уровней физических воздействий на атмосферный воздух и государственной регистрации вредных (загрязняющ...">
        <w:r>
          <w:rPr>
            <w:sz w:val="20"/>
            <w:color w:val="0000ff"/>
          </w:rPr>
          <w:t xml:space="preserve">пункте 6</w:t>
        </w:r>
      </w:hyperlink>
      <w:r>
        <w:rPr>
          <w:sz w:val="20"/>
        </w:rPr>
        <w:t xml:space="preserve"> настоящей методики, при проведении на объекте ОНВ мероприятий по уменьшению выбросов в периоды НМУ (оценка эффективности мероприятий при НМУ).</w:t>
      </w:r>
    </w:p>
    <w:p>
      <w:pPr>
        <w:pStyle w:val="0"/>
        <w:spacing w:before="200" w:line-rule="auto"/>
        <w:ind w:firstLine="540"/>
        <w:jc w:val="both"/>
      </w:pPr>
      <w:r>
        <w:rPr>
          <w:sz w:val="20"/>
        </w:rPr>
        <w:t xml:space="preserve">43. Оценка эффективности мероприятий при НМУ осуществляется исходя из степени снижения значений расчетных концентраций загрязняющих веществ в атмосферном воздухе для различных степеней опасности НМУ.</w:t>
      </w:r>
    </w:p>
    <w:p>
      <w:pPr>
        <w:pStyle w:val="0"/>
        <w:spacing w:before="200" w:line-rule="auto"/>
        <w:ind w:firstLine="540"/>
        <w:jc w:val="both"/>
      </w:pPr>
      <w:r>
        <w:rPr>
          <w:sz w:val="20"/>
        </w:rPr>
        <w:t xml:space="preserve">Оценка эффективности каждого мероприятия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(6):</w:t>
      </w:r>
    </w:p>
    <w:p>
      <w:pPr>
        <w:pStyle w:val="0"/>
        <w:jc w:val="both"/>
      </w:pPr>
      <w:r>
        <w:rPr>
          <w:sz w:val="20"/>
        </w:rPr>
      </w:r>
    </w:p>
    <w:p>
      <w:pPr>
        <w:pStyle w:val="0"/>
        <w:jc w:val="center"/>
      </w:pPr>
      <w:r>
        <w:rPr>
          <w:position w:val="-23"/>
        </w:rPr>
        <w:drawing>
          <wp:inline distT="0" distB="0" distL="0" distR="0">
            <wp:extent cx="12192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2">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4"/>
        </w:rPr>
        <w:drawing>
          <wp:inline distT="0" distB="0" distL="0" distR="0">
            <wp:extent cx="228600"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3">
                      <a:extLst>
                        <a:ext uri="{28A0092B-C50C-407E-A947-70E740481C1C}">
                          <a14:useLocalDpi xmlns:a14="http://schemas.microsoft.com/office/drawing/2010/main" val="0"/>
                        </a:ext>
                      </a:extLst>
                    </a:blip>
                    <a:srcRect/>
                    <a:stretch>
                      <a:fillRect/>
                    </a:stretch>
                  </pic:blipFill>
                  <pic:spPr bwMode="auto">
                    <a:xfrm>
                      <a:off x="0" y="0"/>
                      <a:ext cx="228600" cy="180975"/>
                    </a:xfrm>
                    <a:prstGeom prst="rect">
                      <a:avLst/>
                    </a:prstGeom>
                    <a:noFill/>
                    <a:ln>
                      <a:noFill/>
                    </a:ln>
                  </pic:spPr>
                </pic:pic>
              </a:graphicData>
            </a:graphic>
          </wp:inline>
        </w:drawing>
      </w:r>
      <w:r>
        <w:rPr>
          <w:sz w:val="20"/>
        </w:rPr>
        <w:t xml:space="preserve"> - выбросы от стационарных источников, для которых разработано мероприятие, без учета выполнения мероприятия, г/с;</w:t>
      </w:r>
    </w:p>
    <w:p>
      <w:pPr>
        <w:pStyle w:val="0"/>
        <w:spacing w:before="200" w:line-rule="auto"/>
        <w:ind w:firstLine="540"/>
        <w:jc w:val="both"/>
      </w:pPr>
      <w:r>
        <w:rPr>
          <w:position w:val="-4"/>
        </w:rPr>
        <w:drawing>
          <wp:inline distT="0" distB="0" distL="0" distR="0">
            <wp:extent cx="257175" cy="1809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4">
                      <a:extLst>
                        <a:ext uri="{28A0092B-C50C-407E-A947-70E740481C1C}">
                          <a14:useLocalDpi xmlns:a14="http://schemas.microsoft.com/office/drawing/2010/main" val="0"/>
                        </a:ext>
                      </a:extLst>
                    </a:blip>
                    <a:srcRect/>
                    <a:stretch>
                      <a:fillRect/>
                    </a:stretch>
                  </pic:blipFill>
                  <pic:spPr bwMode="auto">
                    <a:xfrm>
                      <a:off x="0" y="0"/>
                      <a:ext cx="257175" cy="180975"/>
                    </a:xfrm>
                    <a:prstGeom prst="rect">
                      <a:avLst/>
                    </a:prstGeom>
                    <a:noFill/>
                    <a:ln>
                      <a:noFill/>
                    </a:ln>
                  </pic:spPr>
                </pic:pic>
              </a:graphicData>
            </a:graphic>
          </wp:inline>
        </w:drawing>
      </w:r>
      <w:r>
        <w:rPr>
          <w:sz w:val="20"/>
        </w:rPr>
        <w:t xml:space="preserve"> - объем сокращения выбросов загрязняющих веществ за счет осуществления мероприятия, г/с.</w:t>
      </w:r>
    </w:p>
    <w:p>
      <w:pPr>
        <w:pStyle w:val="0"/>
        <w:spacing w:before="200" w:line-rule="auto"/>
        <w:ind w:firstLine="540"/>
        <w:jc w:val="both"/>
      </w:pPr>
      <w:r>
        <w:rPr>
          <w:sz w:val="20"/>
        </w:rPr>
        <w:t xml:space="preserve">Оценка эффективности мероприятий в целом по предприятию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проводится по формуле (7):</w:t>
      </w:r>
    </w:p>
    <w:p>
      <w:pPr>
        <w:pStyle w:val="0"/>
        <w:jc w:val="both"/>
      </w:pPr>
      <w:r>
        <w:rPr>
          <w:sz w:val="20"/>
        </w:rPr>
      </w:r>
    </w:p>
    <w:p>
      <w:pPr>
        <w:pStyle w:val="0"/>
        <w:jc w:val="center"/>
      </w:pPr>
      <w:r>
        <w:rPr>
          <w:position w:val="-20"/>
        </w:rPr>
        <w:drawing>
          <wp:inline distT="0" distB="0" distL="0" distR="0">
            <wp:extent cx="12668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5">
                      <a:extLst>
                        <a:ext uri="{28A0092B-C50C-407E-A947-70E740481C1C}">
                          <a14:useLocalDpi xmlns:a14="http://schemas.microsoft.com/office/drawing/2010/main" val="0"/>
                        </a:ext>
                      </a:extLst>
                    </a:blip>
                    <a:srcRect/>
                    <a:stretch>
                      <a:fillRect/>
                    </a:stretch>
                  </pic:blipFill>
                  <pic:spPr bwMode="auto">
                    <a:xfrm>
                      <a:off x="0" y="0"/>
                      <a:ext cx="12668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2"/>
        </w:rPr>
        <w:drawing>
          <wp:inline distT="0" distB="0" distL="0" distR="0">
            <wp:extent cx="200025" cy="1619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6">
                      <a:extLst>
                        <a:ext uri="{28A0092B-C50C-407E-A947-70E740481C1C}">
                          <a14:useLocalDpi xmlns:a14="http://schemas.microsoft.com/office/drawing/2010/main" val="0"/>
                        </a:ext>
                      </a:extLst>
                    </a:blip>
                    <a:srcRect/>
                    <a:stretch>
                      <a:fillRect/>
                    </a:stretch>
                  </pic:blipFill>
                  <pic:spPr bwMode="auto">
                    <a:xfrm>
                      <a:off x="0" y="0"/>
                      <a:ext cx="200025" cy="161925"/>
                    </a:xfrm>
                    <a:prstGeom prst="rect">
                      <a:avLst/>
                    </a:prstGeom>
                    <a:noFill/>
                    <a:ln>
                      <a:noFill/>
                    </a:ln>
                  </pic:spPr>
                </pic:pic>
              </a:graphicData>
            </a:graphic>
          </wp:inline>
        </w:drawing>
      </w:r>
      <w:r>
        <w:rPr>
          <w:sz w:val="20"/>
        </w:rPr>
        <w:t xml:space="preserve"> - суммарные выбросы до выполнения мероприятий в целом по объекту ОНВ, г/с;</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7">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суммарное сокращение выбросов загрязняющих веществ за счет выполнения мероприятий в целом по объекту ОНВ, г/с.</w:t>
      </w:r>
    </w:p>
    <w:p>
      <w:pPr>
        <w:pStyle w:val="0"/>
        <w:spacing w:before="200" w:line-rule="auto"/>
        <w:ind w:firstLine="540"/>
        <w:jc w:val="both"/>
      </w:pPr>
      <w:r>
        <w:rPr>
          <w:sz w:val="20"/>
        </w:rPr>
        <w:t xml:space="preserve">Оценка эффективности мероприятий (</w:t>
      </w:r>
      <w:r>
        <w:rPr>
          <w:position w:val="-5"/>
        </w:rPr>
        <w:drawing>
          <wp:inline distT="0" distB="0" distL="0" distR="0">
            <wp:extent cx="152400" cy="2000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1">
                      <a:extLst>
                        <a:ext uri="{28A0092B-C50C-407E-A947-70E740481C1C}">
                          <a14:useLocalDpi xmlns:a14="http://schemas.microsoft.com/office/drawing/2010/main" val="0"/>
                        </a:ext>
                      </a:extLst>
                    </a:blip>
                    <a:srcRect/>
                    <a:stretch>
                      <a:fillRect/>
                    </a:stretch>
                  </pic:blipFill>
                  <pic:spPr bwMode="auto">
                    <a:xfrm>
                      <a:off x="0" y="0"/>
                      <a:ext cx="152400" cy="200025"/>
                    </a:xfrm>
                    <a:prstGeom prst="rect">
                      <a:avLst/>
                    </a:prstGeom>
                    <a:noFill/>
                    <a:ln>
                      <a:noFill/>
                    </a:ln>
                  </pic:spPr>
                </pic:pic>
              </a:graphicData>
            </a:graphic>
          </wp:inline>
        </w:drawing>
      </w:r>
      <w:r>
        <w:rPr>
          <w:sz w:val="20"/>
        </w:rPr>
        <w:t xml:space="preserve">, %) по расчетным концентрациям загрязняющих веществ в атмосферном воздухе проводится по формуле (8):</w:t>
      </w:r>
    </w:p>
    <w:p>
      <w:pPr>
        <w:pStyle w:val="0"/>
        <w:jc w:val="both"/>
      </w:pPr>
      <w:r>
        <w:rPr>
          <w:sz w:val="20"/>
        </w:rPr>
      </w:r>
    </w:p>
    <w:p>
      <w:pPr>
        <w:pStyle w:val="0"/>
        <w:jc w:val="center"/>
      </w:pPr>
      <w:r>
        <w:rPr>
          <w:position w:val="-28"/>
        </w:rPr>
        <w:drawing>
          <wp:inline distT="0" distB="0" distL="0" distR="0">
            <wp:extent cx="1647825" cy="4857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8">
                      <a:extLst>
                        <a:ext uri="{28A0092B-C50C-407E-A947-70E740481C1C}">
                          <a14:useLocalDpi xmlns:a14="http://schemas.microsoft.com/office/drawing/2010/main" val="0"/>
                        </a:ext>
                      </a:extLst>
                    </a:blip>
                    <a:srcRect/>
                    <a:stretch>
                      <a:fillRect/>
                    </a:stretch>
                  </pic:blipFill>
                  <pic:spPr bwMode="auto">
                    <a:xfrm>
                      <a:off x="0" y="0"/>
                      <a:ext cx="1647825" cy="4857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 </w:t>
      </w: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9">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полученная с учетом выполнения мероприятий, мг/м</w:t>
      </w:r>
      <w:r>
        <w:rPr>
          <w:sz w:val="20"/>
          <w:vertAlign w:val="superscript"/>
        </w:rPr>
        <w:t xml:space="preserve">3</w:t>
      </w:r>
      <w:r>
        <w:rPr>
          <w:sz w:val="20"/>
        </w:rPr>
        <w:t xml:space="preserve">;</w:t>
      </w:r>
    </w:p>
    <w:p>
      <w:pPr>
        <w:pStyle w:val="0"/>
        <w:spacing w:before="200" w:line-rule="auto"/>
        <w:ind w:firstLine="540"/>
        <w:jc w:val="both"/>
      </w:pPr>
      <w:r>
        <w:rPr>
          <w:position w:val="-8"/>
        </w:rPr>
        <w:drawing>
          <wp:inline distT="0" distB="0" distL="0" distR="0">
            <wp:extent cx="23812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0">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noFill/>
                    <a:ln>
                      <a:noFill/>
                    </a:ln>
                  </pic:spPr>
                </pic:pic>
              </a:graphicData>
            </a:graphic>
          </wp:inline>
        </w:drawing>
      </w:r>
      <w:r>
        <w:rPr>
          <w:sz w:val="20"/>
        </w:rPr>
        <w:t xml:space="preserve"> - расчетная максимальная концентрация загрязняющих веществ, создаваемая при отсутствии мероприятий, мг/м</w:t>
      </w:r>
      <w:r>
        <w:rPr>
          <w:sz w:val="20"/>
          <w:vertAlign w:val="superscript"/>
        </w:rPr>
        <w:t xml:space="preserve">3</w:t>
      </w:r>
      <w:r>
        <w:rPr>
          <w:sz w:val="20"/>
        </w:rPr>
        <w:t xml:space="preserve">.</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Формирование</w:t>
      </w:r>
    </w:p>
    <w:p>
      <w:pPr>
        <w:pStyle w:val="0"/>
        <w:jc w:val="center"/>
      </w:pPr>
      <w:r>
        <w:rPr>
          <w:sz w:val="20"/>
        </w:rPr>
        <w:t xml:space="preserve">данных для разработки предельно допустимых выбросов</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385" w:name="P385"/>
    <w:bookmarkEnd w:id="385"/>
    <w:p>
      <w:pPr>
        <w:pStyle w:val="0"/>
        <w:jc w:val="center"/>
      </w:pPr>
      <w:r>
        <w:rPr>
          <w:sz w:val="20"/>
        </w:rPr>
        <w:t xml:space="preserve">Таблица N 1</w:t>
      </w:r>
    </w:p>
    <w:p>
      <w:pPr>
        <w:pStyle w:val="0"/>
        <w:jc w:val="both"/>
      </w:pPr>
      <w:r>
        <w:rPr>
          <w:sz w:val="20"/>
        </w:rPr>
      </w:r>
    </w:p>
    <w:p>
      <w:pPr>
        <w:pStyle w:val="0"/>
        <w:jc w:val="center"/>
      </w:pPr>
      <w:r>
        <w:rPr>
          <w:sz w:val="20"/>
        </w:rPr>
        <w:t xml:space="preserve">Информация о географических, климатических</w:t>
      </w:r>
    </w:p>
    <w:p>
      <w:pPr>
        <w:pStyle w:val="0"/>
        <w:jc w:val="center"/>
      </w:pPr>
      <w:r>
        <w:rPr>
          <w:sz w:val="20"/>
        </w:rPr>
        <w:t xml:space="preserve">и метеорологических характеристиках и коэффициентах</w:t>
      </w:r>
    </w:p>
    <w:p>
      <w:pPr>
        <w:pStyle w:val="0"/>
        <w:jc w:val="center"/>
      </w:pPr>
      <w:r>
        <w:rPr>
          <w:sz w:val="20"/>
        </w:rPr>
        <w:t xml:space="preserve">района расположения объекта ОНВ, определяющих условия</w:t>
      </w:r>
    </w:p>
    <w:p>
      <w:pPr>
        <w:pStyle w:val="0"/>
        <w:jc w:val="center"/>
      </w:pPr>
      <w:r>
        <w:rPr>
          <w:sz w:val="20"/>
        </w:rPr>
        <w:t xml:space="preserve">рассеивания выбросов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42"/>
        <w:gridCol w:w="2041"/>
      </w:tblGrid>
      <w:tr>
        <w:tc>
          <w:tcPr>
            <w:tcW w:w="7042" w:type="dxa"/>
          </w:tcPr>
          <w:p>
            <w:pPr>
              <w:pStyle w:val="0"/>
              <w:jc w:val="center"/>
            </w:pPr>
            <w:r>
              <w:rPr>
                <w:sz w:val="20"/>
              </w:rPr>
              <w:t xml:space="preserve">Наименование характеристики</w:t>
            </w:r>
          </w:p>
        </w:tc>
        <w:tc>
          <w:tcPr>
            <w:tcW w:w="2041" w:type="dxa"/>
          </w:tcPr>
          <w:p>
            <w:pPr>
              <w:pStyle w:val="0"/>
              <w:jc w:val="center"/>
            </w:pPr>
            <w:r>
              <w:rPr>
                <w:sz w:val="20"/>
              </w:rPr>
              <w:t xml:space="preserve">Величина</w:t>
            </w:r>
          </w:p>
        </w:tc>
      </w:tr>
      <w:tr>
        <w:tc>
          <w:tcPr>
            <w:tcW w:w="7042" w:type="dxa"/>
            <w:vAlign w:val="bottom"/>
          </w:tcPr>
          <w:p>
            <w:pPr>
              <w:pStyle w:val="0"/>
            </w:pPr>
            <w:r>
              <w:rPr>
                <w:sz w:val="20"/>
              </w:rPr>
              <w:t xml:space="preserve">Коэффициент, зависящий от температурной стратификации атмосферы, А</w:t>
            </w:r>
          </w:p>
        </w:tc>
        <w:tc>
          <w:tcPr>
            <w:tcW w:w="2041" w:type="dxa"/>
          </w:tcPr>
          <w:p>
            <w:pPr>
              <w:pStyle w:val="0"/>
            </w:pPr>
            <w:r>
              <w:rPr>
                <w:sz w:val="20"/>
              </w:rPr>
            </w:r>
          </w:p>
        </w:tc>
      </w:tr>
      <w:tr>
        <w:tc>
          <w:tcPr>
            <w:tcW w:w="7042" w:type="dxa"/>
            <w:vAlign w:val="bottom"/>
          </w:tcPr>
          <w:p>
            <w:pPr>
              <w:pStyle w:val="0"/>
            </w:pPr>
            <w:r>
              <w:rPr>
                <w:sz w:val="20"/>
              </w:rPr>
              <w:t xml:space="preserve">Коэффициент рельефа местности</w:t>
            </w:r>
          </w:p>
        </w:tc>
        <w:tc>
          <w:tcPr>
            <w:tcW w:w="2041" w:type="dxa"/>
          </w:tcPr>
          <w:p>
            <w:pPr>
              <w:pStyle w:val="0"/>
            </w:pPr>
            <w:r>
              <w:rPr>
                <w:sz w:val="20"/>
              </w:rPr>
            </w:r>
          </w:p>
        </w:tc>
      </w:tr>
      <w:tr>
        <w:tc>
          <w:tcPr>
            <w:tcW w:w="7042" w:type="dxa"/>
            <w:vAlign w:val="bottom"/>
          </w:tcPr>
          <w:p>
            <w:pPr>
              <w:pStyle w:val="0"/>
            </w:pPr>
            <w:r>
              <w:rPr>
                <w:sz w:val="20"/>
              </w:rPr>
              <w:t xml:space="preserve">Средняя максимальная температура наружного воздуха наиболее жаркого месяца года, T, °C</w:t>
            </w:r>
          </w:p>
        </w:tc>
        <w:tc>
          <w:tcPr>
            <w:tcW w:w="2041" w:type="dxa"/>
          </w:tcPr>
          <w:p>
            <w:pPr>
              <w:pStyle w:val="0"/>
            </w:pPr>
            <w:r>
              <w:rPr>
                <w:sz w:val="20"/>
              </w:rPr>
            </w:r>
          </w:p>
        </w:tc>
      </w:tr>
      <w:tr>
        <w:tc>
          <w:tcPr>
            <w:tcW w:w="7042" w:type="dxa"/>
            <w:vAlign w:val="bottom"/>
          </w:tcPr>
          <w:p>
            <w:pPr>
              <w:pStyle w:val="0"/>
            </w:pPr>
            <w:r>
              <w:rPr>
                <w:sz w:val="20"/>
              </w:rPr>
              <w:t xml:space="preserve">Средняя температура наружного воздуха наиболее холодного месяца (для котельных, работающих по отопительному графику), T, °C</w:t>
            </w:r>
          </w:p>
        </w:tc>
        <w:tc>
          <w:tcPr>
            <w:tcW w:w="2041" w:type="dxa"/>
          </w:tcPr>
          <w:p>
            <w:pPr>
              <w:pStyle w:val="0"/>
            </w:pPr>
            <w:r>
              <w:rPr>
                <w:sz w:val="20"/>
              </w:rPr>
            </w:r>
          </w:p>
        </w:tc>
      </w:tr>
      <w:tr>
        <w:tc>
          <w:tcPr>
            <w:tcW w:w="7042" w:type="dxa"/>
            <w:vAlign w:val="bottom"/>
          </w:tcPr>
          <w:p>
            <w:pPr>
              <w:pStyle w:val="0"/>
            </w:pPr>
            <w:r>
              <w:rPr>
                <w:sz w:val="20"/>
              </w:rPr>
              <w:t xml:space="preserve">Среднегодовая роза ветров, %</w:t>
            </w:r>
          </w:p>
          <w:p>
            <w:pPr>
              <w:pStyle w:val="0"/>
            </w:pPr>
            <w:r>
              <w:rPr>
                <w:sz w:val="20"/>
              </w:rPr>
              <w:t xml:space="preserve">по румбам ветра</w:t>
            </w:r>
          </w:p>
        </w:tc>
        <w:tc>
          <w:tcPr>
            <w:tcW w:w="2041" w:type="dxa"/>
          </w:tcPr>
          <w:p>
            <w:pPr>
              <w:pStyle w:val="0"/>
            </w:pPr>
            <w:r>
              <w:rPr>
                <w:sz w:val="20"/>
              </w:rPr>
            </w:r>
          </w:p>
        </w:tc>
      </w:tr>
      <w:tr>
        <w:tc>
          <w:tcPr>
            <w:tcW w:w="7042" w:type="dxa"/>
          </w:tcPr>
          <w:p>
            <w:pPr>
              <w:pStyle w:val="0"/>
            </w:pPr>
            <w:r>
              <w:rPr>
                <w:sz w:val="20"/>
              </w:rPr>
              <w:t xml:space="preserve">С</w:t>
            </w:r>
          </w:p>
        </w:tc>
        <w:tc>
          <w:tcPr>
            <w:tcW w:w="2041" w:type="dxa"/>
          </w:tcPr>
          <w:p>
            <w:pPr>
              <w:pStyle w:val="0"/>
            </w:pPr>
            <w:r>
              <w:rPr>
                <w:sz w:val="20"/>
              </w:rPr>
            </w:r>
          </w:p>
        </w:tc>
      </w:tr>
      <w:tr>
        <w:tc>
          <w:tcPr>
            <w:tcW w:w="7042" w:type="dxa"/>
          </w:tcPr>
          <w:p>
            <w:pPr>
              <w:pStyle w:val="0"/>
            </w:pPr>
            <w:r>
              <w:rPr>
                <w:sz w:val="20"/>
              </w:rPr>
              <w:t xml:space="preserve">СВ</w:t>
            </w:r>
          </w:p>
        </w:tc>
        <w:tc>
          <w:tcPr>
            <w:tcW w:w="2041" w:type="dxa"/>
          </w:tcPr>
          <w:p>
            <w:pPr>
              <w:pStyle w:val="0"/>
            </w:pPr>
            <w:r>
              <w:rPr>
                <w:sz w:val="20"/>
              </w:rPr>
            </w:r>
          </w:p>
        </w:tc>
      </w:tr>
      <w:tr>
        <w:tc>
          <w:tcPr>
            <w:tcW w:w="7042" w:type="dxa"/>
          </w:tcPr>
          <w:p>
            <w:pPr>
              <w:pStyle w:val="0"/>
            </w:pPr>
            <w:r>
              <w:rPr>
                <w:sz w:val="20"/>
              </w:rPr>
              <w:t xml:space="preserve">В</w:t>
            </w:r>
          </w:p>
        </w:tc>
        <w:tc>
          <w:tcPr>
            <w:tcW w:w="2041" w:type="dxa"/>
          </w:tcPr>
          <w:p>
            <w:pPr>
              <w:pStyle w:val="0"/>
            </w:pPr>
            <w:r>
              <w:rPr>
                <w:sz w:val="20"/>
              </w:rPr>
            </w:r>
          </w:p>
        </w:tc>
      </w:tr>
      <w:tr>
        <w:tc>
          <w:tcPr>
            <w:tcW w:w="7042" w:type="dxa"/>
          </w:tcPr>
          <w:p>
            <w:pPr>
              <w:pStyle w:val="0"/>
            </w:pPr>
            <w:r>
              <w:rPr>
                <w:sz w:val="20"/>
              </w:rPr>
              <w:t xml:space="preserve">ЮВ</w:t>
            </w:r>
          </w:p>
        </w:tc>
        <w:tc>
          <w:tcPr>
            <w:tcW w:w="2041" w:type="dxa"/>
          </w:tcPr>
          <w:p>
            <w:pPr>
              <w:pStyle w:val="0"/>
            </w:pPr>
            <w:r>
              <w:rPr>
                <w:sz w:val="20"/>
              </w:rPr>
            </w:r>
          </w:p>
        </w:tc>
      </w:tr>
      <w:tr>
        <w:tc>
          <w:tcPr>
            <w:tcW w:w="7042" w:type="dxa"/>
          </w:tcPr>
          <w:p>
            <w:pPr>
              <w:pStyle w:val="0"/>
            </w:pPr>
            <w:r>
              <w:rPr>
                <w:sz w:val="20"/>
              </w:rPr>
              <w:t xml:space="preserve">Ю</w:t>
            </w:r>
          </w:p>
        </w:tc>
        <w:tc>
          <w:tcPr>
            <w:tcW w:w="2041" w:type="dxa"/>
          </w:tcPr>
          <w:p>
            <w:pPr>
              <w:pStyle w:val="0"/>
            </w:pPr>
            <w:r>
              <w:rPr>
                <w:sz w:val="20"/>
              </w:rPr>
            </w:r>
          </w:p>
        </w:tc>
      </w:tr>
      <w:tr>
        <w:tc>
          <w:tcPr>
            <w:tcW w:w="7042" w:type="dxa"/>
          </w:tcPr>
          <w:p>
            <w:pPr>
              <w:pStyle w:val="0"/>
            </w:pPr>
            <w:r>
              <w:rPr>
                <w:sz w:val="20"/>
              </w:rPr>
              <w:t xml:space="preserve">ЮЗ</w:t>
            </w:r>
          </w:p>
        </w:tc>
        <w:tc>
          <w:tcPr>
            <w:tcW w:w="2041" w:type="dxa"/>
          </w:tcPr>
          <w:p>
            <w:pPr>
              <w:pStyle w:val="0"/>
            </w:pPr>
            <w:r>
              <w:rPr>
                <w:sz w:val="20"/>
              </w:rPr>
            </w:r>
          </w:p>
        </w:tc>
      </w:tr>
      <w:tr>
        <w:tc>
          <w:tcPr>
            <w:tcW w:w="7042" w:type="dxa"/>
          </w:tcPr>
          <w:p>
            <w:pPr>
              <w:pStyle w:val="0"/>
            </w:pPr>
            <w:r>
              <w:rPr>
                <w:sz w:val="20"/>
              </w:rPr>
              <w:t xml:space="preserve">З</w:t>
            </w:r>
          </w:p>
        </w:tc>
        <w:tc>
          <w:tcPr>
            <w:tcW w:w="2041" w:type="dxa"/>
          </w:tcPr>
          <w:p>
            <w:pPr>
              <w:pStyle w:val="0"/>
            </w:pPr>
            <w:r>
              <w:rPr>
                <w:sz w:val="20"/>
              </w:rPr>
            </w:r>
          </w:p>
        </w:tc>
      </w:tr>
      <w:tr>
        <w:tc>
          <w:tcPr>
            <w:tcW w:w="7042" w:type="dxa"/>
          </w:tcPr>
          <w:p>
            <w:pPr>
              <w:pStyle w:val="0"/>
            </w:pPr>
            <w:r>
              <w:rPr>
                <w:sz w:val="20"/>
              </w:rPr>
              <w:t xml:space="preserve">СЗ</w:t>
            </w:r>
          </w:p>
        </w:tc>
        <w:tc>
          <w:tcPr>
            <w:tcW w:w="2041" w:type="dxa"/>
          </w:tcPr>
          <w:p>
            <w:pPr>
              <w:pStyle w:val="0"/>
            </w:pPr>
            <w:r>
              <w:rPr>
                <w:sz w:val="20"/>
              </w:rPr>
            </w:r>
          </w:p>
        </w:tc>
      </w:tr>
      <w:tr>
        <w:tc>
          <w:tcPr>
            <w:tcW w:w="7042" w:type="dxa"/>
          </w:tcPr>
          <w:p>
            <w:pPr>
              <w:pStyle w:val="0"/>
            </w:pPr>
            <w:r>
              <w:rPr>
                <w:sz w:val="20"/>
              </w:rPr>
              <w:t xml:space="preserve">Данные о скорости ветра, необходимые для расчетов рассеивания</w:t>
            </w:r>
          </w:p>
        </w:tc>
        <w:tc>
          <w:tcPr>
            <w:tcW w:w="2041" w:type="dxa"/>
          </w:tcPr>
          <w:p>
            <w:pPr>
              <w:pStyle w:val="0"/>
            </w:pPr>
            <w:r>
              <w:rPr>
                <w:sz w:val="20"/>
              </w:rPr>
            </w:r>
          </w:p>
        </w:tc>
      </w:tr>
      <w:tr>
        <w:tc>
          <w:tcPr>
            <w:tcW w:w="7042" w:type="dxa"/>
            <w:vAlign w:val="bottom"/>
          </w:tcPr>
          <w:p>
            <w:pPr>
              <w:pStyle w:val="0"/>
            </w:pPr>
            <w:r>
              <w:rPr>
                <w:sz w:val="20"/>
              </w:rPr>
              <w:t xml:space="preserve">Иные метеорологические данные, необходимые для расчетов рассеивания в соответствии с </w:t>
            </w:r>
            <w:hyperlink w:history="0" r:id="rId141" w:tooltip="Приказ Минприроды России от 06.06.2017 N 273 &quot;Об утверждении методов расчетов рассеивания выбросов вредных (загрязняющих) веществ в атмосферном воздухе&quot; (Зарегистрировано в Минюсте России 10.08.2017 N 47734) {КонсультантПлюс}">
              <w:r>
                <w:rPr>
                  <w:sz w:val="20"/>
                  <w:color w:val="0000ff"/>
                </w:rPr>
                <w:t xml:space="preserve">Методами</w:t>
              </w:r>
            </w:hyperlink>
            <w:r>
              <w:rPr>
                <w:sz w:val="20"/>
              </w:rPr>
              <w:t xml:space="preserve"> расчетов рассеивания выбросов вредных (загрязняющих) веществ в атмосферном воздухе, утвержденными приказом Минприроды России от 06.06.2017 N 273 (зарегистрирован Минюстом России 10.08.2017, регистрационный N 47734)</w:t>
            </w:r>
          </w:p>
        </w:tc>
        <w:tc>
          <w:tcPr>
            <w:tcW w:w="2041"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430" w:name="P430"/>
    <w:bookmarkEnd w:id="430"/>
    <w:p>
      <w:pPr>
        <w:pStyle w:val="0"/>
        <w:jc w:val="center"/>
      </w:pPr>
      <w:r>
        <w:rPr>
          <w:sz w:val="20"/>
        </w:rPr>
        <w:t xml:space="preserve">Таблица N 2</w:t>
      </w:r>
    </w:p>
    <w:p>
      <w:pPr>
        <w:pStyle w:val="0"/>
        <w:jc w:val="both"/>
      </w:pPr>
      <w:r>
        <w:rPr>
          <w:sz w:val="20"/>
        </w:rPr>
      </w:r>
    </w:p>
    <w:p>
      <w:pPr>
        <w:pStyle w:val="0"/>
        <w:jc w:val="center"/>
      </w:pPr>
      <w:r>
        <w:rPr>
          <w:sz w:val="20"/>
        </w:rPr>
        <w:t xml:space="preserve">Сведения о стационарных источниках и выбросах (на момент</w:t>
      </w:r>
    </w:p>
    <w:p>
      <w:pPr>
        <w:pStyle w:val="0"/>
        <w:jc w:val="center"/>
      </w:pPr>
      <w:r>
        <w:rPr>
          <w:sz w:val="20"/>
        </w:rPr>
        <w:t xml:space="preserve">разработки предельно допустимых выбросов)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737"/>
        <w:gridCol w:w="737"/>
        <w:gridCol w:w="715"/>
        <w:gridCol w:w="1077"/>
        <w:gridCol w:w="1417"/>
        <w:gridCol w:w="1020"/>
        <w:gridCol w:w="737"/>
        <w:gridCol w:w="648"/>
        <w:gridCol w:w="737"/>
        <w:gridCol w:w="725"/>
        <w:gridCol w:w="715"/>
        <w:gridCol w:w="737"/>
        <w:gridCol w:w="340"/>
        <w:gridCol w:w="850"/>
      </w:tblGrid>
      <w:tr>
        <w:tc>
          <w:tcPr>
            <w:gridSpan w:val="2"/>
            <w:tcW w:w="1361" w:type="dxa"/>
          </w:tcPr>
          <w:p>
            <w:pPr>
              <w:pStyle w:val="0"/>
              <w:jc w:val="center"/>
            </w:pPr>
            <w:r>
              <w:rPr>
                <w:sz w:val="20"/>
              </w:rPr>
              <w:t xml:space="preserve">Цех, участок (подразделение)</w:t>
            </w:r>
          </w:p>
        </w:tc>
        <w:tc>
          <w:tcPr>
            <w:gridSpan w:val="3"/>
            <w:tcW w:w="2529" w:type="dxa"/>
          </w:tcPr>
          <w:p>
            <w:pPr>
              <w:pStyle w:val="0"/>
              <w:jc w:val="center"/>
            </w:pPr>
            <w:r>
              <w:rPr>
                <w:sz w:val="20"/>
              </w:rPr>
              <w:t xml:space="preserve">Источник выделения загрязняющих веществ</w:t>
            </w:r>
          </w:p>
        </w:tc>
        <w:tc>
          <w:tcPr>
            <w:tcW w:w="1417" w:type="dxa"/>
            <w:vMerge w:val="restart"/>
          </w:tcPr>
          <w:p>
            <w:pPr>
              <w:pStyle w:val="0"/>
              <w:jc w:val="center"/>
            </w:pPr>
            <w:r>
              <w:rPr>
                <w:sz w:val="20"/>
              </w:rPr>
              <w:t xml:space="preserve">Наименование стационарного источника выбросов загрязняющих веществ (источника)</w:t>
            </w:r>
          </w:p>
        </w:tc>
        <w:tc>
          <w:tcPr>
            <w:tcW w:w="1020" w:type="dxa"/>
            <w:vMerge w:val="restart"/>
          </w:tcPr>
          <w:p>
            <w:pPr>
              <w:pStyle w:val="0"/>
              <w:jc w:val="center"/>
            </w:pPr>
            <w:r>
              <w:rPr>
                <w:sz w:val="20"/>
              </w:rPr>
              <w:t xml:space="preserve">Количество источников под одним номером, шт.</w:t>
            </w:r>
          </w:p>
        </w:tc>
        <w:tc>
          <w:tcPr>
            <w:tcW w:w="737" w:type="dxa"/>
            <w:vMerge w:val="restart"/>
          </w:tcPr>
          <w:p>
            <w:pPr>
              <w:pStyle w:val="0"/>
              <w:jc w:val="center"/>
            </w:pPr>
            <w:r>
              <w:rPr>
                <w:sz w:val="20"/>
              </w:rPr>
              <w:t xml:space="preserve">Номер источника</w:t>
            </w:r>
          </w:p>
        </w:tc>
        <w:tc>
          <w:tcPr>
            <w:tcW w:w="648" w:type="dxa"/>
            <w:vMerge w:val="restart"/>
          </w:tcPr>
          <w:p>
            <w:pPr>
              <w:pStyle w:val="0"/>
              <w:jc w:val="center"/>
            </w:pPr>
            <w:r>
              <w:rPr>
                <w:sz w:val="20"/>
              </w:rPr>
              <w:t xml:space="preserve">Номер режима (стадии) выбросов</w:t>
            </w:r>
          </w:p>
        </w:tc>
        <w:tc>
          <w:tcPr>
            <w:tcW w:w="737" w:type="dxa"/>
            <w:vMerge w:val="restart"/>
          </w:tcPr>
          <w:p>
            <w:pPr>
              <w:pStyle w:val="0"/>
              <w:jc w:val="center"/>
            </w:pPr>
            <w:r>
              <w:rPr>
                <w:sz w:val="20"/>
              </w:rPr>
              <w:t xml:space="preserve">Высота источника, м</w:t>
            </w:r>
          </w:p>
        </w:tc>
        <w:tc>
          <w:tcPr>
            <w:tcW w:w="725" w:type="dxa"/>
            <w:vMerge w:val="restart"/>
          </w:tcPr>
          <w:p>
            <w:pPr>
              <w:pStyle w:val="0"/>
              <w:jc w:val="center"/>
            </w:pPr>
            <w:r>
              <w:rPr>
                <w:sz w:val="20"/>
              </w:rPr>
              <w:t xml:space="preserve">Диаметр (размеры) устья источника, м</w:t>
            </w:r>
          </w:p>
        </w:tc>
        <w:tc>
          <w:tcPr>
            <w:gridSpan w:val="4"/>
            <w:tcW w:w="2642" w:type="dxa"/>
            <w:vMerge w:val="restart"/>
          </w:tcPr>
          <w:p>
            <w:pPr>
              <w:pStyle w:val="0"/>
              <w:jc w:val="center"/>
            </w:pPr>
            <w:r>
              <w:rPr>
                <w:sz w:val="20"/>
              </w:rPr>
              <w:t xml:space="preserve">Параметры газовоздушной смеси на выходе из источника (фактические)</w:t>
            </w:r>
          </w:p>
        </w:tc>
      </w:tr>
      <w:tr>
        <w:tc>
          <w:tcPr>
            <w:tcW w:w="624" w:type="dxa"/>
            <w:vMerge w:val="restart"/>
          </w:tcPr>
          <w:p>
            <w:pPr>
              <w:pStyle w:val="0"/>
              <w:jc w:val="center"/>
            </w:pPr>
            <w:r>
              <w:rPr>
                <w:sz w:val="20"/>
              </w:rPr>
              <w:t xml:space="preserve">Номер</w:t>
            </w:r>
          </w:p>
        </w:tc>
        <w:tc>
          <w:tcPr>
            <w:tcW w:w="737" w:type="dxa"/>
            <w:vMerge w:val="restart"/>
          </w:tcPr>
          <w:p>
            <w:pPr>
              <w:pStyle w:val="0"/>
              <w:jc w:val="center"/>
            </w:pPr>
            <w:r>
              <w:rPr>
                <w:sz w:val="20"/>
              </w:rPr>
              <w:t xml:space="preserve">Наименование</w:t>
            </w:r>
          </w:p>
        </w:tc>
        <w:tc>
          <w:tcPr>
            <w:tcW w:w="737" w:type="dxa"/>
            <w:vMerge w:val="restart"/>
          </w:tcPr>
          <w:p>
            <w:pPr>
              <w:pStyle w:val="0"/>
              <w:jc w:val="center"/>
            </w:pPr>
            <w:r>
              <w:rPr>
                <w:sz w:val="20"/>
              </w:rPr>
              <w:t xml:space="preserve">Наименование</w:t>
            </w:r>
          </w:p>
        </w:tc>
        <w:tc>
          <w:tcPr>
            <w:tcW w:w="715" w:type="dxa"/>
            <w:vMerge w:val="restart"/>
          </w:tcPr>
          <w:p>
            <w:pPr>
              <w:pStyle w:val="0"/>
              <w:jc w:val="center"/>
            </w:pPr>
            <w:r>
              <w:rPr>
                <w:sz w:val="20"/>
              </w:rPr>
              <w:t xml:space="preserve">Количество, шт.</w:t>
            </w:r>
          </w:p>
        </w:tc>
        <w:tc>
          <w:tcPr>
            <w:tcW w:w="1077" w:type="dxa"/>
            <w:vMerge w:val="restart"/>
          </w:tcPr>
          <w:p>
            <w:pPr>
              <w:pStyle w:val="0"/>
              <w:jc w:val="center"/>
            </w:pPr>
            <w:r>
              <w:rPr>
                <w:sz w:val="20"/>
              </w:rPr>
              <w:t xml:space="preserve">Количество часов работы в сутки/год</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gridSpan w:val="4"/>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715" w:type="dxa"/>
          </w:tcPr>
          <w:p>
            <w:pPr>
              <w:pStyle w:val="0"/>
              <w:jc w:val="center"/>
            </w:pPr>
            <w:r>
              <w:rPr>
                <w:sz w:val="20"/>
              </w:rPr>
              <w:t xml:space="preserve">Скорость м/с</w:t>
            </w:r>
          </w:p>
        </w:tc>
        <w:tc>
          <w:tcPr>
            <w:gridSpan w:val="2"/>
            <w:tcW w:w="1077" w:type="dxa"/>
          </w:tcPr>
          <w:p>
            <w:pPr>
              <w:pStyle w:val="0"/>
              <w:jc w:val="center"/>
            </w:pPr>
            <w:r>
              <w:rPr>
                <w:sz w:val="20"/>
              </w:rPr>
              <w:t xml:space="preserve">Объемный расход на 1 источнике м</w:t>
            </w:r>
            <w:r>
              <w:rPr>
                <w:sz w:val="20"/>
                <w:vertAlign w:val="superscript"/>
              </w:rPr>
              <w:t xml:space="preserve">3</w:t>
            </w:r>
            <w:r>
              <w:rPr>
                <w:sz w:val="20"/>
              </w:rPr>
              <w:t xml:space="preserve">/с</w:t>
            </w:r>
          </w:p>
        </w:tc>
        <w:tc>
          <w:tcPr>
            <w:tcW w:w="850" w:type="dxa"/>
          </w:tcPr>
          <w:p>
            <w:pPr>
              <w:pStyle w:val="0"/>
              <w:jc w:val="center"/>
            </w:pPr>
            <w:r>
              <w:rPr>
                <w:sz w:val="20"/>
              </w:rPr>
              <w:t xml:space="preserve">Температура °C</w:t>
            </w:r>
          </w:p>
        </w:tc>
      </w:tr>
      <w:tr>
        <w:tc>
          <w:tcPr>
            <w:tcW w:w="624" w:type="dxa"/>
          </w:tcPr>
          <w:p>
            <w:pPr>
              <w:pStyle w:val="0"/>
              <w:jc w:val="center"/>
            </w:pPr>
            <w:r>
              <w:rPr>
                <w:sz w:val="20"/>
              </w:rPr>
              <w:t xml:space="preserve">1</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715" w:type="dxa"/>
          </w:tcPr>
          <w:p>
            <w:pPr>
              <w:pStyle w:val="0"/>
              <w:jc w:val="center"/>
            </w:pPr>
            <w:r>
              <w:rPr>
                <w:sz w:val="20"/>
              </w:rPr>
              <w:t xml:space="preserve">4</w:t>
            </w:r>
          </w:p>
        </w:tc>
        <w:tc>
          <w:tcPr>
            <w:tcW w:w="1077" w:type="dxa"/>
          </w:tcPr>
          <w:p>
            <w:pPr>
              <w:pStyle w:val="0"/>
              <w:jc w:val="center"/>
            </w:pPr>
            <w:r>
              <w:rPr>
                <w:sz w:val="20"/>
              </w:rPr>
              <w:t xml:space="preserve">5</w:t>
            </w:r>
          </w:p>
        </w:tc>
        <w:tc>
          <w:tcPr>
            <w:tcW w:w="1417" w:type="dxa"/>
          </w:tcPr>
          <w:p>
            <w:pPr>
              <w:pStyle w:val="0"/>
              <w:jc w:val="center"/>
            </w:pPr>
            <w:r>
              <w:rPr>
                <w:sz w:val="20"/>
              </w:rPr>
              <w:t xml:space="preserve">6</w:t>
            </w:r>
          </w:p>
        </w:tc>
        <w:tc>
          <w:tcPr>
            <w:tcW w:w="1020" w:type="dxa"/>
          </w:tcPr>
          <w:p>
            <w:pPr>
              <w:pStyle w:val="0"/>
              <w:jc w:val="center"/>
            </w:pPr>
            <w:r>
              <w:rPr>
                <w:sz w:val="20"/>
              </w:rPr>
              <w:t xml:space="preserve">7</w:t>
            </w:r>
          </w:p>
        </w:tc>
        <w:tc>
          <w:tcPr>
            <w:tcW w:w="737" w:type="dxa"/>
          </w:tcPr>
          <w:p>
            <w:pPr>
              <w:pStyle w:val="0"/>
              <w:jc w:val="center"/>
            </w:pPr>
            <w:r>
              <w:rPr>
                <w:sz w:val="20"/>
              </w:rPr>
              <w:t xml:space="preserve">8</w:t>
            </w:r>
          </w:p>
        </w:tc>
        <w:tc>
          <w:tcPr>
            <w:tcW w:w="648" w:type="dxa"/>
          </w:tcPr>
          <w:p>
            <w:pPr>
              <w:pStyle w:val="0"/>
              <w:jc w:val="center"/>
            </w:pPr>
            <w:r>
              <w:rPr>
                <w:sz w:val="20"/>
              </w:rPr>
              <w:t xml:space="preserve">9</w:t>
            </w:r>
          </w:p>
        </w:tc>
        <w:tc>
          <w:tcPr>
            <w:tcW w:w="737" w:type="dxa"/>
          </w:tcPr>
          <w:p>
            <w:pPr>
              <w:pStyle w:val="0"/>
              <w:jc w:val="center"/>
            </w:pPr>
            <w:r>
              <w:rPr>
                <w:sz w:val="20"/>
              </w:rPr>
              <w:t xml:space="preserve">10</w:t>
            </w:r>
          </w:p>
        </w:tc>
        <w:tc>
          <w:tcPr>
            <w:tcW w:w="725" w:type="dxa"/>
          </w:tcPr>
          <w:p>
            <w:pPr>
              <w:pStyle w:val="0"/>
              <w:jc w:val="center"/>
            </w:pPr>
            <w:r>
              <w:rPr>
                <w:sz w:val="20"/>
              </w:rPr>
              <w:t xml:space="preserve">11</w:t>
            </w:r>
          </w:p>
        </w:tc>
        <w:tc>
          <w:tcPr>
            <w:tcW w:w="715" w:type="dxa"/>
          </w:tcPr>
          <w:p>
            <w:pPr>
              <w:pStyle w:val="0"/>
              <w:jc w:val="center"/>
            </w:pPr>
            <w:r>
              <w:rPr>
                <w:sz w:val="20"/>
              </w:rPr>
              <w:t xml:space="preserve">12</w:t>
            </w:r>
          </w:p>
        </w:tc>
        <w:tc>
          <w:tcPr>
            <w:gridSpan w:val="2"/>
            <w:tcW w:w="1077" w:type="dxa"/>
          </w:tcPr>
          <w:p>
            <w:pPr>
              <w:pStyle w:val="0"/>
              <w:jc w:val="center"/>
            </w:pPr>
            <w:r>
              <w:rPr>
                <w:sz w:val="20"/>
              </w:rPr>
              <w:t xml:space="preserve">13</w:t>
            </w:r>
          </w:p>
        </w:tc>
        <w:tc>
          <w:tcPr>
            <w:tcW w:w="850" w:type="dxa"/>
          </w:tcPr>
          <w:p>
            <w:pPr>
              <w:pStyle w:val="0"/>
              <w:jc w:val="center"/>
            </w:pPr>
            <w:r>
              <w:rPr>
                <w:sz w:val="20"/>
              </w:rPr>
              <w:t xml:space="preserve">14</w:t>
            </w:r>
          </w:p>
        </w:tc>
      </w:tr>
      <w:tr>
        <w:tblPrEx>
          <w:tblBorders>
            <w:insideH w:val="nil"/>
          </w:tblBorders>
        </w:tblPrEx>
        <w:tc>
          <w:tcPr>
            <w:gridSpan w:val="15"/>
            <w:tcW w:w="11816" w:type="dxa"/>
            <w:tcBorders>
              <w:bottom w:val="nil"/>
            </w:tcBorders>
          </w:tcPr>
          <w:p>
            <w:pPr>
              <w:pStyle w:val="0"/>
            </w:pPr>
            <w:r>
              <w:rPr>
                <w:sz w:val="20"/>
              </w:rPr>
            </w:r>
          </w:p>
        </w:tc>
      </w:tr>
      <w:tr>
        <w:tblPrEx>
          <w:tblBorders>
            <w:insideV w:val="nil"/>
          </w:tblBorders>
        </w:tblPrEx>
        <w:tc>
          <w:tcPr>
            <w:gridSpan w:val="2"/>
            <w:tcW w:w="1361" w:type="dxa"/>
            <w:tcBorders>
              <w:top w:val="nil"/>
              <w:left w:val="single" w:sz="4"/>
            </w:tcBorders>
          </w:tcPr>
          <w:p>
            <w:pPr>
              <w:pStyle w:val="0"/>
            </w:pPr>
            <w:r>
              <w:rPr>
                <w:sz w:val="20"/>
              </w:rPr>
            </w:r>
          </w:p>
        </w:tc>
        <w:tc>
          <w:tcPr>
            <w:gridSpan w:val="8"/>
            <w:tcW w:w="7088" w:type="dxa"/>
          </w:tcPr>
          <w:p>
            <w:pPr>
              <w:pStyle w:val="0"/>
              <w:jc w:val="center"/>
            </w:pPr>
            <w:r>
              <w:rPr>
                <w:sz w:val="20"/>
              </w:rPr>
              <w:t xml:space="preserve">(номер и наименование подразделения объекта ОНВ)</w:t>
            </w:r>
          </w:p>
        </w:tc>
        <w:tc>
          <w:tcPr>
            <w:gridSpan w:val="5"/>
            <w:tcW w:w="3367" w:type="dxa"/>
            <w:tcBorders>
              <w:top w:val="nil"/>
              <w:right w:val="single" w:sz="4"/>
            </w:tcBorders>
          </w:tcPr>
          <w:p>
            <w:pPr>
              <w:pStyle w:val="0"/>
            </w:pPr>
            <w:r>
              <w:rPr>
                <w:sz w:val="20"/>
              </w:rPr>
            </w:r>
          </w:p>
        </w:tc>
      </w:tr>
      <w:tr>
        <w:tc>
          <w:tcPr>
            <w:tcW w:w="624" w:type="dxa"/>
          </w:tcPr>
          <w:p>
            <w:pPr>
              <w:pStyle w:val="0"/>
            </w:pPr>
            <w:r>
              <w:rPr>
                <w:sz w:val="20"/>
              </w:rPr>
            </w:r>
          </w:p>
        </w:tc>
        <w:tc>
          <w:tcPr>
            <w:tcW w:w="737" w:type="dxa"/>
          </w:tcPr>
          <w:p>
            <w:pPr>
              <w:pStyle w:val="0"/>
            </w:pPr>
            <w:r>
              <w:rPr>
                <w:sz w:val="20"/>
              </w:rPr>
            </w:r>
          </w:p>
        </w:tc>
        <w:tc>
          <w:tcPr>
            <w:tcW w:w="737" w:type="dxa"/>
          </w:tcPr>
          <w:p>
            <w:pPr>
              <w:pStyle w:val="0"/>
            </w:pPr>
            <w:r>
              <w:rPr>
                <w:sz w:val="20"/>
              </w:rPr>
            </w:r>
          </w:p>
        </w:tc>
        <w:tc>
          <w:tcPr>
            <w:tcW w:w="715" w:type="dxa"/>
          </w:tcPr>
          <w:p>
            <w:pPr>
              <w:pStyle w:val="0"/>
            </w:pPr>
            <w:r>
              <w:rPr>
                <w:sz w:val="20"/>
              </w:rPr>
            </w:r>
          </w:p>
        </w:tc>
        <w:tc>
          <w:tcPr>
            <w:tcW w:w="1077" w:type="dxa"/>
          </w:tcPr>
          <w:p>
            <w:pPr>
              <w:pStyle w:val="0"/>
            </w:pPr>
            <w:r>
              <w:rPr>
                <w:sz w:val="20"/>
              </w:rPr>
            </w:r>
          </w:p>
        </w:tc>
        <w:tc>
          <w:tcPr>
            <w:tcW w:w="1417" w:type="dxa"/>
          </w:tcPr>
          <w:p>
            <w:pPr>
              <w:pStyle w:val="0"/>
            </w:pPr>
            <w:r>
              <w:rPr>
                <w:sz w:val="20"/>
              </w:rPr>
            </w:r>
          </w:p>
        </w:tc>
        <w:tc>
          <w:tcPr>
            <w:tcW w:w="1020" w:type="dxa"/>
          </w:tcPr>
          <w:p>
            <w:pPr>
              <w:pStyle w:val="0"/>
            </w:pPr>
            <w:r>
              <w:rPr>
                <w:sz w:val="20"/>
              </w:rPr>
            </w:r>
          </w:p>
        </w:tc>
        <w:tc>
          <w:tcPr>
            <w:tcW w:w="737" w:type="dxa"/>
          </w:tcPr>
          <w:p>
            <w:pPr>
              <w:pStyle w:val="0"/>
            </w:pPr>
            <w:r>
              <w:rPr>
                <w:sz w:val="20"/>
              </w:rPr>
            </w:r>
          </w:p>
        </w:tc>
        <w:tc>
          <w:tcPr>
            <w:tcW w:w="648" w:type="dxa"/>
          </w:tcPr>
          <w:p>
            <w:pPr>
              <w:pStyle w:val="0"/>
            </w:pPr>
            <w:r>
              <w:rPr>
                <w:sz w:val="20"/>
              </w:rPr>
            </w:r>
          </w:p>
        </w:tc>
        <w:tc>
          <w:tcPr>
            <w:tcW w:w="737" w:type="dxa"/>
          </w:tcPr>
          <w:p>
            <w:pPr>
              <w:pStyle w:val="0"/>
            </w:pPr>
            <w:r>
              <w:rPr>
                <w:sz w:val="20"/>
              </w:rPr>
            </w:r>
          </w:p>
        </w:tc>
        <w:tc>
          <w:tcPr>
            <w:tcW w:w="725" w:type="dxa"/>
          </w:tcPr>
          <w:p>
            <w:pPr>
              <w:pStyle w:val="0"/>
            </w:pPr>
            <w:r>
              <w:rPr>
                <w:sz w:val="20"/>
              </w:rPr>
            </w:r>
          </w:p>
        </w:tc>
        <w:tc>
          <w:tcPr>
            <w:tcW w:w="715" w:type="dxa"/>
          </w:tcPr>
          <w:p>
            <w:pPr>
              <w:pStyle w:val="0"/>
            </w:pPr>
            <w:r>
              <w:rPr>
                <w:sz w:val="20"/>
              </w:rPr>
            </w:r>
          </w:p>
        </w:tc>
        <w:tc>
          <w:tcPr>
            <w:tcW w:w="737" w:type="dxa"/>
          </w:tcPr>
          <w:p>
            <w:pPr>
              <w:pStyle w:val="0"/>
            </w:pPr>
            <w:r>
              <w:rPr>
                <w:sz w:val="20"/>
              </w:rPr>
            </w:r>
          </w:p>
        </w:tc>
        <w:tc>
          <w:tcPr>
            <w:gridSpan w:val="2"/>
            <w:tcW w:w="1190" w:type="dxa"/>
          </w:tcPr>
          <w:p>
            <w:pPr>
              <w:pStyle w:val="0"/>
            </w:pPr>
            <w:r>
              <w:rPr>
                <w:sz w:val="20"/>
              </w:rPr>
            </w:r>
          </w:p>
        </w:tc>
      </w:tr>
    </w:tbl>
    <w:p>
      <w:pPr>
        <w:pStyle w:val="0"/>
        <w:jc w:val="both"/>
      </w:pPr>
      <w:r>
        <w:rPr>
          <w:sz w:val="20"/>
        </w:rPr>
      </w:r>
    </w:p>
    <w:p>
      <w:pPr>
        <w:pStyle w:val="0"/>
        <w:jc w:val="both"/>
      </w:pPr>
      <w:r>
        <w:rPr>
          <w:sz w:val="20"/>
        </w:rPr>
        <w:t xml:space="preserve">(продолжение таблицы N 2)</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2"/>
        <w:gridCol w:w="542"/>
        <w:gridCol w:w="542"/>
        <w:gridCol w:w="545"/>
        <w:gridCol w:w="794"/>
        <w:gridCol w:w="715"/>
        <w:gridCol w:w="794"/>
        <w:gridCol w:w="1191"/>
        <w:gridCol w:w="510"/>
        <w:gridCol w:w="680"/>
        <w:gridCol w:w="1134"/>
        <w:gridCol w:w="562"/>
        <w:gridCol w:w="907"/>
        <w:gridCol w:w="680"/>
        <w:gridCol w:w="794"/>
        <w:gridCol w:w="850"/>
      </w:tblGrid>
      <w:tr>
        <w:tc>
          <w:tcPr>
            <w:gridSpan w:val="4"/>
            <w:tcW w:w="2171" w:type="dxa"/>
          </w:tcPr>
          <w:p>
            <w:pPr>
              <w:pStyle w:val="0"/>
              <w:jc w:val="center"/>
            </w:pPr>
            <w:r>
              <w:rPr>
                <w:sz w:val="20"/>
              </w:rPr>
              <w:t xml:space="preserve">Координаты источника по карте-схеме, м</w:t>
            </w:r>
          </w:p>
        </w:tc>
        <w:tc>
          <w:tcPr>
            <w:tcW w:w="794" w:type="dxa"/>
            <w:vMerge w:val="restart"/>
          </w:tcPr>
          <w:p>
            <w:pPr>
              <w:pStyle w:val="0"/>
              <w:jc w:val="center"/>
            </w:pPr>
            <w:r>
              <w:rPr>
                <w:sz w:val="20"/>
              </w:rPr>
              <w:t xml:space="preserve">Ширина площадного источника, м</w:t>
            </w:r>
          </w:p>
        </w:tc>
        <w:tc>
          <w:tcPr>
            <w:tcW w:w="715" w:type="dxa"/>
            <w:vMerge w:val="restart"/>
          </w:tcPr>
          <w:p>
            <w:pPr>
              <w:pStyle w:val="0"/>
              <w:jc w:val="center"/>
            </w:pPr>
            <w:r>
              <w:rPr>
                <w:sz w:val="20"/>
              </w:rPr>
              <w:t xml:space="preserve">Наименование установок очистки газа</w:t>
            </w:r>
          </w:p>
        </w:tc>
        <w:tc>
          <w:tcPr>
            <w:tcW w:w="794" w:type="dxa"/>
            <w:vMerge w:val="restart"/>
          </w:tcPr>
          <w:p>
            <w:pPr>
              <w:pStyle w:val="0"/>
              <w:jc w:val="center"/>
            </w:pPr>
            <w:r>
              <w:rPr>
                <w:sz w:val="20"/>
              </w:rPr>
              <w:t xml:space="preserve">Коэффициент обеспеченности очистки газа %</w:t>
            </w:r>
          </w:p>
        </w:tc>
        <w:tc>
          <w:tcPr>
            <w:tcW w:w="1191" w:type="dxa"/>
            <w:vMerge w:val="restart"/>
          </w:tcPr>
          <w:p>
            <w:pPr>
              <w:pStyle w:val="0"/>
              <w:jc w:val="center"/>
            </w:pPr>
            <w:r>
              <w:rPr>
                <w:sz w:val="20"/>
              </w:rPr>
              <w:t xml:space="preserve">Средняя фактическая степень очистки и степень очистки, указанная в паспорте ГОУ %</w:t>
            </w:r>
          </w:p>
        </w:tc>
        <w:tc>
          <w:tcPr>
            <w:gridSpan w:val="3"/>
            <w:tcW w:w="2324" w:type="dxa"/>
            <w:vMerge w:val="restart"/>
          </w:tcPr>
          <w:p>
            <w:pPr>
              <w:pStyle w:val="0"/>
              <w:jc w:val="center"/>
            </w:pPr>
            <w:r>
              <w:rPr>
                <w:sz w:val="20"/>
              </w:rPr>
              <w:t xml:space="preserve">Загрязняющее вещество</w:t>
            </w:r>
          </w:p>
        </w:tc>
        <w:tc>
          <w:tcPr>
            <w:gridSpan w:val="3"/>
            <w:tcW w:w="2149" w:type="dxa"/>
          </w:tcPr>
          <w:p>
            <w:pPr>
              <w:pStyle w:val="0"/>
              <w:jc w:val="center"/>
            </w:pPr>
            <w:r>
              <w:rPr>
                <w:sz w:val="20"/>
              </w:rPr>
              <w:t xml:space="preserve">Выбросы загрязняющих веществ</w:t>
            </w:r>
          </w:p>
        </w:tc>
        <w:tc>
          <w:tcPr>
            <w:tcW w:w="794" w:type="dxa"/>
            <w:vMerge w:val="restart"/>
          </w:tcPr>
          <w:p>
            <w:pPr>
              <w:pStyle w:val="0"/>
              <w:jc w:val="center"/>
            </w:pPr>
            <w:r>
              <w:rPr>
                <w:sz w:val="20"/>
              </w:rPr>
              <w:t xml:space="preserve">Валовый выброс по источнику, т/год</w:t>
            </w:r>
          </w:p>
        </w:tc>
        <w:tc>
          <w:tcPr>
            <w:tcW w:w="850" w:type="dxa"/>
            <w:vMerge w:val="restart"/>
          </w:tcPr>
          <w:p>
            <w:pPr>
              <w:pStyle w:val="0"/>
              <w:jc w:val="center"/>
            </w:pPr>
            <w:r>
              <w:rPr>
                <w:sz w:val="20"/>
              </w:rPr>
              <w:t xml:space="preserve">Примечание</w:t>
            </w:r>
          </w:p>
        </w:tc>
      </w:tr>
      <w:tr>
        <w:tc>
          <w:tcPr>
            <w:tcW w:w="542" w:type="dxa"/>
            <w:vMerge w:val="restart"/>
          </w:tcPr>
          <w:p>
            <w:pPr>
              <w:pStyle w:val="0"/>
              <w:jc w:val="center"/>
            </w:pPr>
            <w:r>
              <w:rPr>
                <w:sz w:val="20"/>
              </w:rPr>
              <w:t xml:space="preserve">XI</w:t>
            </w:r>
          </w:p>
        </w:tc>
        <w:tc>
          <w:tcPr>
            <w:tcW w:w="542" w:type="dxa"/>
            <w:vMerge w:val="restart"/>
          </w:tcPr>
          <w:p>
            <w:pPr>
              <w:pStyle w:val="0"/>
              <w:jc w:val="center"/>
            </w:pPr>
            <w:r>
              <w:rPr>
                <w:sz w:val="20"/>
              </w:rPr>
              <w:t xml:space="preserve">Y1</w:t>
            </w:r>
          </w:p>
        </w:tc>
        <w:tc>
          <w:tcPr>
            <w:tcW w:w="542" w:type="dxa"/>
            <w:vMerge w:val="restart"/>
          </w:tcPr>
          <w:p>
            <w:pPr>
              <w:pStyle w:val="0"/>
              <w:jc w:val="center"/>
            </w:pPr>
            <w:r>
              <w:rPr>
                <w:sz w:val="20"/>
              </w:rPr>
              <w:t xml:space="preserve">X2</w:t>
            </w:r>
          </w:p>
        </w:tc>
        <w:tc>
          <w:tcPr>
            <w:tcW w:w="545" w:type="dxa"/>
            <w:vMerge w:val="restart"/>
          </w:tcPr>
          <w:p>
            <w:pPr>
              <w:pStyle w:val="0"/>
              <w:jc w:val="center"/>
            </w:pPr>
            <w:r>
              <w:rPr>
                <w:sz w:val="20"/>
              </w:rPr>
              <w:t xml:space="preserve">Y2</w:t>
            </w:r>
          </w:p>
        </w:tc>
        <w:tc>
          <w:tcPr>
            <w:vMerge w:val="continue"/>
          </w:tcPr>
          <w:p/>
        </w:tc>
        <w:tc>
          <w:tcPr>
            <w:vMerge w:val="continue"/>
          </w:tcPr>
          <w:p/>
        </w:tc>
        <w:tc>
          <w:tcPr>
            <w:vMerge w:val="continue"/>
          </w:tcPr>
          <w:p/>
        </w:tc>
        <w:tc>
          <w:tcPr>
            <w:vMerge w:val="continue"/>
          </w:tcPr>
          <w:p/>
        </w:tc>
        <w:tc>
          <w:tcPr>
            <w:gridSpan w:val="3"/>
            <w:vMerge w:val="continue"/>
          </w:tcPr>
          <w:p/>
        </w:tc>
        <w:tc>
          <w:tcPr>
            <w:tcW w:w="562" w:type="dxa"/>
            <w:vMerge w:val="restart"/>
          </w:tcPr>
          <w:p>
            <w:pPr>
              <w:pStyle w:val="0"/>
              <w:jc w:val="center"/>
            </w:pPr>
            <w:r>
              <w:rPr>
                <w:sz w:val="20"/>
              </w:rPr>
              <w:t xml:space="preserve">г/с</w:t>
            </w:r>
          </w:p>
        </w:tc>
        <w:tc>
          <w:tcPr>
            <w:tcW w:w="907" w:type="dxa"/>
            <w:vMerge w:val="restart"/>
          </w:tcPr>
          <w:p>
            <w:pPr>
              <w:pStyle w:val="0"/>
              <w:jc w:val="center"/>
            </w:pPr>
            <w:r>
              <w:rPr>
                <w:sz w:val="20"/>
              </w:rPr>
              <w:t xml:space="preserve">мг/м</w:t>
            </w:r>
            <w:r>
              <w:rPr>
                <w:sz w:val="20"/>
                <w:vertAlign w:val="superscript"/>
              </w:rPr>
              <w:t xml:space="preserve">3</w:t>
            </w:r>
            <w:r>
              <w:rPr>
                <w:sz w:val="20"/>
              </w:rPr>
              <w:t xml:space="preserve"> при нормальных условиях (н.у.)</w:t>
            </w:r>
          </w:p>
        </w:tc>
        <w:tc>
          <w:tcPr>
            <w:tcW w:w="680" w:type="dxa"/>
            <w:vMerge w:val="restart"/>
          </w:tcPr>
          <w:p>
            <w:pPr>
              <w:pStyle w:val="0"/>
              <w:jc w:val="center"/>
            </w:pPr>
            <w:r>
              <w:rPr>
                <w:sz w:val="20"/>
              </w:rPr>
              <w:t xml:space="preserve">т/год</w:t>
            </w:r>
          </w:p>
        </w:tc>
        <w:tc>
          <w:tcPr>
            <w:vMerge w:val="continue"/>
          </w:tcP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510" w:type="dxa"/>
          </w:tcPr>
          <w:p>
            <w:pPr>
              <w:pStyle w:val="0"/>
              <w:jc w:val="center"/>
            </w:pPr>
            <w:r>
              <w:rPr>
                <w:sz w:val="20"/>
              </w:rPr>
              <w:t xml:space="preserve">Код</w:t>
            </w:r>
          </w:p>
        </w:tc>
        <w:tc>
          <w:tcPr>
            <w:tcW w:w="680" w:type="dxa"/>
          </w:tcPr>
          <w:p>
            <w:pPr>
              <w:pStyle w:val="0"/>
              <w:jc w:val="center"/>
            </w:pPr>
            <w:r>
              <w:rPr>
                <w:sz w:val="20"/>
              </w:rPr>
              <w:t xml:space="preserve">Наименование</w:t>
            </w:r>
          </w:p>
        </w:tc>
        <w:tc>
          <w:tcPr>
            <w:tcW w:w="1134" w:type="dxa"/>
          </w:tcPr>
          <w:p>
            <w:pPr>
              <w:pStyle w:val="0"/>
              <w:jc w:val="center"/>
            </w:pPr>
            <w:r>
              <w:rPr>
                <w:sz w:val="20"/>
              </w:rPr>
              <w:t xml:space="preserve">Коэффициент, учитывающий скорость оседания</w:t>
            </w:r>
          </w:p>
        </w:tc>
        <w:tc>
          <w:tcPr>
            <w:vMerge w:val="continue"/>
          </w:tcPr>
          <w:p/>
        </w:tc>
        <w:tc>
          <w:tcPr>
            <w:vMerge w:val="continue"/>
          </w:tcPr>
          <w:p/>
        </w:tc>
        <w:tc>
          <w:tcPr>
            <w:vMerge w:val="continue"/>
          </w:tcPr>
          <w:p/>
        </w:tc>
        <w:tc>
          <w:tcPr>
            <w:vMerge w:val="continue"/>
          </w:tcPr>
          <w:p/>
        </w:tc>
        <w:tc>
          <w:tcPr>
            <w:vMerge w:val="continue"/>
          </w:tcPr>
          <w:p/>
        </w:tc>
      </w:tr>
      <w:tr>
        <w:tc>
          <w:tcPr>
            <w:tcW w:w="542" w:type="dxa"/>
          </w:tcPr>
          <w:p>
            <w:pPr>
              <w:pStyle w:val="0"/>
              <w:jc w:val="center"/>
            </w:pPr>
            <w:r>
              <w:rPr>
                <w:sz w:val="20"/>
              </w:rPr>
              <w:t xml:space="preserve">15</w:t>
            </w:r>
          </w:p>
        </w:tc>
        <w:tc>
          <w:tcPr>
            <w:tcW w:w="542" w:type="dxa"/>
          </w:tcPr>
          <w:p>
            <w:pPr>
              <w:pStyle w:val="0"/>
              <w:jc w:val="center"/>
            </w:pPr>
            <w:r>
              <w:rPr>
                <w:sz w:val="20"/>
              </w:rPr>
              <w:t xml:space="preserve">16</w:t>
            </w:r>
          </w:p>
        </w:tc>
        <w:tc>
          <w:tcPr>
            <w:tcW w:w="542" w:type="dxa"/>
          </w:tcPr>
          <w:p>
            <w:pPr>
              <w:pStyle w:val="0"/>
              <w:jc w:val="center"/>
            </w:pPr>
            <w:r>
              <w:rPr>
                <w:sz w:val="20"/>
              </w:rPr>
              <w:t xml:space="preserve">17</w:t>
            </w:r>
          </w:p>
        </w:tc>
        <w:tc>
          <w:tcPr>
            <w:tcW w:w="545" w:type="dxa"/>
          </w:tcPr>
          <w:p>
            <w:pPr>
              <w:pStyle w:val="0"/>
              <w:jc w:val="center"/>
            </w:pPr>
            <w:r>
              <w:rPr>
                <w:sz w:val="20"/>
              </w:rPr>
              <w:t xml:space="preserve">18</w:t>
            </w:r>
          </w:p>
        </w:tc>
        <w:tc>
          <w:tcPr>
            <w:tcW w:w="794" w:type="dxa"/>
          </w:tcPr>
          <w:p>
            <w:pPr>
              <w:pStyle w:val="0"/>
              <w:jc w:val="center"/>
            </w:pPr>
            <w:r>
              <w:rPr>
                <w:sz w:val="20"/>
              </w:rPr>
              <w:t xml:space="preserve">19</w:t>
            </w:r>
          </w:p>
        </w:tc>
        <w:tc>
          <w:tcPr>
            <w:tcW w:w="715" w:type="dxa"/>
          </w:tcPr>
          <w:p>
            <w:pPr>
              <w:pStyle w:val="0"/>
              <w:jc w:val="center"/>
            </w:pPr>
            <w:r>
              <w:rPr>
                <w:sz w:val="20"/>
              </w:rPr>
              <w:t xml:space="preserve">20</w:t>
            </w:r>
          </w:p>
        </w:tc>
        <w:tc>
          <w:tcPr>
            <w:tcW w:w="794" w:type="dxa"/>
          </w:tcPr>
          <w:p>
            <w:pPr>
              <w:pStyle w:val="0"/>
              <w:jc w:val="center"/>
            </w:pPr>
            <w:r>
              <w:rPr>
                <w:sz w:val="20"/>
              </w:rPr>
              <w:t xml:space="preserve">21</w:t>
            </w:r>
          </w:p>
        </w:tc>
        <w:tc>
          <w:tcPr>
            <w:tcW w:w="1191" w:type="dxa"/>
          </w:tcPr>
          <w:p>
            <w:pPr>
              <w:pStyle w:val="0"/>
              <w:jc w:val="center"/>
            </w:pPr>
            <w:r>
              <w:rPr>
                <w:sz w:val="20"/>
              </w:rPr>
              <w:t xml:space="preserve">22</w:t>
            </w:r>
          </w:p>
        </w:tc>
        <w:tc>
          <w:tcPr>
            <w:tcW w:w="510" w:type="dxa"/>
          </w:tcPr>
          <w:p>
            <w:pPr>
              <w:pStyle w:val="0"/>
              <w:jc w:val="center"/>
            </w:pPr>
            <w:r>
              <w:rPr>
                <w:sz w:val="20"/>
              </w:rPr>
              <w:t xml:space="preserve">23</w:t>
            </w:r>
          </w:p>
        </w:tc>
        <w:tc>
          <w:tcPr>
            <w:tcW w:w="680" w:type="dxa"/>
          </w:tcPr>
          <w:p>
            <w:pPr>
              <w:pStyle w:val="0"/>
              <w:jc w:val="center"/>
            </w:pPr>
            <w:r>
              <w:rPr>
                <w:sz w:val="20"/>
              </w:rPr>
              <w:t xml:space="preserve">24</w:t>
            </w:r>
          </w:p>
        </w:tc>
        <w:tc>
          <w:tcPr>
            <w:tcW w:w="1134" w:type="dxa"/>
          </w:tcPr>
          <w:p>
            <w:pPr>
              <w:pStyle w:val="0"/>
              <w:jc w:val="center"/>
            </w:pPr>
            <w:r>
              <w:rPr>
                <w:sz w:val="20"/>
              </w:rPr>
              <w:t xml:space="preserve">25</w:t>
            </w:r>
          </w:p>
        </w:tc>
        <w:tc>
          <w:tcPr>
            <w:tcW w:w="562" w:type="dxa"/>
          </w:tcPr>
          <w:p>
            <w:pPr>
              <w:pStyle w:val="0"/>
              <w:jc w:val="center"/>
            </w:pPr>
            <w:r>
              <w:rPr>
                <w:sz w:val="20"/>
              </w:rPr>
              <w:t xml:space="preserve">26</w:t>
            </w:r>
          </w:p>
        </w:tc>
        <w:tc>
          <w:tcPr>
            <w:tcW w:w="907" w:type="dxa"/>
          </w:tcPr>
          <w:p>
            <w:pPr>
              <w:pStyle w:val="0"/>
              <w:jc w:val="center"/>
            </w:pPr>
            <w:r>
              <w:rPr>
                <w:sz w:val="20"/>
              </w:rPr>
              <w:t xml:space="preserve">27</w:t>
            </w:r>
          </w:p>
        </w:tc>
        <w:tc>
          <w:tcPr>
            <w:tcW w:w="680" w:type="dxa"/>
          </w:tcPr>
          <w:p>
            <w:pPr>
              <w:pStyle w:val="0"/>
              <w:jc w:val="center"/>
            </w:pPr>
            <w:r>
              <w:rPr>
                <w:sz w:val="20"/>
              </w:rPr>
              <w:t xml:space="preserve">28</w:t>
            </w:r>
          </w:p>
        </w:tc>
        <w:tc>
          <w:tcPr>
            <w:tcW w:w="794" w:type="dxa"/>
          </w:tcPr>
          <w:p>
            <w:pPr>
              <w:pStyle w:val="0"/>
              <w:jc w:val="center"/>
            </w:pPr>
            <w:r>
              <w:rPr>
                <w:sz w:val="20"/>
              </w:rPr>
              <w:t xml:space="preserve">29</w:t>
            </w:r>
          </w:p>
        </w:tc>
        <w:tc>
          <w:tcPr>
            <w:tcW w:w="850" w:type="dxa"/>
          </w:tcPr>
          <w:p>
            <w:pPr>
              <w:pStyle w:val="0"/>
              <w:jc w:val="center"/>
            </w:pPr>
            <w:r>
              <w:rPr>
                <w:sz w:val="20"/>
              </w:rPr>
              <w:t xml:space="preserve">30</w:t>
            </w:r>
          </w:p>
        </w:tc>
      </w:tr>
      <w:tr>
        <w:tc>
          <w:tcPr>
            <w:gridSpan w:val="16"/>
            <w:tcW w:w="11782" w:type="dxa"/>
          </w:tcPr>
          <w:p>
            <w:pPr>
              <w:pStyle w:val="0"/>
            </w:pPr>
            <w:r>
              <w:rPr>
                <w:sz w:val="20"/>
              </w:rPr>
            </w:r>
          </w:p>
        </w:tc>
      </w:tr>
      <w:tr>
        <w:tc>
          <w:tcPr>
            <w:tcW w:w="542" w:type="dxa"/>
          </w:tcPr>
          <w:p>
            <w:pPr>
              <w:pStyle w:val="0"/>
            </w:pPr>
            <w:r>
              <w:rPr>
                <w:sz w:val="20"/>
              </w:rPr>
            </w:r>
          </w:p>
        </w:tc>
        <w:tc>
          <w:tcPr>
            <w:tcW w:w="542" w:type="dxa"/>
          </w:tcPr>
          <w:p>
            <w:pPr>
              <w:pStyle w:val="0"/>
            </w:pPr>
            <w:r>
              <w:rPr>
                <w:sz w:val="20"/>
              </w:rPr>
            </w:r>
          </w:p>
        </w:tc>
        <w:tc>
          <w:tcPr>
            <w:tcW w:w="542" w:type="dxa"/>
          </w:tcPr>
          <w:p>
            <w:pPr>
              <w:pStyle w:val="0"/>
            </w:pPr>
            <w:r>
              <w:rPr>
                <w:sz w:val="20"/>
              </w:rPr>
            </w:r>
          </w:p>
        </w:tc>
        <w:tc>
          <w:tcPr>
            <w:tcW w:w="545" w:type="dxa"/>
          </w:tcPr>
          <w:p>
            <w:pPr>
              <w:pStyle w:val="0"/>
            </w:pPr>
            <w:r>
              <w:rPr>
                <w:sz w:val="20"/>
              </w:rPr>
            </w:r>
          </w:p>
        </w:tc>
        <w:tc>
          <w:tcPr>
            <w:tcW w:w="794" w:type="dxa"/>
          </w:tcPr>
          <w:p>
            <w:pPr>
              <w:pStyle w:val="0"/>
            </w:pPr>
            <w:r>
              <w:rPr>
                <w:sz w:val="20"/>
              </w:rPr>
            </w:r>
          </w:p>
        </w:tc>
        <w:tc>
          <w:tcPr>
            <w:tcW w:w="715" w:type="dxa"/>
          </w:tcPr>
          <w:p>
            <w:pPr>
              <w:pStyle w:val="0"/>
            </w:pPr>
            <w:r>
              <w:rPr>
                <w:sz w:val="20"/>
              </w:rPr>
            </w:r>
          </w:p>
        </w:tc>
        <w:tc>
          <w:tcPr>
            <w:tcW w:w="794" w:type="dxa"/>
          </w:tcPr>
          <w:p>
            <w:pPr>
              <w:pStyle w:val="0"/>
            </w:pPr>
            <w:r>
              <w:rPr>
                <w:sz w:val="20"/>
              </w:rPr>
            </w:r>
          </w:p>
        </w:tc>
        <w:tc>
          <w:tcPr>
            <w:tcW w:w="1191" w:type="dxa"/>
          </w:tcPr>
          <w:p>
            <w:pPr>
              <w:pStyle w:val="0"/>
            </w:pPr>
            <w:r>
              <w:rPr>
                <w:sz w:val="20"/>
              </w:rPr>
            </w:r>
          </w:p>
        </w:tc>
        <w:tc>
          <w:tcPr>
            <w:tcW w:w="510" w:type="dxa"/>
          </w:tcPr>
          <w:p>
            <w:pPr>
              <w:pStyle w:val="0"/>
            </w:pPr>
            <w:r>
              <w:rPr>
                <w:sz w:val="20"/>
              </w:rPr>
            </w:r>
          </w:p>
        </w:tc>
        <w:tc>
          <w:tcPr>
            <w:tcW w:w="680" w:type="dxa"/>
          </w:tcPr>
          <w:p>
            <w:pPr>
              <w:pStyle w:val="0"/>
            </w:pPr>
            <w:r>
              <w:rPr>
                <w:sz w:val="20"/>
              </w:rPr>
            </w:r>
          </w:p>
        </w:tc>
        <w:tc>
          <w:tcPr>
            <w:tcW w:w="1134" w:type="dxa"/>
          </w:tcPr>
          <w:p>
            <w:pPr>
              <w:pStyle w:val="0"/>
            </w:pPr>
            <w:r>
              <w:rPr>
                <w:sz w:val="20"/>
              </w:rPr>
            </w:r>
          </w:p>
        </w:tc>
        <w:tc>
          <w:tcPr>
            <w:tcW w:w="562" w:type="dxa"/>
          </w:tcPr>
          <w:p>
            <w:pPr>
              <w:pStyle w:val="0"/>
            </w:pPr>
            <w:r>
              <w:rPr>
                <w:sz w:val="20"/>
              </w:rPr>
            </w:r>
          </w:p>
        </w:tc>
        <w:tc>
          <w:tcPr>
            <w:tcW w:w="907" w:type="dxa"/>
          </w:tcPr>
          <w:p>
            <w:pPr>
              <w:pStyle w:val="0"/>
            </w:pPr>
            <w:r>
              <w:rPr>
                <w:sz w:val="20"/>
              </w:rPr>
            </w:r>
          </w:p>
        </w:tc>
        <w:tc>
          <w:tcPr>
            <w:tcW w:w="680" w:type="dxa"/>
          </w:tcPr>
          <w:p>
            <w:pPr>
              <w:pStyle w:val="0"/>
            </w:pPr>
            <w:r>
              <w:rPr>
                <w:sz w:val="20"/>
              </w:rPr>
            </w:r>
          </w:p>
        </w:tc>
        <w:tc>
          <w:tcPr>
            <w:tcW w:w="794" w:type="dxa"/>
          </w:tcPr>
          <w:p>
            <w:pPr>
              <w:pStyle w:val="0"/>
            </w:pPr>
            <w:r>
              <w:rPr>
                <w:sz w:val="20"/>
              </w:rPr>
            </w:r>
          </w:p>
        </w:tc>
        <w:tc>
          <w:tcPr>
            <w:tcW w:w="850"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44" w:name="P544"/>
    <w:bookmarkEnd w:id="544"/>
    <w:p>
      <w:pPr>
        <w:pStyle w:val="0"/>
        <w:jc w:val="center"/>
      </w:pPr>
      <w:r>
        <w:rPr>
          <w:sz w:val="20"/>
        </w:rPr>
        <w:t xml:space="preserve">Таблица N 3</w:t>
      </w:r>
    </w:p>
    <w:p>
      <w:pPr>
        <w:pStyle w:val="0"/>
        <w:jc w:val="both"/>
      </w:pPr>
      <w:r>
        <w:rPr>
          <w:sz w:val="20"/>
        </w:rPr>
      </w:r>
    </w:p>
    <w:p>
      <w:pPr>
        <w:pStyle w:val="0"/>
        <w:jc w:val="center"/>
      </w:pPr>
      <w:r>
        <w:rPr>
          <w:sz w:val="20"/>
        </w:rPr>
        <w:t xml:space="preserve">Сведения о залповых выбросах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71"/>
        <w:gridCol w:w="1304"/>
        <w:gridCol w:w="1189"/>
        <w:gridCol w:w="1190"/>
        <w:gridCol w:w="1171"/>
        <w:gridCol w:w="1171"/>
        <w:gridCol w:w="1171"/>
      </w:tblGrid>
      <w:tr>
        <w:tc>
          <w:tcPr>
            <w:tcW w:w="1871" w:type="dxa"/>
            <w:vMerge w:val="restart"/>
          </w:tcPr>
          <w:p>
            <w:pPr>
              <w:pStyle w:val="0"/>
              <w:jc w:val="center"/>
            </w:pPr>
            <w:r>
              <w:rPr>
                <w:sz w:val="20"/>
              </w:rPr>
              <w:t xml:space="preserve">Наименования подразделений (цехов,) и стационарных источников</w:t>
            </w:r>
          </w:p>
        </w:tc>
        <w:tc>
          <w:tcPr>
            <w:tcW w:w="1304" w:type="dxa"/>
            <w:vMerge w:val="restart"/>
          </w:tcPr>
          <w:p>
            <w:pPr>
              <w:pStyle w:val="0"/>
              <w:jc w:val="center"/>
            </w:pPr>
            <w:r>
              <w:rPr>
                <w:sz w:val="20"/>
              </w:rPr>
              <w:t xml:space="preserve">Наименование и код загрязняющего вещества</w:t>
            </w:r>
          </w:p>
        </w:tc>
        <w:tc>
          <w:tcPr>
            <w:gridSpan w:val="2"/>
            <w:tcW w:w="2379" w:type="dxa"/>
          </w:tcPr>
          <w:p>
            <w:pPr>
              <w:pStyle w:val="0"/>
              <w:jc w:val="center"/>
            </w:pPr>
            <w:r>
              <w:rPr>
                <w:sz w:val="20"/>
              </w:rPr>
              <w:t xml:space="preserve">Выбросы, г/с</w:t>
            </w:r>
          </w:p>
        </w:tc>
        <w:tc>
          <w:tcPr>
            <w:tcW w:w="1171" w:type="dxa"/>
            <w:vMerge w:val="restart"/>
          </w:tcPr>
          <w:p>
            <w:pPr>
              <w:pStyle w:val="0"/>
              <w:jc w:val="center"/>
            </w:pPr>
            <w:r>
              <w:rPr>
                <w:sz w:val="20"/>
              </w:rPr>
              <w:t xml:space="preserve">Периодичность, раз/год</w:t>
            </w:r>
          </w:p>
        </w:tc>
        <w:tc>
          <w:tcPr>
            <w:tcW w:w="1171" w:type="dxa"/>
            <w:vMerge w:val="restart"/>
          </w:tcPr>
          <w:p>
            <w:pPr>
              <w:pStyle w:val="0"/>
              <w:jc w:val="center"/>
            </w:pPr>
            <w:r>
              <w:rPr>
                <w:sz w:val="20"/>
              </w:rPr>
              <w:t xml:space="preserve">Продолжительность выброса, час, мин.</w:t>
            </w:r>
          </w:p>
        </w:tc>
        <w:tc>
          <w:tcPr>
            <w:tcW w:w="1171" w:type="dxa"/>
            <w:vMerge w:val="restart"/>
          </w:tcPr>
          <w:p>
            <w:pPr>
              <w:pStyle w:val="0"/>
              <w:jc w:val="center"/>
            </w:pPr>
            <w:r>
              <w:rPr>
                <w:sz w:val="20"/>
              </w:rPr>
              <w:t xml:space="preserve">Годовая величина залповых выбросов, т</w:t>
            </w:r>
          </w:p>
        </w:tc>
      </w:tr>
      <w:tr>
        <w:tc>
          <w:tcPr>
            <w:vMerge w:val="continue"/>
          </w:tcPr>
          <w:p/>
        </w:tc>
        <w:tc>
          <w:tcPr>
            <w:vMerge w:val="continue"/>
          </w:tcPr>
          <w:p/>
        </w:tc>
        <w:tc>
          <w:tcPr>
            <w:tcW w:w="1189" w:type="dxa"/>
          </w:tcPr>
          <w:p>
            <w:pPr>
              <w:pStyle w:val="0"/>
              <w:jc w:val="center"/>
            </w:pPr>
            <w:r>
              <w:rPr>
                <w:sz w:val="20"/>
              </w:rPr>
              <w:t xml:space="preserve">без учета залповых выбросов</w:t>
            </w:r>
          </w:p>
        </w:tc>
        <w:tc>
          <w:tcPr>
            <w:tcW w:w="1190" w:type="dxa"/>
          </w:tcPr>
          <w:p>
            <w:pPr>
              <w:pStyle w:val="0"/>
              <w:jc w:val="center"/>
            </w:pPr>
            <w:r>
              <w:rPr>
                <w:sz w:val="20"/>
              </w:rPr>
              <w:t xml:space="preserve">залповый выброс</w:t>
            </w:r>
          </w:p>
        </w:tc>
        <w:tc>
          <w:tcPr>
            <w:vMerge w:val="continue"/>
          </w:tcPr>
          <w:p/>
        </w:tc>
        <w:tc>
          <w:tcPr>
            <w:vMerge w:val="continue"/>
          </w:tcPr>
          <w:p/>
        </w:tc>
        <w:tc>
          <w:tcPr>
            <w:vMerge w:val="continue"/>
          </w:tcPr>
          <w:p/>
        </w:tc>
      </w:tr>
      <w:tr>
        <w:tc>
          <w:tcPr>
            <w:tcW w:w="1871" w:type="dxa"/>
          </w:tcPr>
          <w:p>
            <w:pPr>
              <w:pStyle w:val="0"/>
              <w:jc w:val="center"/>
            </w:pPr>
            <w:r>
              <w:rPr>
                <w:sz w:val="20"/>
              </w:rPr>
              <w:t xml:space="preserve">1</w:t>
            </w:r>
          </w:p>
        </w:tc>
        <w:tc>
          <w:tcPr>
            <w:tcW w:w="1304" w:type="dxa"/>
          </w:tcPr>
          <w:p>
            <w:pPr>
              <w:pStyle w:val="0"/>
              <w:jc w:val="center"/>
            </w:pPr>
            <w:r>
              <w:rPr>
                <w:sz w:val="20"/>
              </w:rPr>
              <w:t xml:space="preserve">2</w:t>
            </w:r>
          </w:p>
        </w:tc>
        <w:tc>
          <w:tcPr>
            <w:tcW w:w="1189" w:type="dxa"/>
          </w:tcPr>
          <w:p>
            <w:pPr>
              <w:pStyle w:val="0"/>
              <w:jc w:val="center"/>
            </w:pPr>
            <w:r>
              <w:rPr>
                <w:sz w:val="20"/>
              </w:rPr>
              <w:t xml:space="preserve">3</w:t>
            </w:r>
          </w:p>
        </w:tc>
        <w:tc>
          <w:tcPr>
            <w:tcW w:w="1190" w:type="dxa"/>
          </w:tcPr>
          <w:p>
            <w:pPr>
              <w:pStyle w:val="0"/>
              <w:jc w:val="center"/>
            </w:pPr>
            <w:r>
              <w:rPr>
                <w:sz w:val="20"/>
              </w:rPr>
              <w:t xml:space="preserve">4</w:t>
            </w:r>
          </w:p>
        </w:tc>
        <w:tc>
          <w:tcPr>
            <w:tcW w:w="1171" w:type="dxa"/>
          </w:tcPr>
          <w:p>
            <w:pPr>
              <w:pStyle w:val="0"/>
              <w:jc w:val="center"/>
            </w:pPr>
            <w:r>
              <w:rPr>
                <w:sz w:val="20"/>
              </w:rPr>
              <w:t xml:space="preserve">5</w:t>
            </w:r>
          </w:p>
        </w:tc>
        <w:tc>
          <w:tcPr>
            <w:tcW w:w="1171" w:type="dxa"/>
          </w:tcPr>
          <w:p>
            <w:pPr>
              <w:pStyle w:val="0"/>
              <w:jc w:val="center"/>
            </w:pPr>
            <w:r>
              <w:rPr>
                <w:sz w:val="20"/>
              </w:rPr>
              <w:t xml:space="preserve">6</w:t>
            </w:r>
          </w:p>
        </w:tc>
        <w:tc>
          <w:tcPr>
            <w:tcW w:w="1171" w:type="dxa"/>
          </w:tcPr>
          <w:p>
            <w:pPr>
              <w:pStyle w:val="0"/>
              <w:jc w:val="center"/>
            </w:pPr>
            <w:r>
              <w:rPr>
                <w:sz w:val="20"/>
              </w:rPr>
              <w:t xml:space="preserve">7</w:t>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c>
          <w:tcPr>
            <w:tcW w:w="1871" w:type="dxa"/>
          </w:tcPr>
          <w:p>
            <w:pPr>
              <w:pStyle w:val="0"/>
            </w:pPr>
            <w:r>
              <w:rPr>
                <w:sz w:val="20"/>
              </w:rPr>
            </w:r>
          </w:p>
        </w:tc>
        <w:tc>
          <w:tcPr>
            <w:tcW w:w="1304" w:type="dxa"/>
          </w:tcPr>
          <w:p>
            <w:pPr>
              <w:pStyle w:val="0"/>
            </w:pPr>
            <w:r>
              <w:rPr>
                <w:sz w:val="20"/>
              </w:rPr>
            </w:r>
          </w:p>
        </w:tc>
        <w:tc>
          <w:tcPr>
            <w:tcW w:w="1189" w:type="dxa"/>
          </w:tcPr>
          <w:p>
            <w:pPr>
              <w:pStyle w:val="0"/>
            </w:pPr>
            <w:r>
              <w:rPr>
                <w:sz w:val="20"/>
              </w:rPr>
            </w:r>
          </w:p>
        </w:tc>
        <w:tc>
          <w:tcPr>
            <w:tcW w:w="1190" w:type="dxa"/>
          </w:tcPr>
          <w:p>
            <w:pPr>
              <w:pStyle w:val="0"/>
            </w:pPr>
            <w:r>
              <w:rPr>
                <w:sz w:val="20"/>
              </w:rPr>
            </w:r>
          </w:p>
        </w:tc>
        <w:tc>
          <w:tcPr>
            <w:tcW w:w="1171" w:type="dxa"/>
          </w:tcPr>
          <w:p>
            <w:pPr>
              <w:pStyle w:val="0"/>
            </w:pPr>
            <w:r>
              <w:rPr>
                <w:sz w:val="20"/>
              </w:rPr>
            </w:r>
          </w:p>
        </w:tc>
        <w:tc>
          <w:tcPr>
            <w:tcW w:w="1171" w:type="dxa"/>
          </w:tcPr>
          <w:p>
            <w:pPr>
              <w:pStyle w:val="0"/>
            </w:pPr>
            <w:r>
              <w:rPr>
                <w:sz w:val="20"/>
              </w:rPr>
            </w:r>
          </w:p>
        </w:tc>
        <w:tc>
          <w:tcPr>
            <w:tcW w:w="1171" w:type="dxa"/>
          </w:tcPr>
          <w:p>
            <w:pPr>
              <w:pStyle w:val="0"/>
            </w:pPr>
            <w:r>
              <w:rPr>
                <w:sz w:val="20"/>
              </w:rPr>
            </w:r>
          </w:p>
        </w:tc>
      </w:tr>
      <w:tr>
        <w:tblPrEx>
          <w:tblBorders>
            <w:insideH w:val="nil"/>
          </w:tblBorders>
        </w:tblPrEx>
        <w:tc>
          <w:tcPr>
            <w:gridSpan w:val="7"/>
            <w:tcW w:w="9067" w:type="dxa"/>
            <w:tcBorders>
              <w:bottom w:val="nil"/>
            </w:tcBorders>
          </w:tcPr>
          <w:p>
            <w:pPr>
              <w:pStyle w:val="0"/>
            </w:pPr>
            <w:r>
              <w:rPr>
                <w:sz w:val="20"/>
              </w:rPr>
              <w:t xml:space="preserve">Характеристика условий, при которых возможны залповые выбросы: _________</w:t>
            </w:r>
          </w:p>
        </w:tc>
      </w:tr>
      <w:tr>
        <w:tblPrEx>
          <w:tblBorders>
            <w:insideH w:val="nil"/>
          </w:tblBorders>
        </w:tblPrEx>
        <w:tc>
          <w:tcPr>
            <w:gridSpan w:val="7"/>
            <w:tcW w:w="9067" w:type="dxa"/>
            <w:tcBorders>
              <w:top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598" w:name="P598"/>
    <w:bookmarkEnd w:id="598"/>
    <w:p>
      <w:pPr>
        <w:pStyle w:val="0"/>
        <w:jc w:val="center"/>
      </w:pPr>
      <w:r>
        <w:rPr>
          <w:sz w:val="20"/>
        </w:rPr>
        <w:t xml:space="preserve">Таблица N 4</w:t>
      </w:r>
    </w:p>
    <w:p>
      <w:pPr>
        <w:pStyle w:val="0"/>
        <w:jc w:val="both"/>
      </w:pPr>
      <w:r>
        <w:rPr>
          <w:sz w:val="20"/>
        </w:rPr>
      </w:r>
    </w:p>
    <w:p>
      <w:pPr>
        <w:pStyle w:val="0"/>
        <w:jc w:val="center"/>
      </w:pPr>
      <w:r>
        <w:rPr>
          <w:sz w:val="20"/>
        </w:rPr>
        <w:t xml:space="preserve">Перечень загрязняющих веществ, для которых разрабатываются</w:t>
      </w:r>
    </w:p>
    <w:p>
      <w:pPr>
        <w:pStyle w:val="0"/>
        <w:jc w:val="center"/>
      </w:pPr>
      <w:r>
        <w:rPr>
          <w:sz w:val="20"/>
        </w:rPr>
        <w:t xml:space="preserve">предельно допустимые выбросы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2154"/>
        <w:gridCol w:w="1190"/>
        <w:gridCol w:w="1417"/>
        <w:gridCol w:w="1360"/>
        <w:gridCol w:w="2381"/>
      </w:tblGrid>
      <w:tr>
        <w:tc>
          <w:tcPr>
            <w:gridSpan w:val="2"/>
            <w:tcW w:w="2720" w:type="dxa"/>
          </w:tcPr>
          <w:p>
            <w:pPr>
              <w:pStyle w:val="0"/>
              <w:jc w:val="center"/>
            </w:pPr>
            <w:r>
              <w:rPr>
                <w:sz w:val="20"/>
              </w:rPr>
              <w:t xml:space="preserve">Загрязняющее вещество</w:t>
            </w:r>
          </w:p>
        </w:tc>
        <w:tc>
          <w:tcPr>
            <w:tcW w:w="1190" w:type="dxa"/>
            <w:vMerge w:val="restart"/>
          </w:tcPr>
          <w:p>
            <w:pPr>
              <w:pStyle w:val="0"/>
              <w:jc w:val="center"/>
            </w:pPr>
            <w:r>
              <w:rPr>
                <w:sz w:val="20"/>
              </w:rPr>
              <w:t xml:space="preserve">Вид ПДК</w:t>
            </w:r>
          </w:p>
        </w:tc>
        <w:tc>
          <w:tcPr>
            <w:tcW w:w="1417" w:type="dxa"/>
            <w:vMerge w:val="restart"/>
          </w:tcPr>
          <w:p>
            <w:pPr>
              <w:pStyle w:val="0"/>
              <w:jc w:val="center"/>
            </w:pPr>
            <w:r>
              <w:rPr>
                <w:sz w:val="20"/>
              </w:rPr>
              <w:t xml:space="preserve">Значение ПДК (ОБУВ) мг/м</w:t>
            </w:r>
          </w:p>
        </w:tc>
        <w:tc>
          <w:tcPr>
            <w:tcW w:w="1360" w:type="dxa"/>
            <w:vMerge w:val="restart"/>
          </w:tcPr>
          <w:p>
            <w:pPr>
              <w:pStyle w:val="0"/>
              <w:jc w:val="center"/>
            </w:pPr>
            <w:r>
              <w:rPr>
                <w:sz w:val="20"/>
              </w:rPr>
              <w:t xml:space="preserve">Класс опасности</w:t>
            </w:r>
          </w:p>
        </w:tc>
        <w:tc>
          <w:tcPr>
            <w:tcW w:w="2381" w:type="dxa"/>
            <w:vMerge w:val="restart"/>
          </w:tcPr>
          <w:p>
            <w:pPr>
              <w:pStyle w:val="0"/>
              <w:jc w:val="center"/>
            </w:pPr>
            <w:r>
              <w:rPr>
                <w:sz w:val="20"/>
              </w:rPr>
              <w:t xml:space="preserve">Суммарный выброс загрязняющих веществ, т/г (загод)</w:t>
            </w:r>
          </w:p>
        </w:tc>
      </w:tr>
      <w:tr>
        <w:tc>
          <w:tcPr>
            <w:tcW w:w="566" w:type="dxa"/>
          </w:tcPr>
          <w:p>
            <w:pPr>
              <w:pStyle w:val="0"/>
              <w:jc w:val="center"/>
            </w:pPr>
            <w:r>
              <w:rPr>
                <w:sz w:val="20"/>
              </w:rPr>
              <w:t xml:space="preserve">код</w:t>
            </w:r>
          </w:p>
        </w:tc>
        <w:tc>
          <w:tcPr>
            <w:tcW w:w="2154" w:type="dxa"/>
          </w:tcPr>
          <w:p>
            <w:pPr>
              <w:pStyle w:val="0"/>
              <w:jc w:val="center"/>
            </w:pPr>
            <w:r>
              <w:rPr>
                <w:sz w:val="20"/>
              </w:rPr>
              <w:t xml:space="preserve">наименование</w:t>
            </w:r>
          </w:p>
        </w:tc>
        <w:tc>
          <w:tcPr>
            <w:vMerge w:val="continue"/>
          </w:tcPr>
          <w:p/>
        </w:tc>
        <w:tc>
          <w:tcPr>
            <w:vMerge w:val="continue"/>
          </w:tcPr>
          <w:p/>
        </w:tc>
        <w:tc>
          <w:tcPr>
            <w:vMerge w:val="continue"/>
          </w:tcPr>
          <w:p/>
        </w:tc>
        <w:tc>
          <w:tcPr>
            <w:vMerge w:val="continue"/>
          </w:tcPr>
          <w:p/>
        </w:tc>
      </w:tr>
      <w:tr>
        <w:tc>
          <w:tcPr>
            <w:tcW w:w="566" w:type="dxa"/>
          </w:tcPr>
          <w:p>
            <w:pPr>
              <w:pStyle w:val="0"/>
              <w:jc w:val="center"/>
            </w:pPr>
            <w:r>
              <w:rPr>
                <w:sz w:val="20"/>
              </w:rPr>
              <w:t xml:space="preserve">1</w:t>
            </w:r>
          </w:p>
        </w:tc>
        <w:tc>
          <w:tcPr>
            <w:tcW w:w="2154" w:type="dxa"/>
          </w:tcPr>
          <w:p>
            <w:pPr>
              <w:pStyle w:val="0"/>
              <w:jc w:val="center"/>
            </w:pPr>
            <w:r>
              <w:rPr>
                <w:sz w:val="20"/>
              </w:rPr>
              <w:t xml:space="preserve">2</w:t>
            </w:r>
          </w:p>
        </w:tc>
        <w:tc>
          <w:tcPr>
            <w:tcW w:w="1190" w:type="dxa"/>
          </w:tcPr>
          <w:p>
            <w:pPr>
              <w:pStyle w:val="0"/>
              <w:jc w:val="center"/>
            </w:pPr>
            <w:r>
              <w:rPr>
                <w:sz w:val="20"/>
              </w:rPr>
              <w:t xml:space="preserve">3</w:t>
            </w:r>
          </w:p>
        </w:tc>
        <w:tc>
          <w:tcPr>
            <w:tcW w:w="1417" w:type="dxa"/>
          </w:tcPr>
          <w:p>
            <w:pPr>
              <w:pStyle w:val="0"/>
              <w:jc w:val="center"/>
            </w:pPr>
            <w:r>
              <w:rPr>
                <w:sz w:val="20"/>
              </w:rPr>
              <w:t xml:space="preserve">4</w:t>
            </w:r>
          </w:p>
        </w:tc>
        <w:tc>
          <w:tcPr>
            <w:tcW w:w="1360" w:type="dxa"/>
          </w:tcPr>
          <w:p>
            <w:pPr>
              <w:pStyle w:val="0"/>
              <w:jc w:val="center"/>
            </w:pPr>
            <w:r>
              <w:rPr>
                <w:sz w:val="20"/>
              </w:rPr>
              <w:t xml:space="preserve">5</w:t>
            </w:r>
          </w:p>
        </w:tc>
        <w:tc>
          <w:tcPr>
            <w:tcW w:w="2381" w:type="dxa"/>
          </w:tcPr>
          <w:p>
            <w:pPr>
              <w:pStyle w:val="0"/>
              <w:jc w:val="center"/>
            </w:pPr>
            <w:r>
              <w:rPr>
                <w:sz w:val="20"/>
              </w:rPr>
              <w:t xml:space="preserve">7</w:t>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tcW w:w="1190" w:type="dxa"/>
          </w:tcPr>
          <w:p>
            <w:pPr>
              <w:pStyle w:val="0"/>
            </w:pPr>
            <w:r>
              <w:rPr>
                <w:sz w:val="20"/>
              </w:rPr>
            </w:r>
          </w:p>
        </w:tc>
        <w:tc>
          <w:tcPr>
            <w:tcW w:w="1417" w:type="dxa"/>
          </w:tcPr>
          <w:p>
            <w:pPr>
              <w:pStyle w:val="0"/>
            </w:pPr>
            <w:r>
              <w:rPr>
                <w:sz w:val="20"/>
              </w:rPr>
            </w:r>
          </w:p>
        </w:tc>
        <w:tc>
          <w:tcPr>
            <w:tcW w:w="1360" w:type="dxa"/>
          </w:tcPr>
          <w:p>
            <w:pPr>
              <w:pStyle w:val="0"/>
            </w:pPr>
            <w:r>
              <w:rPr>
                <w:sz w:val="20"/>
              </w:rPr>
            </w:r>
          </w:p>
        </w:tc>
        <w:tc>
          <w:tcPr>
            <w:tcW w:w="2381" w:type="dxa"/>
          </w:tcPr>
          <w:p>
            <w:pPr>
              <w:pStyle w:val="0"/>
            </w:pPr>
            <w:r>
              <w:rPr>
                <w:sz w:val="20"/>
              </w:rPr>
            </w:r>
          </w:p>
        </w:tc>
      </w:tr>
      <w:tr>
        <w:tc>
          <w:tcPr>
            <w:gridSpan w:val="5"/>
            <w:tcW w:w="6687" w:type="dxa"/>
          </w:tcPr>
          <w:p>
            <w:pPr>
              <w:pStyle w:val="0"/>
            </w:pPr>
            <w:r>
              <w:rPr>
                <w:sz w:val="20"/>
              </w:rPr>
              <w:t xml:space="preserve">Всего загрязняющих веществ:</w:t>
            </w:r>
          </w:p>
        </w:tc>
        <w:tc>
          <w:tcPr>
            <w:tcW w:w="2381" w:type="dxa"/>
          </w:tcPr>
          <w:p>
            <w:pPr>
              <w:pStyle w:val="0"/>
            </w:pPr>
            <w:r>
              <w:rPr>
                <w:sz w:val="20"/>
              </w:rPr>
            </w:r>
          </w:p>
        </w:tc>
      </w:tr>
      <w:tr>
        <w:tc>
          <w:tcPr>
            <w:gridSpan w:val="5"/>
            <w:tcW w:w="6687" w:type="dxa"/>
          </w:tcPr>
          <w:p>
            <w:pPr>
              <w:pStyle w:val="0"/>
            </w:pPr>
            <w:r>
              <w:rPr>
                <w:sz w:val="20"/>
              </w:rPr>
              <w:t xml:space="preserve">в том числе твердых:</w:t>
            </w:r>
          </w:p>
        </w:tc>
        <w:tc>
          <w:tcPr>
            <w:tcW w:w="2381" w:type="dxa"/>
          </w:tcPr>
          <w:p>
            <w:pPr>
              <w:pStyle w:val="0"/>
            </w:pPr>
            <w:r>
              <w:rPr>
                <w:sz w:val="20"/>
              </w:rPr>
            </w:r>
          </w:p>
        </w:tc>
      </w:tr>
      <w:tr>
        <w:tc>
          <w:tcPr>
            <w:gridSpan w:val="5"/>
            <w:tcW w:w="6687" w:type="dxa"/>
          </w:tcPr>
          <w:p>
            <w:pPr>
              <w:pStyle w:val="0"/>
            </w:pPr>
            <w:r>
              <w:rPr>
                <w:sz w:val="20"/>
              </w:rPr>
              <w:t xml:space="preserve">жидких и газообразных:</w:t>
            </w:r>
          </w:p>
        </w:tc>
        <w:tc>
          <w:tcPr>
            <w:tcW w:w="2381" w:type="dxa"/>
          </w:tcPr>
          <w:p>
            <w:pPr>
              <w:pStyle w:val="0"/>
            </w:pPr>
            <w:r>
              <w:rPr>
                <w:sz w:val="20"/>
              </w:rPr>
            </w:r>
          </w:p>
        </w:tc>
      </w:tr>
      <w:tr>
        <w:tc>
          <w:tcPr>
            <w:gridSpan w:val="6"/>
            <w:tcW w:w="9068" w:type="dxa"/>
          </w:tcPr>
          <w:p>
            <w:pPr>
              <w:pStyle w:val="0"/>
            </w:pPr>
            <w:r>
              <w:rPr>
                <w:sz w:val="20"/>
              </w:rPr>
              <w:t xml:space="preserve">Смеси загрязняющих веществ, обладающих суммацией действия (комбинированным действием):</w:t>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r>
        <w:tc>
          <w:tcPr>
            <w:tcW w:w="566" w:type="dxa"/>
          </w:tcPr>
          <w:p>
            <w:pPr>
              <w:pStyle w:val="0"/>
            </w:pPr>
            <w:r>
              <w:rPr>
                <w:sz w:val="20"/>
              </w:rPr>
            </w:r>
          </w:p>
        </w:tc>
        <w:tc>
          <w:tcPr>
            <w:tcW w:w="2154" w:type="dxa"/>
          </w:tcPr>
          <w:p>
            <w:pPr>
              <w:pStyle w:val="0"/>
            </w:pPr>
            <w:r>
              <w:rPr>
                <w:sz w:val="20"/>
              </w:rPr>
            </w:r>
          </w:p>
        </w:tc>
        <w:tc>
          <w:tcPr>
            <w:gridSpan w:val="4"/>
            <w:tcW w:w="6348"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652" w:name="P652"/>
    <w:bookmarkEnd w:id="652"/>
    <w:p>
      <w:pPr>
        <w:pStyle w:val="0"/>
        <w:jc w:val="center"/>
      </w:pPr>
      <w:r>
        <w:rPr>
          <w:sz w:val="20"/>
        </w:rPr>
        <w:t xml:space="preserve">Таблица N 5</w:t>
      </w:r>
    </w:p>
    <w:p>
      <w:pPr>
        <w:pStyle w:val="0"/>
        <w:jc w:val="both"/>
      </w:pPr>
      <w:r>
        <w:rPr>
          <w:sz w:val="20"/>
        </w:rPr>
      </w:r>
    </w:p>
    <w:p>
      <w:pPr>
        <w:pStyle w:val="0"/>
        <w:jc w:val="center"/>
      </w:pPr>
      <w:r>
        <w:rPr>
          <w:sz w:val="20"/>
        </w:rPr>
        <w:t xml:space="preserve">Перечень стационарных источников с наибольшим воздействием</w:t>
      </w:r>
    </w:p>
    <w:p>
      <w:pPr>
        <w:pStyle w:val="0"/>
        <w:jc w:val="center"/>
      </w:pPr>
      <w:r>
        <w:rPr>
          <w:sz w:val="20"/>
        </w:rPr>
        <w:t xml:space="preserve">на атмосферный воздух</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77"/>
        <w:gridCol w:w="850"/>
        <w:gridCol w:w="1134"/>
        <w:gridCol w:w="859"/>
        <w:gridCol w:w="1191"/>
        <w:gridCol w:w="144"/>
        <w:gridCol w:w="1134"/>
        <w:gridCol w:w="907"/>
        <w:gridCol w:w="845"/>
        <w:gridCol w:w="917"/>
      </w:tblGrid>
      <w:tr>
        <w:tc>
          <w:tcPr>
            <w:tcW w:w="1077" w:type="dxa"/>
            <w:vMerge w:val="restart"/>
          </w:tcPr>
          <w:p>
            <w:pPr>
              <w:pStyle w:val="0"/>
              <w:jc w:val="center"/>
            </w:pPr>
            <w:r>
              <w:rPr>
                <w:sz w:val="20"/>
              </w:rPr>
              <w:t xml:space="preserve">Загрязняющее вещество, код и наименование</w:t>
            </w:r>
          </w:p>
        </w:tc>
        <w:tc>
          <w:tcPr>
            <w:tcW w:w="850" w:type="dxa"/>
            <w:vMerge w:val="restart"/>
          </w:tcPr>
          <w:p>
            <w:pPr>
              <w:pStyle w:val="0"/>
              <w:jc w:val="center"/>
            </w:pPr>
            <w:r>
              <w:rPr>
                <w:sz w:val="20"/>
              </w:rPr>
              <w:t xml:space="preserve">Номер расчетной (контрольной) точки</w:t>
            </w:r>
          </w:p>
        </w:tc>
        <w:tc>
          <w:tcPr>
            <w:tcW w:w="1134" w:type="dxa"/>
            <w:vMerge w:val="restart"/>
          </w:tcPr>
          <w:p>
            <w:pPr>
              <w:pStyle w:val="0"/>
              <w:jc w:val="center"/>
            </w:pPr>
            <w:r>
              <w:rPr>
                <w:sz w:val="20"/>
              </w:rPr>
              <w:t xml:space="preserve">Фоновая концентрация q'</w:t>
            </w:r>
            <w:r>
              <w:rPr>
                <w:sz w:val="20"/>
                <w:vertAlign w:val="subscript"/>
              </w:rPr>
              <w:t xml:space="preserve">уфj</w:t>
            </w:r>
            <w:r>
              <w:rPr>
                <w:sz w:val="20"/>
              </w:rPr>
              <w:t xml:space="preserve">, в долях ПДК (в случае проведения сводных расчетов - расчетная фоновая концентрация)</w:t>
            </w:r>
          </w:p>
        </w:tc>
        <w:tc>
          <w:tcPr>
            <w:gridSpan w:val="4"/>
            <w:tcW w:w="3328" w:type="dxa"/>
          </w:tcPr>
          <w:p>
            <w:pPr>
              <w:pStyle w:val="0"/>
              <w:jc w:val="center"/>
            </w:pPr>
            <w:r>
              <w:rPr>
                <w:sz w:val="20"/>
              </w:rPr>
              <w:t xml:space="preserve">Расчетная максимальная приземная концентрация, в долях ПДК</w:t>
            </w:r>
          </w:p>
        </w:tc>
        <w:tc>
          <w:tcPr>
            <w:gridSpan w:val="2"/>
            <w:tcW w:w="1752" w:type="dxa"/>
          </w:tcPr>
          <w:p>
            <w:pPr>
              <w:pStyle w:val="0"/>
              <w:jc w:val="center"/>
            </w:pPr>
            <w:r>
              <w:rPr>
                <w:sz w:val="20"/>
              </w:rPr>
              <w:t xml:space="preserve">Стационарные источники с наибольшим воздействием на атмосферный воздух (наибольшим вкладом в максимальную концентрацию)</w:t>
            </w:r>
          </w:p>
        </w:tc>
        <w:tc>
          <w:tcPr>
            <w:tcW w:w="917" w:type="dxa"/>
            <w:vMerge w:val="restart"/>
          </w:tcPr>
          <w:p>
            <w:pPr>
              <w:pStyle w:val="0"/>
              <w:jc w:val="center"/>
            </w:pPr>
            <w:r>
              <w:rPr>
                <w:sz w:val="20"/>
              </w:rPr>
              <w:t xml:space="preserve">Принадлежность источника (цех, участок, подразделение)</w:t>
            </w:r>
          </w:p>
        </w:tc>
      </w:tr>
      <w:tr>
        <w:tc>
          <w:tcPr>
            <w:vMerge w:val="continue"/>
          </w:tcPr>
          <w:p/>
        </w:tc>
        <w:tc>
          <w:tcPr>
            <w:vMerge w:val="continue"/>
          </w:tcPr>
          <w:p/>
        </w:tc>
        <w:tc>
          <w:tcPr>
            <w:vMerge w:val="continue"/>
          </w:tcPr>
          <w:p/>
        </w:tc>
        <w:tc>
          <w:tcPr>
            <w:tcW w:w="859" w:type="dxa"/>
          </w:tcPr>
          <w:p>
            <w:pPr>
              <w:pStyle w:val="0"/>
              <w:jc w:val="center"/>
            </w:pPr>
            <w:r>
              <w:rPr>
                <w:sz w:val="20"/>
              </w:rPr>
              <w:t xml:space="preserve">на границе предприятия</w:t>
            </w:r>
          </w:p>
        </w:tc>
        <w:tc>
          <w:tcPr>
            <w:tcW w:w="1191" w:type="dxa"/>
          </w:tcPr>
          <w:p>
            <w:pPr>
              <w:pStyle w:val="0"/>
              <w:jc w:val="center"/>
            </w:pPr>
            <w:r>
              <w:rPr>
                <w:sz w:val="20"/>
              </w:rPr>
              <w:t xml:space="preserve">на границе санитарнозащитной зоны (с учетом фона/без учета фона)</w:t>
            </w:r>
          </w:p>
        </w:tc>
        <w:tc>
          <w:tcPr>
            <w:gridSpan w:val="2"/>
            <w:tcW w:w="1278" w:type="dxa"/>
          </w:tcPr>
          <w:p>
            <w:pPr>
              <w:pStyle w:val="0"/>
              <w:jc w:val="center"/>
            </w:pPr>
            <w:r>
              <w:rPr>
                <w:sz w:val="20"/>
              </w:rPr>
              <w:t xml:space="preserve">в жилой зоне/зоне с особыми условиями (с учетом фона/без учета фона)</w:t>
            </w:r>
          </w:p>
        </w:tc>
        <w:tc>
          <w:tcPr>
            <w:tcW w:w="907" w:type="dxa"/>
          </w:tcPr>
          <w:p>
            <w:pPr>
              <w:pStyle w:val="0"/>
              <w:jc w:val="center"/>
            </w:pPr>
            <w:r>
              <w:rPr>
                <w:sz w:val="20"/>
              </w:rPr>
              <w:t xml:space="preserve">N источника на карте-схеме</w:t>
            </w:r>
          </w:p>
        </w:tc>
        <w:tc>
          <w:tcPr>
            <w:tcW w:w="845" w:type="dxa"/>
          </w:tcPr>
          <w:p>
            <w:pPr>
              <w:pStyle w:val="0"/>
              <w:jc w:val="center"/>
            </w:pPr>
            <w:r>
              <w:rPr>
                <w:sz w:val="20"/>
              </w:rPr>
              <w:t xml:space="preserve">% вклада</w:t>
            </w:r>
          </w:p>
        </w:tc>
        <w:tc>
          <w:tcPr>
            <w:vMerge w:val="continue"/>
          </w:tcPr>
          <w:p/>
        </w:tc>
      </w:tr>
      <w:tr>
        <w:tc>
          <w:tcPr>
            <w:tcW w:w="1077" w:type="dxa"/>
          </w:tcPr>
          <w:p>
            <w:pPr>
              <w:pStyle w:val="0"/>
              <w:jc w:val="center"/>
            </w:pPr>
            <w:r>
              <w:rPr>
                <w:sz w:val="20"/>
              </w:rPr>
              <w:t xml:space="preserve">1</w:t>
            </w:r>
          </w:p>
        </w:tc>
        <w:tc>
          <w:tcPr>
            <w:tcW w:w="850" w:type="dxa"/>
          </w:tcPr>
          <w:p>
            <w:pPr>
              <w:pStyle w:val="0"/>
              <w:jc w:val="center"/>
            </w:pPr>
            <w:r>
              <w:rPr>
                <w:sz w:val="20"/>
              </w:rPr>
              <w:t xml:space="preserve">2</w:t>
            </w:r>
          </w:p>
        </w:tc>
        <w:tc>
          <w:tcPr>
            <w:tcW w:w="1134" w:type="dxa"/>
          </w:tcPr>
          <w:p>
            <w:pPr>
              <w:pStyle w:val="0"/>
              <w:jc w:val="center"/>
            </w:pPr>
            <w:r>
              <w:rPr>
                <w:sz w:val="20"/>
              </w:rPr>
              <w:t xml:space="preserve">3</w:t>
            </w:r>
          </w:p>
        </w:tc>
        <w:tc>
          <w:tcPr>
            <w:tcW w:w="859" w:type="dxa"/>
          </w:tcPr>
          <w:p>
            <w:pPr>
              <w:pStyle w:val="0"/>
              <w:jc w:val="center"/>
            </w:pPr>
            <w:r>
              <w:rPr>
                <w:sz w:val="20"/>
              </w:rPr>
              <w:t xml:space="preserve">4</w:t>
            </w:r>
          </w:p>
        </w:tc>
        <w:tc>
          <w:tcPr>
            <w:tcW w:w="1191" w:type="dxa"/>
          </w:tcPr>
          <w:p>
            <w:pPr>
              <w:pStyle w:val="0"/>
              <w:jc w:val="center"/>
            </w:pPr>
            <w:r>
              <w:rPr>
                <w:sz w:val="20"/>
              </w:rPr>
              <w:t xml:space="preserve">5</w:t>
            </w:r>
          </w:p>
        </w:tc>
        <w:tc>
          <w:tcPr>
            <w:gridSpan w:val="2"/>
            <w:tcW w:w="1278" w:type="dxa"/>
          </w:tcPr>
          <w:p>
            <w:pPr>
              <w:pStyle w:val="0"/>
              <w:jc w:val="center"/>
            </w:pPr>
            <w:r>
              <w:rPr>
                <w:sz w:val="20"/>
              </w:rPr>
              <w:t xml:space="preserve">6</w:t>
            </w:r>
          </w:p>
        </w:tc>
        <w:tc>
          <w:tcPr>
            <w:tcW w:w="907" w:type="dxa"/>
          </w:tcPr>
          <w:p>
            <w:pPr>
              <w:pStyle w:val="0"/>
              <w:jc w:val="center"/>
            </w:pPr>
            <w:r>
              <w:rPr>
                <w:sz w:val="20"/>
              </w:rPr>
              <w:t xml:space="preserve">7</w:t>
            </w:r>
          </w:p>
        </w:tc>
        <w:tc>
          <w:tcPr>
            <w:tcW w:w="845" w:type="dxa"/>
          </w:tcPr>
          <w:p>
            <w:pPr>
              <w:pStyle w:val="0"/>
              <w:jc w:val="center"/>
            </w:pPr>
            <w:r>
              <w:rPr>
                <w:sz w:val="20"/>
              </w:rPr>
              <w:t xml:space="preserve">8</w:t>
            </w:r>
          </w:p>
        </w:tc>
        <w:tc>
          <w:tcPr>
            <w:tcW w:w="917" w:type="dxa"/>
          </w:tcPr>
          <w:p>
            <w:pPr>
              <w:pStyle w:val="0"/>
              <w:jc w:val="center"/>
            </w:pPr>
            <w:r>
              <w:rPr>
                <w:sz w:val="20"/>
              </w:rPr>
              <w:t xml:space="preserve">9</w:t>
            </w:r>
          </w:p>
        </w:tc>
      </w:tr>
      <w:tr>
        <w:tc>
          <w:tcPr>
            <w:gridSpan w:val="10"/>
            <w:tcW w:w="9058" w:type="dxa"/>
          </w:tcPr>
          <w:p>
            <w:pPr>
              <w:pStyle w:val="0"/>
              <w:outlineLvl w:val="3"/>
              <w:jc w:val="center"/>
            </w:pPr>
            <w:r>
              <w:rPr>
                <w:sz w:val="20"/>
              </w:rPr>
              <w:t xml:space="preserve">1. На момент разработки предельно допустимых выбросов</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gridSpan w:val="3"/>
            <w:tcW w:w="2886" w:type="dxa"/>
          </w:tcPr>
          <w:p>
            <w:pPr>
              <w:pStyle w:val="0"/>
            </w:pPr>
            <w:r>
              <w:rPr>
                <w:sz w:val="20"/>
              </w:rPr>
            </w:r>
          </w:p>
        </w:tc>
        <w:tc>
          <w:tcPr>
            <w:tcW w:w="917" w:type="dxa"/>
          </w:tcPr>
          <w:p>
            <w:pPr>
              <w:pStyle w:val="0"/>
            </w:pPr>
            <w:r>
              <w:rPr>
                <w:sz w:val="20"/>
              </w:rPr>
            </w:r>
          </w:p>
        </w:tc>
      </w:tr>
      <w:tr>
        <w:tc>
          <w:tcPr>
            <w:gridSpan w:val="10"/>
            <w:tcW w:w="9058" w:type="dxa"/>
          </w:tcPr>
          <w:p>
            <w:pPr>
              <w:pStyle w:val="0"/>
              <w:outlineLvl w:val="3"/>
              <w:jc w:val="center"/>
            </w:pPr>
            <w:r>
              <w:rPr>
                <w:sz w:val="20"/>
              </w:rPr>
              <w:t xml:space="preserve">2. Перспектива развития</w:t>
            </w:r>
          </w:p>
        </w:tc>
      </w:tr>
      <w:tr>
        <w:tc>
          <w:tcPr>
            <w:tcW w:w="1077" w:type="dxa"/>
          </w:tcPr>
          <w:p>
            <w:pPr>
              <w:pStyle w:val="0"/>
            </w:pPr>
            <w:r>
              <w:rPr>
                <w:sz w:val="20"/>
              </w:rPr>
            </w:r>
          </w:p>
        </w:tc>
        <w:tc>
          <w:tcPr>
            <w:tcW w:w="850" w:type="dxa"/>
          </w:tcPr>
          <w:p>
            <w:pPr>
              <w:pStyle w:val="0"/>
            </w:pPr>
            <w:r>
              <w:rPr>
                <w:sz w:val="20"/>
              </w:rPr>
            </w:r>
          </w:p>
        </w:tc>
        <w:tc>
          <w:tcPr>
            <w:tcW w:w="1134" w:type="dxa"/>
          </w:tcPr>
          <w:p>
            <w:pPr>
              <w:pStyle w:val="0"/>
            </w:pPr>
            <w:r>
              <w:rPr>
                <w:sz w:val="20"/>
              </w:rPr>
            </w:r>
          </w:p>
        </w:tc>
        <w:tc>
          <w:tcPr>
            <w:gridSpan w:val="3"/>
            <w:tcW w:w="2194" w:type="dxa"/>
          </w:tcPr>
          <w:p>
            <w:pPr>
              <w:pStyle w:val="0"/>
            </w:pPr>
            <w:r>
              <w:rPr>
                <w:sz w:val="20"/>
              </w:rPr>
            </w:r>
          </w:p>
        </w:tc>
        <w:tc>
          <w:tcPr>
            <w:tcW w:w="1134" w:type="dxa"/>
          </w:tcPr>
          <w:p>
            <w:pPr>
              <w:pStyle w:val="0"/>
            </w:pPr>
            <w:r>
              <w:rPr>
                <w:sz w:val="20"/>
              </w:rPr>
            </w:r>
          </w:p>
        </w:tc>
        <w:tc>
          <w:tcPr>
            <w:tcW w:w="907" w:type="dxa"/>
          </w:tcPr>
          <w:p>
            <w:pPr>
              <w:pStyle w:val="0"/>
            </w:pPr>
            <w:r>
              <w:rPr>
                <w:sz w:val="20"/>
              </w:rPr>
            </w:r>
          </w:p>
        </w:tc>
        <w:tc>
          <w:tcPr>
            <w:tcW w:w="845" w:type="dxa"/>
          </w:tcPr>
          <w:p>
            <w:pPr>
              <w:pStyle w:val="0"/>
            </w:pPr>
            <w:r>
              <w:rPr>
                <w:sz w:val="20"/>
              </w:rPr>
            </w:r>
          </w:p>
        </w:tc>
        <w:tc>
          <w:tcPr>
            <w:tcW w:w="917" w:type="dxa"/>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Методике разработки (расчета)</w:t>
      </w:r>
    </w:p>
    <w:p>
      <w:pPr>
        <w:pStyle w:val="0"/>
        <w:jc w:val="right"/>
      </w:pPr>
      <w:r>
        <w:rPr>
          <w:sz w:val="20"/>
        </w:rPr>
        <w:t xml:space="preserve">и установления нормативов допустимых</w:t>
      </w:r>
    </w:p>
    <w:p>
      <w:pPr>
        <w:pStyle w:val="0"/>
        <w:jc w:val="right"/>
      </w:pPr>
      <w:r>
        <w:rPr>
          <w:sz w:val="20"/>
        </w:rPr>
        <w:t xml:space="preserve">выбросов загрязняющих веществ</w:t>
      </w:r>
    </w:p>
    <w:p>
      <w:pPr>
        <w:pStyle w:val="0"/>
        <w:jc w:val="right"/>
      </w:pPr>
      <w:r>
        <w:rPr>
          <w:sz w:val="20"/>
        </w:rPr>
        <w:t xml:space="preserve">в атмосферный воздух, утвержденной</w:t>
      </w:r>
    </w:p>
    <w:p>
      <w:pPr>
        <w:pStyle w:val="0"/>
        <w:jc w:val="right"/>
      </w:pPr>
      <w:r>
        <w:rPr>
          <w:sz w:val="20"/>
        </w:rPr>
        <w:t xml:space="preserve">приказом Минприроды России</w:t>
      </w:r>
    </w:p>
    <w:p>
      <w:pPr>
        <w:pStyle w:val="0"/>
        <w:jc w:val="right"/>
      </w:pPr>
      <w:r>
        <w:rPr>
          <w:sz w:val="20"/>
        </w:rPr>
        <w:t xml:space="preserve">от 11.08.2020 N 581</w:t>
      </w:r>
    </w:p>
    <w:p>
      <w:pPr>
        <w:pStyle w:val="0"/>
        <w:jc w:val="both"/>
      </w:pPr>
      <w:r>
        <w:rPr>
          <w:sz w:val="20"/>
        </w:rPr>
      </w:r>
    </w:p>
    <w:p>
      <w:pPr>
        <w:pStyle w:val="0"/>
        <w:jc w:val="center"/>
      </w:pPr>
      <w:r>
        <w:rPr>
          <w:sz w:val="20"/>
        </w:rPr>
        <w:t xml:space="preserve">Оформление</w:t>
      </w:r>
    </w:p>
    <w:p>
      <w:pPr>
        <w:pStyle w:val="0"/>
        <w:jc w:val="center"/>
      </w:pPr>
      <w:r>
        <w:rPr>
          <w:sz w:val="20"/>
        </w:rPr>
        <w:t xml:space="preserve">нормативов выбросов загрязняющих веществ</w:t>
      </w:r>
    </w:p>
    <w:p>
      <w:pPr>
        <w:pStyle w:val="0"/>
        <w:jc w:val="center"/>
      </w:pPr>
      <w:r>
        <w:rPr>
          <w:sz w:val="20"/>
        </w:rPr>
        <w:t xml:space="preserve">в атмосферный воздух</w:t>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712" w:name="P712"/>
    <w:bookmarkEnd w:id="712"/>
    <w:p>
      <w:pPr>
        <w:pStyle w:val="0"/>
        <w:jc w:val="center"/>
      </w:pPr>
      <w:r>
        <w:rPr>
          <w:sz w:val="20"/>
        </w:rPr>
        <w:t xml:space="preserve">Таблица N 6</w:t>
      </w:r>
    </w:p>
    <w:p>
      <w:pPr>
        <w:pStyle w:val="0"/>
        <w:jc w:val="both"/>
      </w:pPr>
      <w:r>
        <w:rPr>
          <w:sz w:val="20"/>
        </w:rPr>
      </w:r>
    </w:p>
    <w:p>
      <w:pPr>
        <w:pStyle w:val="0"/>
        <w:jc w:val="center"/>
      </w:pPr>
      <w:r>
        <w:rPr>
          <w:sz w:val="20"/>
        </w:rPr>
        <w:t xml:space="preserve">Нормативы выбросов загрязняющих веществ</w:t>
      </w:r>
    </w:p>
    <w:p>
      <w:pPr>
        <w:pStyle w:val="0"/>
        <w:jc w:val="center"/>
      </w:pPr>
      <w:r>
        <w:rPr>
          <w:sz w:val="20"/>
        </w:rPr>
        <w:t xml:space="preserve">в атмосферный воздух по конкретным стационарным источникам</w:t>
      </w:r>
    </w:p>
    <w:p>
      <w:pPr>
        <w:pStyle w:val="0"/>
        <w:jc w:val="center"/>
      </w:pPr>
      <w:r>
        <w:rPr>
          <w:sz w:val="20"/>
        </w:rPr>
        <w:t xml:space="preserve">выбросов и загрязняющим веществам</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__________________________________________________</w:t>
      </w:r>
    </w:p>
    <w:p>
      <w:pPr>
        <w:pStyle w:val="0"/>
        <w:jc w:val="center"/>
      </w:pPr>
      <w:r>
        <w:rPr>
          <w:sz w:val="20"/>
        </w:rPr>
        <w:t xml:space="preserve">фактический адрес осуществления деятельности</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623"/>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Подразделение, цех, участок</w:t>
            </w:r>
          </w:p>
        </w:tc>
        <w:tc>
          <w:tcPr>
            <w:tcW w:w="623" w:type="dxa"/>
            <w:vMerge w:val="restart"/>
          </w:tcPr>
          <w:p>
            <w:pPr>
              <w:pStyle w:val="0"/>
              <w:jc w:val="center"/>
            </w:pPr>
            <w:r>
              <w:rPr>
                <w:sz w:val="20"/>
              </w:rPr>
              <w:t xml:space="preserve">N источника</w:t>
            </w:r>
          </w:p>
        </w:tc>
        <w:tc>
          <w:tcPr>
            <w:gridSpan w:val="24"/>
            <w:tcW w:w="13726" w:type="dxa"/>
          </w:tcPr>
          <w:p>
            <w:pPr>
              <w:pStyle w:val="0"/>
              <w:jc w:val="center"/>
            </w:pPr>
            <w:r>
              <w:rPr>
                <w:sz w:val="20"/>
              </w:rPr>
              <w:t xml:space="preserve">Нормативы выбросов загрязняющих веществ (ЗВ)</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На момент разработки ПДВ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623"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vAlign w:val="bottom"/>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7"/>
            <w:tcW w:w="15596" w:type="dxa"/>
          </w:tcPr>
          <w:p>
            <w:pPr>
              <w:pStyle w:val="0"/>
            </w:pPr>
            <w:r>
              <w:rPr>
                <w:sz w:val="20"/>
              </w:rPr>
              <w:t xml:space="preserve">Наименование и код загрязняющего вещества</w:t>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t xml:space="preserve">Всего по ЗВ</w:t>
            </w:r>
          </w:p>
        </w:tc>
        <w:tc>
          <w:tcPr>
            <w:tcW w:w="623"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2"/>
            <w:tcW w:w="1247" w:type="dxa"/>
          </w:tcPr>
          <w:p>
            <w:pPr>
              <w:pStyle w:val="0"/>
            </w:pPr>
            <w:r>
              <w:rPr>
                <w:sz w:val="20"/>
              </w:rPr>
              <w:t xml:space="preserve">ИТОГО:</w:t>
            </w:r>
          </w:p>
        </w:tc>
        <w:tc>
          <w:tcPr>
            <w:tcW w:w="623"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bl>
    <w:p>
      <w:pPr>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Рекомендуемый образец</w:t>
      </w:r>
    </w:p>
    <w:p>
      <w:pPr>
        <w:pStyle w:val="0"/>
        <w:jc w:val="both"/>
      </w:pPr>
      <w:r>
        <w:rPr>
          <w:sz w:val="20"/>
        </w:rPr>
      </w:r>
    </w:p>
    <w:bookmarkStart w:id="1036" w:name="P1036"/>
    <w:bookmarkEnd w:id="1036"/>
    <w:p>
      <w:pPr>
        <w:pStyle w:val="0"/>
        <w:jc w:val="center"/>
      </w:pPr>
      <w:r>
        <w:rPr>
          <w:sz w:val="20"/>
        </w:rPr>
        <w:t xml:space="preserve">Таблица N 7</w:t>
      </w:r>
    </w:p>
    <w:p>
      <w:pPr>
        <w:pStyle w:val="0"/>
        <w:jc w:val="both"/>
      </w:pPr>
      <w:r>
        <w:rPr>
          <w:sz w:val="20"/>
        </w:rPr>
      </w:r>
    </w:p>
    <w:p>
      <w:pPr>
        <w:pStyle w:val="0"/>
        <w:jc w:val="center"/>
      </w:pPr>
      <w:r>
        <w:rPr>
          <w:sz w:val="20"/>
        </w:rPr>
        <w:t xml:space="preserve">Нормативы выбросов</w:t>
      </w:r>
    </w:p>
    <w:p>
      <w:pPr>
        <w:pStyle w:val="0"/>
        <w:jc w:val="center"/>
      </w:pPr>
      <w:r>
        <w:rPr>
          <w:sz w:val="20"/>
        </w:rPr>
        <w:t xml:space="preserve">загрязняющих веществ в атмосферный воздух по объекту ОНВ</w:t>
      </w:r>
    </w:p>
    <w:p>
      <w:pPr>
        <w:pStyle w:val="0"/>
        <w:jc w:val="center"/>
      </w:pPr>
      <w:r>
        <w:rPr>
          <w:sz w:val="20"/>
        </w:rPr>
        <w:t xml:space="preserve">______________________________________________________</w:t>
      </w:r>
    </w:p>
    <w:p>
      <w:pPr>
        <w:pStyle w:val="0"/>
        <w:jc w:val="center"/>
      </w:pPr>
      <w:r>
        <w:rPr>
          <w:sz w:val="20"/>
        </w:rPr>
        <w:t xml:space="preserve">наименование объекта ОНВ</w:t>
      </w:r>
    </w:p>
    <w:p>
      <w:pPr>
        <w:pStyle w:val="0"/>
        <w:jc w:val="center"/>
      </w:pPr>
      <w:r>
        <w:rPr>
          <w:sz w:val="20"/>
        </w:rPr>
        <w:t xml:space="preserve">по _________________________________________________</w:t>
      </w:r>
    </w:p>
    <w:p>
      <w:pPr>
        <w:pStyle w:val="0"/>
        <w:jc w:val="center"/>
      </w:pPr>
      <w:r>
        <w:rPr>
          <w:sz w:val="20"/>
        </w:rPr>
        <w:t xml:space="preserve">наименование обособленного подразделения,</w:t>
      </w:r>
    </w:p>
    <w:p>
      <w:pPr>
        <w:pStyle w:val="0"/>
        <w:jc w:val="center"/>
      </w:pPr>
      <w:r>
        <w:rPr>
          <w:sz w:val="20"/>
        </w:rPr>
        <w:t xml:space="preserve">его место расположения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737"/>
        <w:gridCol w:w="794"/>
        <w:gridCol w:w="454"/>
        <w:gridCol w:w="453"/>
        <w:gridCol w:w="794"/>
        <w:gridCol w:w="454"/>
        <w:gridCol w:w="454"/>
        <w:gridCol w:w="794"/>
        <w:gridCol w:w="454"/>
        <w:gridCol w:w="454"/>
        <w:gridCol w:w="794"/>
        <w:gridCol w:w="454"/>
        <w:gridCol w:w="454"/>
        <w:gridCol w:w="794"/>
        <w:gridCol w:w="454"/>
        <w:gridCol w:w="454"/>
        <w:gridCol w:w="794"/>
        <w:gridCol w:w="454"/>
        <w:gridCol w:w="510"/>
        <w:gridCol w:w="850"/>
        <w:gridCol w:w="454"/>
        <w:gridCol w:w="454"/>
        <w:gridCol w:w="794"/>
        <w:gridCol w:w="454"/>
        <w:gridCol w:w="453"/>
        <w:gridCol w:w="794"/>
      </w:tblGrid>
      <w:tr>
        <w:tc>
          <w:tcPr>
            <w:tcW w:w="510" w:type="dxa"/>
            <w:vMerge w:val="restart"/>
          </w:tcPr>
          <w:p>
            <w:pPr>
              <w:pStyle w:val="0"/>
              <w:jc w:val="center"/>
            </w:pPr>
            <w:r>
              <w:rPr>
                <w:sz w:val="20"/>
              </w:rPr>
              <w:t xml:space="preserve">N п/п</w:t>
            </w:r>
          </w:p>
        </w:tc>
        <w:tc>
          <w:tcPr>
            <w:tcW w:w="737" w:type="dxa"/>
            <w:vMerge w:val="restart"/>
          </w:tcPr>
          <w:p>
            <w:pPr>
              <w:pStyle w:val="0"/>
              <w:jc w:val="center"/>
            </w:pPr>
            <w:r>
              <w:rPr>
                <w:sz w:val="20"/>
              </w:rPr>
              <w:t xml:space="preserve">Наименование загрязняющего вещества и его код</w:t>
            </w:r>
          </w:p>
        </w:tc>
        <w:tc>
          <w:tcPr>
            <w:tcW w:w="794" w:type="dxa"/>
            <w:vMerge w:val="restart"/>
          </w:tcPr>
          <w:p>
            <w:pPr>
              <w:pStyle w:val="0"/>
              <w:jc w:val="center"/>
            </w:pPr>
            <w:r>
              <w:rPr>
                <w:sz w:val="20"/>
              </w:rPr>
              <w:t xml:space="preserve">Класс опасности загрязняющего вещества (I - IV)</w:t>
            </w:r>
          </w:p>
        </w:tc>
        <w:tc>
          <w:tcPr>
            <w:gridSpan w:val="24"/>
            <w:tcW w:w="13726" w:type="dxa"/>
          </w:tcPr>
          <w:p>
            <w:pPr>
              <w:pStyle w:val="0"/>
              <w:jc w:val="center"/>
            </w:pPr>
            <w:r>
              <w:rPr>
                <w:sz w:val="20"/>
              </w:rPr>
              <w:t xml:space="preserve">Нормативы выбросов (с разбивкой по годам)</w:t>
            </w:r>
          </w:p>
        </w:tc>
      </w:tr>
      <w:tr>
        <w:tc>
          <w:tcPr>
            <w:vMerge w:val="continue"/>
          </w:tcPr>
          <w:p/>
        </w:tc>
        <w:tc>
          <w:tcPr>
            <w:vMerge w:val="continue"/>
          </w:tcPr>
          <w:p/>
        </w:tc>
        <w:tc>
          <w:tcPr>
            <w:vMerge w:val="continue"/>
          </w:tcPr>
          <w:p/>
        </w:tc>
        <w:tc>
          <w:tcPr>
            <w:gridSpan w:val="3"/>
            <w:tcW w:w="1701" w:type="dxa"/>
          </w:tcPr>
          <w:p>
            <w:pPr>
              <w:pStyle w:val="0"/>
              <w:jc w:val="center"/>
            </w:pPr>
            <w:r>
              <w:rPr>
                <w:sz w:val="20"/>
              </w:rPr>
              <w:t xml:space="preserve">Существующее положение 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814" w:type="dxa"/>
          </w:tcPr>
          <w:p>
            <w:pPr>
              <w:pStyle w:val="0"/>
              <w:jc w:val="center"/>
            </w:pPr>
            <w:r>
              <w:rPr>
                <w:sz w:val="20"/>
              </w:rPr>
              <w:t xml:space="preserve">20__ год</w:t>
            </w:r>
          </w:p>
        </w:tc>
        <w:tc>
          <w:tcPr>
            <w:gridSpan w:val="3"/>
            <w:tcW w:w="1702" w:type="dxa"/>
          </w:tcPr>
          <w:p>
            <w:pPr>
              <w:pStyle w:val="0"/>
              <w:jc w:val="center"/>
            </w:pPr>
            <w:r>
              <w:rPr>
                <w:sz w:val="20"/>
              </w:rPr>
              <w:t xml:space="preserve">20__ год</w:t>
            </w:r>
          </w:p>
        </w:tc>
        <w:tc>
          <w:tcPr>
            <w:gridSpan w:val="3"/>
            <w:tcW w:w="1701" w:type="dxa"/>
          </w:tcPr>
          <w:p>
            <w:pPr>
              <w:pStyle w:val="0"/>
              <w:jc w:val="center"/>
            </w:pPr>
            <w:r>
              <w:rPr>
                <w:sz w:val="20"/>
              </w:rPr>
              <w:t xml:space="preserve">20__ год</w:t>
            </w:r>
          </w:p>
        </w:tc>
      </w:tr>
      <w:tr>
        <w:tc>
          <w:tcPr>
            <w:vMerge w:val="continue"/>
          </w:tcPr>
          <w:p/>
        </w:tc>
        <w:tc>
          <w:tcPr>
            <w:vMerge w:val="continue"/>
          </w:tcPr>
          <w:p/>
        </w:tc>
        <w:tc>
          <w:tcPr>
            <w:vMerge w:val="continue"/>
          </w:tcP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510" w:type="dxa"/>
          </w:tcPr>
          <w:p>
            <w:pPr>
              <w:pStyle w:val="0"/>
              <w:jc w:val="center"/>
            </w:pPr>
            <w:r>
              <w:rPr>
                <w:sz w:val="20"/>
              </w:rPr>
              <w:t xml:space="preserve">т/г</w:t>
            </w:r>
          </w:p>
        </w:tc>
        <w:tc>
          <w:tcPr>
            <w:tcW w:w="850"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4"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c>
          <w:tcPr>
            <w:tcW w:w="454" w:type="dxa"/>
          </w:tcPr>
          <w:p>
            <w:pPr>
              <w:pStyle w:val="0"/>
              <w:jc w:val="center"/>
            </w:pPr>
            <w:r>
              <w:rPr>
                <w:sz w:val="20"/>
              </w:rPr>
              <w:t xml:space="preserve">г/с</w:t>
            </w:r>
          </w:p>
        </w:tc>
        <w:tc>
          <w:tcPr>
            <w:tcW w:w="453" w:type="dxa"/>
          </w:tcPr>
          <w:p>
            <w:pPr>
              <w:pStyle w:val="0"/>
              <w:jc w:val="center"/>
            </w:pPr>
            <w:r>
              <w:rPr>
                <w:sz w:val="20"/>
              </w:rPr>
              <w:t xml:space="preserve">т/г</w:t>
            </w:r>
          </w:p>
        </w:tc>
        <w:tc>
          <w:tcPr>
            <w:tcW w:w="794" w:type="dxa"/>
          </w:tcPr>
          <w:p>
            <w:pPr>
              <w:pStyle w:val="0"/>
              <w:jc w:val="center"/>
            </w:pPr>
            <w:r>
              <w:rPr>
                <w:position w:val="-20"/>
              </w:rPr>
              <w:drawing>
                <wp:inline distT="0" distB="0" distL="0" distR="0">
                  <wp:extent cx="3810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44">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p>
        </w:tc>
      </w:tr>
      <w:tr>
        <w:tc>
          <w:tcPr>
            <w:tcW w:w="510" w:type="dxa"/>
          </w:tcPr>
          <w:p>
            <w:pPr>
              <w:pStyle w:val="0"/>
              <w:jc w:val="center"/>
            </w:pPr>
            <w:r>
              <w:rPr>
                <w:sz w:val="20"/>
              </w:rPr>
              <w:t xml:space="preserve">1</w:t>
            </w:r>
          </w:p>
        </w:tc>
        <w:tc>
          <w:tcPr>
            <w:tcW w:w="737" w:type="dxa"/>
          </w:tcPr>
          <w:p>
            <w:pPr>
              <w:pStyle w:val="0"/>
              <w:jc w:val="center"/>
            </w:pPr>
            <w:r>
              <w:rPr>
                <w:sz w:val="20"/>
              </w:rPr>
              <w:t xml:space="preserve">2</w:t>
            </w:r>
          </w:p>
        </w:tc>
        <w:tc>
          <w:tcPr>
            <w:tcW w:w="794" w:type="dxa"/>
          </w:tcPr>
          <w:p>
            <w:pPr>
              <w:pStyle w:val="0"/>
              <w:jc w:val="center"/>
            </w:pPr>
            <w:r>
              <w:rPr>
                <w:sz w:val="20"/>
              </w:rPr>
              <w:t xml:space="preserve">3</w:t>
            </w:r>
          </w:p>
        </w:tc>
        <w:tc>
          <w:tcPr>
            <w:tcW w:w="454" w:type="dxa"/>
          </w:tcPr>
          <w:p>
            <w:pPr>
              <w:pStyle w:val="0"/>
              <w:jc w:val="center"/>
            </w:pPr>
            <w:r>
              <w:rPr>
                <w:sz w:val="20"/>
              </w:rPr>
              <w:t xml:space="preserve">4</w:t>
            </w:r>
          </w:p>
        </w:tc>
        <w:tc>
          <w:tcPr>
            <w:tcW w:w="453" w:type="dxa"/>
          </w:tcPr>
          <w:p>
            <w:pPr>
              <w:pStyle w:val="0"/>
              <w:jc w:val="center"/>
            </w:pPr>
            <w:r>
              <w:rPr>
                <w:sz w:val="20"/>
              </w:rPr>
              <w:t xml:space="preserve">5</w:t>
            </w:r>
          </w:p>
        </w:tc>
        <w:tc>
          <w:tcPr>
            <w:tcW w:w="794" w:type="dxa"/>
          </w:tcPr>
          <w:p>
            <w:pPr>
              <w:pStyle w:val="0"/>
              <w:jc w:val="center"/>
            </w:pPr>
            <w:r>
              <w:rPr>
                <w:sz w:val="20"/>
              </w:rPr>
              <w:t xml:space="preserve">6</w:t>
            </w:r>
          </w:p>
        </w:tc>
        <w:tc>
          <w:tcPr>
            <w:tcW w:w="454" w:type="dxa"/>
          </w:tcPr>
          <w:p>
            <w:pPr>
              <w:pStyle w:val="0"/>
              <w:jc w:val="center"/>
            </w:pPr>
            <w:r>
              <w:rPr>
                <w:sz w:val="20"/>
              </w:rPr>
              <w:t xml:space="preserve">7</w:t>
            </w:r>
          </w:p>
        </w:tc>
        <w:tc>
          <w:tcPr>
            <w:tcW w:w="454" w:type="dxa"/>
          </w:tcPr>
          <w:p>
            <w:pPr>
              <w:pStyle w:val="0"/>
              <w:jc w:val="center"/>
            </w:pPr>
            <w:r>
              <w:rPr>
                <w:sz w:val="20"/>
              </w:rPr>
              <w:t xml:space="preserve">8</w:t>
            </w:r>
          </w:p>
        </w:tc>
        <w:tc>
          <w:tcPr>
            <w:tcW w:w="794" w:type="dxa"/>
          </w:tcPr>
          <w:p>
            <w:pPr>
              <w:pStyle w:val="0"/>
              <w:jc w:val="center"/>
            </w:pPr>
            <w:r>
              <w:rPr>
                <w:sz w:val="20"/>
              </w:rPr>
              <w:t xml:space="preserve">9</w:t>
            </w:r>
          </w:p>
        </w:tc>
        <w:tc>
          <w:tcPr>
            <w:tcW w:w="454" w:type="dxa"/>
          </w:tcPr>
          <w:p>
            <w:pPr>
              <w:pStyle w:val="0"/>
              <w:jc w:val="center"/>
            </w:pPr>
            <w:r>
              <w:rPr>
                <w:sz w:val="20"/>
              </w:rPr>
              <w:t xml:space="preserve">10</w:t>
            </w:r>
          </w:p>
        </w:tc>
        <w:tc>
          <w:tcPr>
            <w:tcW w:w="454" w:type="dxa"/>
          </w:tcPr>
          <w:p>
            <w:pPr>
              <w:pStyle w:val="0"/>
              <w:jc w:val="center"/>
            </w:pPr>
            <w:r>
              <w:rPr>
                <w:sz w:val="20"/>
              </w:rPr>
              <w:t xml:space="preserve">11</w:t>
            </w:r>
          </w:p>
        </w:tc>
        <w:tc>
          <w:tcPr>
            <w:tcW w:w="794" w:type="dxa"/>
          </w:tcPr>
          <w:p>
            <w:pPr>
              <w:pStyle w:val="0"/>
              <w:jc w:val="center"/>
            </w:pPr>
            <w:r>
              <w:rPr>
                <w:sz w:val="20"/>
              </w:rPr>
              <w:t xml:space="preserve">12</w:t>
            </w:r>
          </w:p>
        </w:tc>
        <w:tc>
          <w:tcPr>
            <w:tcW w:w="454" w:type="dxa"/>
          </w:tcPr>
          <w:p>
            <w:pPr>
              <w:pStyle w:val="0"/>
              <w:jc w:val="center"/>
            </w:pPr>
            <w:r>
              <w:rPr>
                <w:sz w:val="20"/>
              </w:rPr>
              <w:t xml:space="preserve">13</w:t>
            </w:r>
          </w:p>
        </w:tc>
        <w:tc>
          <w:tcPr>
            <w:tcW w:w="454" w:type="dxa"/>
          </w:tcPr>
          <w:p>
            <w:pPr>
              <w:pStyle w:val="0"/>
              <w:jc w:val="center"/>
            </w:pPr>
            <w:r>
              <w:rPr>
                <w:sz w:val="20"/>
              </w:rPr>
              <w:t xml:space="preserve">14</w:t>
            </w:r>
          </w:p>
        </w:tc>
        <w:tc>
          <w:tcPr>
            <w:tcW w:w="794" w:type="dxa"/>
          </w:tcPr>
          <w:p>
            <w:pPr>
              <w:pStyle w:val="0"/>
              <w:jc w:val="center"/>
            </w:pPr>
            <w:r>
              <w:rPr>
                <w:sz w:val="20"/>
              </w:rPr>
              <w:t xml:space="preserve">15</w:t>
            </w:r>
          </w:p>
        </w:tc>
        <w:tc>
          <w:tcPr>
            <w:tcW w:w="454" w:type="dxa"/>
          </w:tcPr>
          <w:p>
            <w:pPr>
              <w:pStyle w:val="0"/>
              <w:jc w:val="center"/>
            </w:pPr>
            <w:r>
              <w:rPr>
                <w:sz w:val="20"/>
              </w:rPr>
              <w:t xml:space="preserve">16</w:t>
            </w:r>
          </w:p>
        </w:tc>
        <w:tc>
          <w:tcPr>
            <w:tcW w:w="454" w:type="dxa"/>
          </w:tcPr>
          <w:p>
            <w:pPr>
              <w:pStyle w:val="0"/>
              <w:jc w:val="center"/>
            </w:pPr>
            <w:r>
              <w:rPr>
                <w:sz w:val="20"/>
              </w:rPr>
              <w:t xml:space="preserve">17</w:t>
            </w:r>
          </w:p>
        </w:tc>
        <w:tc>
          <w:tcPr>
            <w:tcW w:w="794" w:type="dxa"/>
          </w:tcPr>
          <w:p>
            <w:pPr>
              <w:pStyle w:val="0"/>
              <w:jc w:val="center"/>
            </w:pPr>
            <w:r>
              <w:rPr>
                <w:sz w:val="20"/>
              </w:rPr>
              <w:t xml:space="preserve">18</w:t>
            </w:r>
          </w:p>
        </w:tc>
        <w:tc>
          <w:tcPr>
            <w:tcW w:w="454" w:type="dxa"/>
          </w:tcPr>
          <w:p>
            <w:pPr>
              <w:pStyle w:val="0"/>
              <w:jc w:val="center"/>
            </w:pPr>
            <w:r>
              <w:rPr>
                <w:sz w:val="20"/>
              </w:rPr>
              <w:t xml:space="preserve">19</w:t>
            </w:r>
          </w:p>
        </w:tc>
        <w:tc>
          <w:tcPr>
            <w:tcW w:w="510" w:type="dxa"/>
          </w:tcPr>
          <w:p>
            <w:pPr>
              <w:pStyle w:val="0"/>
              <w:jc w:val="center"/>
            </w:pPr>
            <w:r>
              <w:rPr>
                <w:sz w:val="20"/>
              </w:rPr>
              <w:t xml:space="preserve">20</w:t>
            </w:r>
          </w:p>
        </w:tc>
        <w:tc>
          <w:tcPr>
            <w:tcW w:w="850" w:type="dxa"/>
          </w:tcPr>
          <w:p>
            <w:pPr>
              <w:pStyle w:val="0"/>
              <w:jc w:val="center"/>
            </w:pPr>
            <w:r>
              <w:rPr>
                <w:sz w:val="20"/>
              </w:rPr>
              <w:t xml:space="preserve">21</w:t>
            </w:r>
          </w:p>
        </w:tc>
        <w:tc>
          <w:tcPr>
            <w:tcW w:w="454" w:type="dxa"/>
          </w:tcPr>
          <w:p>
            <w:pPr>
              <w:pStyle w:val="0"/>
              <w:jc w:val="center"/>
            </w:pPr>
            <w:r>
              <w:rPr>
                <w:sz w:val="20"/>
              </w:rPr>
              <w:t xml:space="preserve">22</w:t>
            </w:r>
          </w:p>
        </w:tc>
        <w:tc>
          <w:tcPr>
            <w:tcW w:w="454" w:type="dxa"/>
          </w:tcPr>
          <w:p>
            <w:pPr>
              <w:pStyle w:val="0"/>
              <w:jc w:val="center"/>
            </w:pPr>
            <w:r>
              <w:rPr>
                <w:sz w:val="20"/>
              </w:rPr>
              <w:t xml:space="preserve">23</w:t>
            </w:r>
          </w:p>
        </w:tc>
        <w:tc>
          <w:tcPr>
            <w:tcW w:w="794" w:type="dxa"/>
          </w:tcPr>
          <w:p>
            <w:pPr>
              <w:pStyle w:val="0"/>
              <w:jc w:val="center"/>
            </w:pPr>
            <w:r>
              <w:rPr>
                <w:sz w:val="20"/>
              </w:rPr>
              <w:t xml:space="preserve">24</w:t>
            </w:r>
          </w:p>
        </w:tc>
        <w:tc>
          <w:tcPr>
            <w:tcW w:w="454" w:type="dxa"/>
          </w:tcPr>
          <w:p>
            <w:pPr>
              <w:pStyle w:val="0"/>
              <w:jc w:val="center"/>
            </w:pPr>
            <w:r>
              <w:rPr>
                <w:sz w:val="20"/>
              </w:rPr>
              <w:t xml:space="preserve">25</w:t>
            </w:r>
          </w:p>
        </w:tc>
        <w:tc>
          <w:tcPr>
            <w:tcW w:w="453" w:type="dxa"/>
          </w:tcPr>
          <w:p>
            <w:pPr>
              <w:pStyle w:val="0"/>
              <w:jc w:val="center"/>
            </w:pPr>
            <w:r>
              <w:rPr>
                <w:sz w:val="20"/>
              </w:rPr>
              <w:t xml:space="preserve">26</w:t>
            </w:r>
          </w:p>
        </w:tc>
        <w:tc>
          <w:tcPr>
            <w:tcW w:w="794" w:type="dxa"/>
          </w:tcPr>
          <w:p>
            <w:pPr>
              <w:pStyle w:val="0"/>
              <w:jc w:val="center"/>
            </w:pPr>
            <w:r>
              <w:rPr>
                <w:sz w:val="20"/>
              </w:rPr>
              <w:t xml:space="preserve">27</w:t>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tcW w:w="510" w:type="dxa"/>
          </w:tcPr>
          <w:p>
            <w:pPr>
              <w:pStyle w:val="0"/>
            </w:pPr>
            <w:r>
              <w:rPr>
                <w:sz w:val="20"/>
              </w:rPr>
            </w:r>
          </w:p>
        </w:tc>
        <w:tc>
          <w:tcPr>
            <w:tcW w:w="737"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510" w:type="dxa"/>
          </w:tcPr>
          <w:p>
            <w:pPr>
              <w:pStyle w:val="0"/>
            </w:pPr>
            <w:r>
              <w:rPr>
                <w:sz w:val="20"/>
              </w:rPr>
            </w:r>
          </w:p>
        </w:tc>
        <w:tc>
          <w:tcPr>
            <w:tcW w:w="850" w:type="dxa"/>
          </w:tcPr>
          <w:p>
            <w:pPr>
              <w:pStyle w:val="0"/>
            </w:pPr>
            <w:r>
              <w:rPr>
                <w:sz w:val="20"/>
              </w:rPr>
            </w:r>
          </w:p>
        </w:tc>
        <w:tc>
          <w:tcPr>
            <w:tcW w:w="454" w:type="dxa"/>
          </w:tcPr>
          <w:p>
            <w:pPr>
              <w:pStyle w:val="0"/>
            </w:pPr>
            <w:r>
              <w:rPr>
                <w:sz w:val="20"/>
              </w:rPr>
            </w:r>
          </w:p>
        </w:tc>
        <w:tc>
          <w:tcPr>
            <w:tcW w:w="454" w:type="dxa"/>
          </w:tcPr>
          <w:p>
            <w:pPr>
              <w:pStyle w:val="0"/>
            </w:pPr>
            <w:r>
              <w:rPr>
                <w:sz w:val="20"/>
              </w:rPr>
            </w:r>
          </w:p>
        </w:tc>
        <w:tc>
          <w:tcPr>
            <w:tcW w:w="794" w:type="dxa"/>
          </w:tcPr>
          <w:p>
            <w:pPr>
              <w:pStyle w:val="0"/>
            </w:pPr>
            <w:r>
              <w:rPr>
                <w:sz w:val="20"/>
              </w:rPr>
            </w:r>
          </w:p>
        </w:tc>
        <w:tc>
          <w:tcPr>
            <w:tcW w:w="454" w:type="dxa"/>
          </w:tcPr>
          <w:p>
            <w:pPr>
              <w:pStyle w:val="0"/>
            </w:pPr>
            <w:r>
              <w:rPr>
                <w:sz w:val="20"/>
              </w:rPr>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ИТОГО:</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В том числе твердых: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r>
        <w:tc>
          <w:tcPr>
            <w:gridSpan w:val="3"/>
            <w:tcW w:w="2041" w:type="dxa"/>
          </w:tcPr>
          <w:p>
            <w:pPr>
              <w:pStyle w:val="0"/>
              <w:jc w:val="right"/>
            </w:pPr>
            <w:r>
              <w:rPr>
                <w:sz w:val="20"/>
              </w:rPr>
              <w:t xml:space="preserve">жидких и газообразных:</w:t>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510" w:type="dxa"/>
          </w:tcPr>
          <w:p>
            <w:pPr>
              <w:pStyle w:val="0"/>
            </w:pPr>
            <w:r>
              <w:rPr>
                <w:sz w:val="20"/>
              </w:rPr>
            </w:r>
          </w:p>
        </w:tc>
        <w:tc>
          <w:tcPr>
            <w:tcW w:w="850" w:type="dxa"/>
          </w:tcPr>
          <w:p>
            <w:pPr>
              <w:pStyle w:val="0"/>
            </w:pPr>
            <w:r>
              <w:rPr>
                <w:sz w:val="20"/>
              </w:rPr>
            </w:r>
          </w:p>
        </w:tc>
        <w:tc>
          <w:tcPr>
            <w:tcW w:w="454" w:type="dxa"/>
          </w:tcPr>
          <w:p>
            <w:pPr>
              <w:pStyle w:val="0"/>
              <w:jc w:val="center"/>
            </w:pPr>
            <w:r>
              <w:rPr>
                <w:sz w:val="20"/>
              </w:rPr>
              <w:t xml:space="preserve">X</w:t>
            </w:r>
          </w:p>
        </w:tc>
        <w:tc>
          <w:tcPr>
            <w:tcW w:w="454" w:type="dxa"/>
          </w:tcPr>
          <w:p>
            <w:pPr>
              <w:pStyle w:val="0"/>
            </w:pPr>
            <w:r>
              <w:rPr>
                <w:sz w:val="20"/>
              </w:rPr>
            </w:r>
          </w:p>
        </w:tc>
        <w:tc>
          <w:tcPr>
            <w:tcW w:w="794" w:type="dxa"/>
          </w:tcPr>
          <w:p>
            <w:pPr>
              <w:pStyle w:val="0"/>
            </w:pPr>
            <w:r>
              <w:rPr>
                <w:sz w:val="20"/>
              </w:rPr>
            </w:r>
          </w:p>
        </w:tc>
        <w:tc>
          <w:tcPr>
            <w:tcW w:w="454" w:type="dxa"/>
          </w:tcPr>
          <w:p>
            <w:pPr>
              <w:pStyle w:val="0"/>
              <w:jc w:val="center"/>
            </w:pPr>
            <w:r>
              <w:rPr>
                <w:sz w:val="20"/>
              </w:rPr>
              <w:t xml:space="preserve">X</w:t>
            </w:r>
          </w:p>
        </w:tc>
        <w:tc>
          <w:tcPr>
            <w:tcW w:w="453" w:type="dxa"/>
          </w:tcPr>
          <w:p>
            <w:pPr>
              <w:pStyle w:val="0"/>
            </w:pPr>
            <w:r>
              <w:rPr>
                <w:sz w:val="20"/>
              </w:rPr>
            </w:r>
          </w:p>
        </w:tc>
        <w:tc>
          <w:tcPr>
            <w:tcW w:w="794"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142"/>
      <w:headerReference w:type="first" r:id="rId142"/>
      <w:footerReference w:type="default" r:id="rId143"/>
      <w:footerReference w:type="first" r:id="rId143"/>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Приказ Минприроды России от 11.08.2020 N 581</w:t>
            <w:br/>
            <w:t>"Об утверждении методики разработки (расчета) и установления нормативов доп...</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6905758DE4408C65E091DEB533669E0766A32FAC76D40B966C3EFED7B7443F70955373A712528754E04405C7F5DE7312BBBAB16E0IF3BF" TargetMode = "External"/>
	<Relationship Id="rId8" Type="http://schemas.openxmlformats.org/officeDocument/2006/relationships/hyperlink" Target="consultantplus://offline/ref=E6905758DE4408C65E091DEB533669E0766A32FAC76D40B966C3EFED7B7443F70955373A762E28754E04405C7F5DE7312BBBAB16E0IF3BF" TargetMode = "External"/>
	<Relationship Id="rId9" Type="http://schemas.openxmlformats.org/officeDocument/2006/relationships/hyperlink" Target="consultantplus://offline/ref=E6905758DE4408C65E091DEB533669E0716C3FFBC76740B966C3EFED7B7443F70955373A72272321194B4100390CF4322EBBA817FCFAFCD0IB3DF" TargetMode = "External"/>
	<Relationship Id="rId10" Type="http://schemas.openxmlformats.org/officeDocument/2006/relationships/hyperlink" Target="consultantplus://offline/ref=E6905758DE4408C65E091DEB533669E0706C39FBC76140B966C3EFED7B7443F70955373A722723201D4B4100390CF4322EBBA817FCFAFCD0IB3DF" TargetMode = "External"/>
	<Relationship Id="rId11" Type="http://schemas.openxmlformats.org/officeDocument/2006/relationships/hyperlink" Target="consultantplus://offline/ref=E6905758DE4408C65E091DEB533669E0706C39FBC76140B966C3EFED7B7443F71B556F3670233D201E5E17517FI53AF" TargetMode = "External"/>
	<Relationship Id="rId12" Type="http://schemas.openxmlformats.org/officeDocument/2006/relationships/hyperlink" Target="consultantplus://offline/ref=E6905758DE4408C65E091DEB533669E0766B3FFCC76540B966C3EFED7B7443F70955373A7B2028754E04405C7F5DE7312BBBAB16E0IF3BF" TargetMode = "External"/>
	<Relationship Id="rId13" Type="http://schemas.openxmlformats.org/officeDocument/2006/relationships/hyperlink" Target="consultantplus://offline/ref=E6905758DE4408C65E091DEB533669E0766B3FFCC76540B966C3EFED7B7443F70955373D702628754E04405C7F5DE7312BBBAB16E0IF3BF" TargetMode = "External"/>
	<Relationship Id="rId14" Type="http://schemas.openxmlformats.org/officeDocument/2006/relationships/hyperlink" Target="consultantplus://offline/ref=E6905758DE4408C65E091DEB533669E0716C3FFBC76740B966C3EFED7B7443F70955373A72272321194B4100390CF4322EBBA817FCFAFCD0IB3DF" TargetMode = "External"/>
	<Relationship Id="rId15" Type="http://schemas.openxmlformats.org/officeDocument/2006/relationships/hyperlink" Target="consultantplus://offline/ref=E6905758DE4408C65E091DEB533669E0716E3BFAC06040B966C3EFED7B7443F71B556F3670233D201E5E17517FI53AF" TargetMode = "External"/>
	<Relationship Id="rId16" Type="http://schemas.openxmlformats.org/officeDocument/2006/relationships/hyperlink" Target="consultantplus://offline/ref=E6905758DE4408C65E091DEB533669E0716F33F9C06240B966C3EFED7B7443F70955373E797372654A4D17556358F82E28A5ABI135F" TargetMode = "External"/>
	<Relationship Id="rId17" Type="http://schemas.openxmlformats.org/officeDocument/2006/relationships/hyperlink" Target="consultantplus://offline/ref=E6905758DE4408C65E091DEB533669E0716F33F9C06240B966C3EFED7B7443F70955373F797372654A4D17556358F82E28A5ABI135F" TargetMode = "External"/>
	<Relationship Id="rId18" Type="http://schemas.openxmlformats.org/officeDocument/2006/relationships/hyperlink" Target="consultantplus://offline/ref=E6905758DE4408C65E091DEB533669E0766F3DFEC56D40B966C3EFED7B7443F70955373A722722211A4B4100390CF4322EBBA817FCFAFCD0IB3DF" TargetMode = "External"/>
	<Relationship Id="rId19" Type="http://schemas.openxmlformats.org/officeDocument/2006/relationships/hyperlink" Target="consultantplus://offline/ref=E6905758DE4408C65E091DEB533669E0716A3BFDC86140B966C3EFED7B7443F70955373A722723201C4B4100390CF4322EBBA817FCFAFCD0IB3DF" TargetMode = "External"/>
	<Relationship Id="rId20" Type="http://schemas.openxmlformats.org/officeDocument/2006/relationships/hyperlink" Target="consultantplus://offline/ref=E6905758DE4408C65E091DEB533669E0766B39F4C96240B966C3EFED7B7443F70955373A722722241D4B4100390CF4322EBBA817FCFAFCD0IB3DF" TargetMode = "External"/>
	<Relationship Id="rId21" Type="http://schemas.openxmlformats.org/officeDocument/2006/relationships/hyperlink" Target="consultantplus://offline/ref=E6905758DE4408C65E091DEB533669E0766B3FFFC16140B966C3EFED7B7443F71B556F3670233D201E5E17517FI53AF" TargetMode = "External"/>
	<Relationship Id="rId22" Type="http://schemas.openxmlformats.org/officeDocument/2006/relationships/hyperlink" Target="consultantplus://offline/ref=E6905758DE4408C65E091DEB533669E0766B3CF5C26040B966C3EFED7B7443F70955373A72272225164B4100390CF4322EBBA817FCFAFCD0IB3DF" TargetMode = "External"/>
	<Relationship Id="rId23" Type="http://schemas.openxmlformats.org/officeDocument/2006/relationships/hyperlink" Target="consultantplus://offline/ref=E6905758DE4408C65E091DEB533669E0766B3CF5C26040B966C3EFED7B7443F70955373A722721201A4B4100390CF4322EBBA817FCFAFCD0IB3DF" TargetMode = "External"/>
	<Relationship Id="rId24" Type="http://schemas.openxmlformats.org/officeDocument/2006/relationships/hyperlink" Target="consultantplus://offline/ref=E6905758DE4408C65E091DEB533669E0766B3CF5C26040B966C3EFED7B7443F70955373A722721291F4B4100390CF4322EBBA817FCFAFCD0IB3DF" TargetMode = "External"/>
	<Relationship Id="rId25" Type="http://schemas.openxmlformats.org/officeDocument/2006/relationships/hyperlink" Target="consultantplus://offline/ref=E6905758DE4408C65E091DEB533669E0766B3CF5C26040B966C3EFED7B7443F70955373A722720211E4B4100390CF4322EBBA817FCFAFCD0IB3DF" TargetMode = "External"/>
	<Relationship Id="rId26" Type="http://schemas.openxmlformats.org/officeDocument/2006/relationships/hyperlink" Target="consultantplus://offline/ref=E6905758DE4408C65E091DEB533669E0766B3CF5C26040B966C3EFED7B7443F70955373A72272025194B4100390CF4322EBBA817FCFAFCD0IB3DF" TargetMode = "External"/>
	<Relationship Id="rId27" Type="http://schemas.openxmlformats.org/officeDocument/2006/relationships/hyperlink" Target="consultantplus://offline/ref=E6905758DE4408C65E091DEB533669E0766B3CF5C26040B966C3EFED7B7443F70955373A722727231E4B4100390CF4322EBBA817FCFAFCD0IB3DF" TargetMode = "External"/>
	<Relationship Id="rId28" Type="http://schemas.openxmlformats.org/officeDocument/2006/relationships/hyperlink" Target="consultantplus://offline/ref=E6905758DE4408C65E091DEB533669E0766B3CF5C26040B966C3EFED7B7443F70955373A722727221F4B4100390CF4322EBBA817FCFAFCD0IB3DF" TargetMode = "External"/>
	<Relationship Id="rId29" Type="http://schemas.openxmlformats.org/officeDocument/2006/relationships/hyperlink" Target="consultantplus://offline/ref=E6905758DE4408C65E091DEB533669E0766B3CF5C26040B966C3EFED7B7443F70955373A722727251A4B4100390CF4322EBBA817FCFAFCD0IB3DF" TargetMode = "External"/>
	<Relationship Id="rId30" Type="http://schemas.openxmlformats.org/officeDocument/2006/relationships/hyperlink" Target="consultantplus://offline/ref=E6905758DE4408C65E091DEB533669E0766B3CF5C26040B966C3EFED7B7443F70955373A722726271F4B4100390CF4322EBBA817FCFAFCD0IB3DF" TargetMode = "External"/>
	<Relationship Id="rId31" Type="http://schemas.openxmlformats.org/officeDocument/2006/relationships/hyperlink" Target="consultantplus://offline/ref=E6905758DE4408C65E091DEB533669E0766B3CF5C26040B966C3EFED7B7443F70955373A72272627184B4100390CF4322EBBA817FCFAFCD0IB3DF" TargetMode = "External"/>
	<Relationship Id="rId32" Type="http://schemas.openxmlformats.org/officeDocument/2006/relationships/hyperlink" Target="consultantplus://offline/ref=E6905758DE4408C65E091DEB533669E0766B3CF5C26040B966C3EFED7B7443F70955373A72272629164B4100390CF4322EBBA817FCFAFCD0IB3DF" TargetMode = "External"/>
	<Relationship Id="rId33" Type="http://schemas.openxmlformats.org/officeDocument/2006/relationships/hyperlink" Target="consultantplus://offline/ref=E6905758DE4408C65E091DEB533669E0766B3CF5C26040B966C3EFED7B7443F70955373A722726281F4B4100390CF4322EBBA817FCFAFCD0IB3DF" TargetMode = "External"/>
	<Relationship Id="rId34" Type="http://schemas.openxmlformats.org/officeDocument/2006/relationships/hyperlink" Target="consultantplus://offline/ref=E6905758DE4408C65E091DEB533669E0766B39F4C96240B966C3EFED7B7443F70955373A722722241B4B4100390CF4322EBBA817FCFAFCD0IB3DF" TargetMode = "External"/>
	<Relationship Id="rId35" Type="http://schemas.openxmlformats.org/officeDocument/2006/relationships/hyperlink" Target="consultantplus://offline/ref=E6905758DE4408C65E091DEB533669E0716F3CFDC46F1DB36E9AE3EF7C7B1CF20E4437397639222001421553I73EF" TargetMode = "External"/>
	<Relationship Id="rId36" Type="http://schemas.openxmlformats.org/officeDocument/2006/relationships/hyperlink" Target="consultantplus://offline/ref=E6905758DE4408C65E091DEB533669E0716F33F8C56D40B966C3EFED7B7443F70955373A722723201D4B4100390CF4322EBBA817FCFAFCD0IB3DF" TargetMode = "External"/>
	<Relationship Id="rId37" Type="http://schemas.openxmlformats.org/officeDocument/2006/relationships/hyperlink" Target="consultantplus://offline/ref=E6905758DE4408C65E091DEB533669E0716E3BFAC06040B966C3EFED7B7443F71B556F3670233D201E5E17517FI53AF" TargetMode = "External"/>
	<Relationship Id="rId38" Type="http://schemas.openxmlformats.org/officeDocument/2006/relationships/hyperlink" Target="consultantplus://offline/ref=E6905758DE4408C65E091DEB533669E0706E33FDC56640B966C3EFED7B7443F71B556F3670233D201E5E17517FI53AF" TargetMode = "External"/>
	<Relationship Id="rId39" Type="http://schemas.openxmlformats.org/officeDocument/2006/relationships/hyperlink" Target="consultantplus://offline/ref=E6905758DE4408C65E091DEB533669E07B6E39F5C36F1DB36E9AE3EF7C7B1CF20E4437397639222001421553I73EF" TargetMode = "External"/>
	<Relationship Id="rId40" Type="http://schemas.openxmlformats.org/officeDocument/2006/relationships/hyperlink" Target="consultantplus://offline/ref=E6905758DE4408C65E091DEB533669E07A6B3AF8C96F1DB36E9AE3EF7C7B1CF20E4437397639222001421553I73EF" TargetMode = "External"/>
	<Relationship Id="rId41" Type="http://schemas.openxmlformats.org/officeDocument/2006/relationships/hyperlink" Target="consultantplus://offline/ref=E6905758DE4408C65E091DEB533669E07A6932F5C06F1DB36E9AE3EF7C7B1CF20E4437397639222001421553I73EF" TargetMode = "External"/>
	<Relationship Id="rId42" Type="http://schemas.openxmlformats.org/officeDocument/2006/relationships/hyperlink" Target="consultantplus://offline/ref=E6905758DE4408C65E091DEB533669E07A673AFEC86F1DB36E9AE3EF7C7B1CF20E4437397639222001421553I73EF" TargetMode = "External"/>
	<Relationship Id="rId43" Type="http://schemas.openxmlformats.org/officeDocument/2006/relationships/hyperlink" Target="consultantplus://offline/ref=E6905758DE4408C65E091DEB533669E0736E3FF8C56340B966C3EFED7B7443F71B556F3670233D201E5E17517FI53AF" TargetMode = "External"/>
	<Relationship Id="rId44" Type="http://schemas.openxmlformats.org/officeDocument/2006/relationships/hyperlink" Target="consultantplus://offline/ref=E6905758DE4408C65E091DEB533669E0736E33FFC66C40B966C3EFED7B7443F71B556F3670233D201E5E17517FI53AF" TargetMode = "External"/>
	<Relationship Id="rId45" Type="http://schemas.openxmlformats.org/officeDocument/2006/relationships/hyperlink" Target="consultantplus://offline/ref=E6905758DE4408C65E091DEB533669E0736F3BF8C56040B966C3EFED7B7443F71B556F3670233D201E5E17517FI53AF" TargetMode = "External"/>
	<Relationship Id="rId46" Type="http://schemas.openxmlformats.org/officeDocument/2006/relationships/hyperlink" Target="consultantplus://offline/ref=E6905758DE4408C65E091DEB533669E0736C3BFDC96140B966C3EFED7B7443F71B556F3670233D201E5E17517FI53AF" TargetMode = "External"/>
	<Relationship Id="rId47" Type="http://schemas.openxmlformats.org/officeDocument/2006/relationships/hyperlink" Target="consultantplus://offline/ref=E6905758DE4408C65E091DEB533669E073693FFEC16440B966C3EFED7B7443F71B556F3670233D201E5E17517FI53AF" TargetMode = "External"/>
	<Relationship Id="rId48" Type="http://schemas.openxmlformats.org/officeDocument/2006/relationships/hyperlink" Target="consultantplus://offline/ref=E6905758DE4408C65E091DEB533669E0706E33FCC26C40B966C3EFED7B7443F71B556F3670233D201E5E17517FI53AF" TargetMode = "External"/>
	<Relationship Id="rId49" Type="http://schemas.openxmlformats.org/officeDocument/2006/relationships/hyperlink" Target="consultantplus://offline/ref=E6905758DE4408C65E091DEB533669E0766B3FFCC76540B966C3EFED7B7443F70955373A722726221C4B4100390CF4322EBBA817FCFAFCD0IB3DF" TargetMode = "External"/>
	<Relationship Id="rId50" Type="http://schemas.openxmlformats.org/officeDocument/2006/relationships/hyperlink" Target="consultantplus://offline/ref=E6905758DE4408C65E091DEB533669E0706C39FBC76140B966C3EFED7B7443F70955373A722723201D4B4100390CF4322EBBA817FCFAFCD0IB3DF" TargetMode = "External"/>
	<Relationship Id="rId51" Type="http://schemas.openxmlformats.org/officeDocument/2006/relationships/hyperlink" Target="consultantplus://offline/ref=E6905758DE4408C65E091DEB533669E0706C39FBC76140B966C3EFED7B7443F70955373A722723221B4B4100390CF4322EBBA817FCFAFCD0IB3DF" TargetMode = "External"/>
	<Relationship Id="rId52" Type="http://schemas.openxmlformats.org/officeDocument/2006/relationships/hyperlink" Target="consultantplus://offline/ref=E6905758DE4408C65E091DEB533669E0706C39FBC76140B966C3EFED7B7443F70955373A72272324194B4100390CF4322EBBA817FCFAFCD0IB3DF" TargetMode = "External"/>
	<Relationship Id="rId53" Type="http://schemas.openxmlformats.org/officeDocument/2006/relationships/hyperlink" Target="consultantplus://offline/ref=E6905758DE4408C65E091DEB533669E0706C39FBC76140B966C3EFED7B7443F70955373A722726291C4B4100390CF4322EBBA817FCFAFCD0IB3DF" TargetMode = "External"/>
	<Relationship Id="rId54" Type="http://schemas.openxmlformats.org/officeDocument/2006/relationships/hyperlink" Target="consultantplus://offline/ref=E6905758DE4408C65E091DEB533669E0706C39FBC76140B966C3EFED7B7443F70955373A722724261F4B4100390CF4322EBBA817FCFAFCD0IB3DF" TargetMode = "External"/>
	<Relationship Id="rId55" Type="http://schemas.openxmlformats.org/officeDocument/2006/relationships/hyperlink" Target="consultantplus://offline/ref=E6905758DE4408C65E091DEB533669E0716A3AF8C86240B966C3EFED7B7443F71B556F3670233D201E5E17517FI53AF" TargetMode = "External"/>
	<Relationship Id="rId56" Type="http://schemas.openxmlformats.org/officeDocument/2006/relationships/hyperlink" Target="consultantplus://offline/ref=E6905758DE4408C65E091DEB533669E0756B33F9C16F1DB36E9AE3EF7C7B1CF20E4437397639222001421553I73EF" TargetMode = "External"/>
	<Relationship Id="rId57" Type="http://schemas.openxmlformats.org/officeDocument/2006/relationships/hyperlink" Target="consultantplus://offline/ref=E6905758DE4408C65E091DEB533669E0766A32FAC76D40B966C3EFED7B7443F70955373A7A2328754E04405C7F5DE7312BBBAB16E0IF3BF" TargetMode = "External"/>
	<Relationship Id="rId58" Type="http://schemas.openxmlformats.org/officeDocument/2006/relationships/hyperlink" Target="consultantplus://offline/ref=E6905758DE4408C65E091DEB533669E0766A32FAC76D40B966C3EFED7B7443F70955373A762128754E04405C7F5DE7312BBBAB16E0IF3BF" TargetMode = "External"/>
	<Relationship Id="rId59" Type="http://schemas.openxmlformats.org/officeDocument/2006/relationships/hyperlink" Target="consultantplus://offline/ref=E6905758DE4408C65E091DEB533669E0766F3BFFC66440B966C3EFED7B7443F70955373A722723251D4B4100390CF4322EBBA817FCFAFCD0IB3DF" TargetMode = "External"/>
	<Relationship Id="rId60" Type="http://schemas.openxmlformats.org/officeDocument/2006/relationships/hyperlink" Target="consultantplus://offline/ref=E6905758DE4408C65E091DEB533669E0766F32FDC66140B966C3EFED7B7443F71B556F3670233D201E5E17517FI53AF" TargetMode = "External"/>
	<Relationship Id="rId61" Type="http://schemas.openxmlformats.org/officeDocument/2006/relationships/hyperlink" Target="consultantplus://offline/ref=E6905758DE4408C65E091DEB533669E0766F3AFCC26740B966C3EFED7B7443F70955373A722723201D4B4100390CF4322EBBA817FCFAFCD0IB3DF" TargetMode = "External"/>
	<Relationship Id="rId62" Type="http://schemas.openxmlformats.org/officeDocument/2006/relationships/hyperlink" Target="consultantplus://offline/ref=E6905758DE4408C65E091DEB533669E0716A3BFDC86140B966C3EFED7B7443F70955373A722723241A4B4100390CF4322EBBA817FCFAFCD0IB3DF" TargetMode = "External"/>
	<Relationship Id="rId63" Type="http://schemas.openxmlformats.org/officeDocument/2006/relationships/hyperlink" Target="consultantplus://offline/ref=E6905758DE4408C65E091DEB533669E0766D3CFCC86040B966C3EFED7B7443F70955373A722726271D4B4100390CF4322EBBA817FCFAFCD0IB3DF" TargetMode = "External"/>
	<Relationship Id="rId64" Type="http://schemas.openxmlformats.org/officeDocument/2006/relationships/hyperlink" Target="consultantplus://offline/ref=E6905758DE4408C65E091DEB533669E0766D3CFCC86040B966C3EFED7B7443F709553739702028754E04405C7F5DE7312BBBAB16E0IF3BF" TargetMode = "External"/>
	<Relationship Id="rId65" Type="http://schemas.openxmlformats.org/officeDocument/2006/relationships/hyperlink" Target="consultantplus://offline/ref=E6905758DE4408C65E091DEB533669E0766D3BFDC16040B966C3EFED7B7443F70955373A722722201F4B4100390CF4322EBBA817FCFAFCD0IB3DF" TargetMode = "External"/>
	<Relationship Id="rId66" Type="http://schemas.openxmlformats.org/officeDocument/2006/relationships/hyperlink" Target="consultantplus://offline/ref=E6905758DE4408C65E091DEB533669E0766D3BFDC16040B966C3EFED7B7443F70955373A72272120174B4100390CF4322EBBA817FCFAFCD0IB3DF" TargetMode = "External"/>
	<Relationship Id="rId67" Type="http://schemas.openxmlformats.org/officeDocument/2006/relationships/hyperlink" Target="consultantplus://offline/ref=E6905758DE4408C65E091DEB533669E0716C3CF8C46D40B966C3EFED7B7443F70955373A72272320194B4100390CF4322EBBA817FCFAFCD0IB3DF" TargetMode = "External"/>
	<Relationship Id="rId68" Type="http://schemas.openxmlformats.org/officeDocument/2006/relationships/hyperlink" Target="consultantplus://offline/ref=E6905758DE4408C65E091DEB533669E0716A3BFDC86140B966C3EFED7B7443F70955373A722722251D4B4100390CF4322EBBA817FCFAFCD0IB3DF" TargetMode = "External"/>
	<Relationship Id="rId69" Type="http://schemas.openxmlformats.org/officeDocument/2006/relationships/hyperlink" Target="consultantplus://offline/ref=E6905758DE4408C65E091DEB533669E0716A3BFDC86140B966C3EFED7B7443F70955373A722722251C4B4100390CF4322EBBA817FCFAFCD0IB3DF" TargetMode = "External"/>
	<Relationship Id="rId70" Type="http://schemas.openxmlformats.org/officeDocument/2006/relationships/hyperlink" Target="consultantplus://offline/ref=E6905758DE4408C65E091DEB533669E0716A3BFDC86140B966C3EFED7B7443F70955373A722722251B4B4100390CF4322EBBA817FCFAFCD0IB3DF" TargetMode = "External"/>
	<Relationship Id="rId71" Type="http://schemas.openxmlformats.org/officeDocument/2006/relationships/hyperlink" Target="consultantplus://offline/ref=E6905758DE4408C65E091DEB533669E0716A3BFDC86140B966C3EFED7B7443F70955373A722722271E4B4100390CF4322EBBA817FCFAFCD0IB3DF" TargetMode = "External"/>
	<Relationship Id="rId72" Type="http://schemas.openxmlformats.org/officeDocument/2006/relationships/hyperlink" Target="consultantplus://offline/ref=E6905758DE4408C65E091DEB533669E0716A3BFDC86140B966C3EFED7B7443F70955373A722722291C4B4100390CF4322EBBA817FCFAFCD0IB3DF" TargetMode = "External"/>
	<Relationship Id="rId73" Type="http://schemas.openxmlformats.org/officeDocument/2006/relationships/hyperlink" Target="consultantplus://offline/ref=E6905758DE4408C65E091DEB533669E0716A3BFDC86140B966C3EFED7B7443F70955373A722722281F4B4100390CF4322EBBA817FCFAFCD0IB3DF" TargetMode = "External"/>
	<Relationship Id="rId74" Type="http://schemas.openxmlformats.org/officeDocument/2006/relationships/hyperlink" Target="consultantplus://offline/ref=E6905758DE4408C65E091DEB533669E0716A3BFDC86140B966C3EFED7B7443F70955373A72272323184B4100390CF4322EBBA817FCFAFCD0IB3DF" TargetMode = "External"/>
	<Relationship Id="rId75" Type="http://schemas.openxmlformats.org/officeDocument/2006/relationships/hyperlink" Target="consultantplus://offline/ref=E6905758DE4408C65E091DEB533669E0716A3BFDC86140B966C3EFED7B7443F70955373A722722251B4B4100390CF4322EBBA817FCFAFCD0IB3DF" TargetMode = "External"/>
	<Relationship Id="rId76" Type="http://schemas.openxmlformats.org/officeDocument/2006/relationships/hyperlink" Target="consultantplus://offline/ref=E6905758DE4408C65E091DEB533669E0716A3BFDC86140B966C3EFED7B7443F70955373A722723291A4B4100390CF4322EBBA817FCFAFCD0IB3DF" TargetMode = "External"/>
	<Relationship Id="rId77" Type="http://schemas.openxmlformats.org/officeDocument/2006/relationships/hyperlink" Target="consultantplus://offline/ref=E6905758DE4408C65E091DEB533669E0706C39FBC76140B966C3EFED7B7443F70955373A72272B211D4B4100390CF4322EBBA817FCFAFCD0IB3DF" TargetMode = "External"/>
	<Relationship Id="rId78" Type="http://schemas.openxmlformats.org/officeDocument/2006/relationships/hyperlink" Target="consultantplus://offline/ref=E6905758DE4408C65E091DEB533669E0706C39FBC76140B966C3EFED7B7443F70955373A72272B211D4B4100390CF4322EBBA817FCFAFCD0IB3DF" TargetMode = "External"/>
	<Relationship Id="rId79" Type="http://schemas.openxmlformats.org/officeDocument/2006/relationships/hyperlink" Target="consultantplus://offline/ref=E6905758DE4408C65E091DEB533669E0766B3CF5C26040B966C3EFED7B7443F70955373A72272225164B4100390CF4322EBBA817FCFAFCD0IB3DF" TargetMode = "External"/>
	<Relationship Id="rId80" Type="http://schemas.openxmlformats.org/officeDocument/2006/relationships/hyperlink" Target="consultantplus://offline/ref=E6905758DE4408C65E091DEB533669E0766B3CF5C26040B966C3EFED7B7443F70955373A722721201A4B4100390CF4322EBBA817FCFAFCD0IB3DF" TargetMode = "External"/>
	<Relationship Id="rId81" Type="http://schemas.openxmlformats.org/officeDocument/2006/relationships/hyperlink" Target="consultantplus://offline/ref=E6905758DE4408C65E091DEB533669E0766B3CF5C26040B966C3EFED7B7443F70955373A722721291F4B4100390CF4322EBBA817FCFAFCD0IB3DF" TargetMode = "External"/>
	<Relationship Id="rId82" Type="http://schemas.openxmlformats.org/officeDocument/2006/relationships/hyperlink" Target="consultantplus://offline/ref=E6905758DE4408C65E091DEB533669E0766B3CF5C26040B966C3EFED7B7443F70955373A722720211E4B4100390CF4322EBBA817FCFAFCD0IB3DF" TargetMode = "External"/>
	<Relationship Id="rId83" Type="http://schemas.openxmlformats.org/officeDocument/2006/relationships/hyperlink" Target="consultantplus://offline/ref=E6905758DE4408C65E091DEB533669E0766B3CF5C26040B966C3EFED7B7443F70955373A72272025194B4100390CF4322EBBA817FCFAFCD0IB3DF" TargetMode = "External"/>
	<Relationship Id="rId84" Type="http://schemas.openxmlformats.org/officeDocument/2006/relationships/hyperlink" Target="consultantplus://offline/ref=E6905758DE4408C65E091DEB533669E0766B3CF5C26040B966C3EFED7B7443F70955373A722727231E4B4100390CF4322EBBA817FCFAFCD0IB3DF" TargetMode = "External"/>
	<Relationship Id="rId85" Type="http://schemas.openxmlformats.org/officeDocument/2006/relationships/hyperlink" Target="consultantplus://offline/ref=E6905758DE4408C65E091DEB533669E0766B3CF5C26040B966C3EFED7B7443F70955373A722727221F4B4100390CF4322EBBA817FCFAFCD0IB3DF" TargetMode = "External"/>
	<Relationship Id="rId86" Type="http://schemas.openxmlformats.org/officeDocument/2006/relationships/hyperlink" Target="consultantplus://offline/ref=E6905758DE4408C65E091DEB533669E0766B3CF5C26040B966C3EFED7B7443F70955373A722727251A4B4100390CF4322EBBA817FCFAFCD0IB3DF" TargetMode = "External"/>
	<Relationship Id="rId87" Type="http://schemas.openxmlformats.org/officeDocument/2006/relationships/hyperlink" Target="consultantplus://offline/ref=E6905758DE4408C65E091DEB533669E0766B3CF5C26040B966C3EFED7B7443F70955373A722726271F4B4100390CF4322EBBA817FCFAFCD0IB3DF" TargetMode = "External"/>
	<Relationship Id="rId88" Type="http://schemas.openxmlformats.org/officeDocument/2006/relationships/hyperlink" Target="consultantplus://offline/ref=E6905758DE4408C65E091DEB533669E0766B3CF5C26040B966C3EFED7B7443F70955373A72272627184B4100390CF4322EBBA817FCFAFCD0IB3DF" TargetMode = "External"/>
	<Relationship Id="rId89" Type="http://schemas.openxmlformats.org/officeDocument/2006/relationships/hyperlink" Target="consultantplus://offline/ref=E6905758DE4408C65E091DEB533669E0766B3CF5C26040B966C3EFED7B7443F70955373A72272629164B4100390CF4322EBBA817FCFAFCD0IB3DF" TargetMode = "External"/>
	<Relationship Id="rId90" Type="http://schemas.openxmlformats.org/officeDocument/2006/relationships/hyperlink" Target="consultantplus://offline/ref=E6905758DE4408C65E091DEB533669E0766B3CF5C26040B966C3EFED7B7443F70955373A722726281F4B4100390CF4322EBBA817FCFAFCD0IB3DF" TargetMode = "External"/>
	<Relationship Id="rId91" Type="http://schemas.openxmlformats.org/officeDocument/2006/relationships/hyperlink" Target="consultantplus://offline/ref=E6905758DE4408C65E091DEB533669E0716C3FFBC76740B966C3EFED7B7443F70955373A72272321194B4100390CF4322EBBA817FCFAFCD0IB3DF" TargetMode = "External"/>
	<Relationship Id="rId92" Type="http://schemas.openxmlformats.org/officeDocument/2006/relationships/hyperlink" Target="consultantplus://offline/ref=E6905758DE4408C65E091DEB533669E0716C3FFBC76740B966C3EFED7B7443F70955373A72272321194B4100390CF4322EBBA817FCFAFCD0IB3DF" TargetMode = "External"/>
	<Relationship Id="rId93" Type="http://schemas.openxmlformats.org/officeDocument/2006/relationships/hyperlink" Target="consultantplus://offline/ref=E6905758DE4408C65E091DEB533669E0716E3BFAC06040B966C3EFED7B7443F70955373A72222022194B4100390CF4322EBBA817FCFAFCD0IB3DF" TargetMode = "External"/>
	<Relationship Id="rId94" Type="http://schemas.openxmlformats.org/officeDocument/2006/relationships/hyperlink" Target="consultantplus://offline/ref=E6905758DE4408C65E091DEB533669E0716C3FFBC76740B966C3EFED7B7443F70955373A72272321194B4100390CF4322EBBA817FCFAFCD0IB3DF" TargetMode = "External"/>
	<Relationship Id="rId95" Type="http://schemas.openxmlformats.org/officeDocument/2006/relationships/hyperlink" Target="consultantplus://offline/ref=E6905758DE4408C65E091DEB533669E0716C3FFBC76740B966C3EFED7B7443F70955373A72272321194B4100390CF4322EBBA817FCFAFCD0IB3DF" TargetMode = "External"/>
	<Relationship Id="rId96" Type="http://schemas.openxmlformats.org/officeDocument/2006/relationships/hyperlink" Target="consultantplus://offline/ref=E6905758DE4408C65E091DEB533669E0706C39FBC76140B966C3EFED7B7443F70955373A722723201D4B4100390CF4322EBBA817FCFAFCD0IB3DF" TargetMode = "External"/>
	<Relationship Id="rId97" Type="http://schemas.openxmlformats.org/officeDocument/2006/relationships/image" Target="media/image2.wmf"/>
	<Relationship Id="rId98" Type="http://schemas.openxmlformats.org/officeDocument/2006/relationships/image" Target="media/image3.wmf"/>
	<Relationship Id="rId99" Type="http://schemas.openxmlformats.org/officeDocument/2006/relationships/hyperlink" Target="consultantplus://offline/ref=E6905758DE4408C65E091DEB533669E0706C39FBC76140B966C3EFED7B7443F70955373A722723201D4B4100390CF4322EBBA817FCFAFCD0IB3DF" TargetMode = "External"/>
	<Relationship Id="rId100" Type="http://schemas.openxmlformats.org/officeDocument/2006/relationships/hyperlink" Target="consultantplus://offline/ref=E6905758DE4408C65E091DEB533669E0706C39FBC76140B966C3EFED7B7443F70955373A722723201D4B4100390CF4322EBBA817FCFAFCD0IB3DF" TargetMode = "External"/>
	<Relationship Id="rId101" Type="http://schemas.openxmlformats.org/officeDocument/2006/relationships/hyperlink" Target="consultantplus://offline/ref=E6905758DE4408C65E091DEB533669E0706C39FBC76140B966C3EFED7B7443F70955373A722723201D4B4100390CF4322EBBA817FCFAFCD0IB3DF" TargetMode = "External"/>
	<Relationship Id="rId102" Type="http://schemas.openxmlformats.org/officeDocument/2006/relationships/hyperlink" Target="consultantplus://offline/ref=E6905758DE4408C65E091DEB533669E0716A3AF8C96D40B966C3EFED7B7443F71B556F3670233D201E5E17517FI53AF" TargetMode = "External"/>
	<Relationship Id="rId103" Type="http://schemas.openxmlformats.org/officeDocument/2006/relationships/hyperlink" Target="consultantplus://offline/ref=E6905758DE4408C65E091DEB533669E0716A3AF8C86240B966C3EFED7B7443F71B556F3670233D201E5E17517FI53AF" TargetMode = "External"/>
	<Relationship Id="rId104" Type="http://schemas.openxmlformats.org/officeDocument/2006/relationships/hyperlink" Target="consultantplus://offline/ref=E6905758DE4408C65E091DEB533669E0716A3BFDC86140B966C3EFED7B7443F70955373A722723251E4B4100390CF4322EBBA817FCFAFCD0IB3DF" TargetMode = "External"/>
	<Relationship Id="rId105" Type="http://schemas.openxmlformats.org/officeDocument/2006/relationships/image" Target="media/image4.wmf"/>
	<Relationship Id="rId106" Type="http://schemas.openxmlformats.org/officeDocument/2006/relationships/image" Target="media/image5.wmf"/>
	<Relationship Id="rId107" Type="http://schemas.openxmlformats.org/officeDocument/2006/relationships/image" Target="media/image6.wmf"/>
	<Relationship Id="rId108" Type="http://schemas.openxmlformats.org/officeDocument/2006/relationships/image" Target="media/image7.wmf"/>
	<Relationship Id="rId109" Type="http://schemas.openxmlformats.org/officeDocument/2006/relationships/image" Target="media/image8.wmf"/>
	<Relationship Id="rId110" Type="http://schemas.openxmlformats.org/officeDocument/2006/relationships/image" Target="media/image9.wmf"/>
	<Relationship Id="rId111" Type="http://schemas.openxmlformats.org/officeDocument/2006/relationships/hyperlink" Target="consultantplus://offline/ref=E6905758DE4408C65E091DEB533669E0706C39FBC76140B966C3EFED7B7443F70955373A722723201D4B4100390CF4322EBBA817FCFAFCD0IB3DF" TargetMode = "External"/>
	<Relationship Id="rId112" Type="http://schemas.openxmlformats.org/officeDocument/2006/relationships/hyperlink" Target="consultantplus://offline/ref=E6905758DE4408C65E091DEB533669E0716E3BFAC06040B966C3EFED7B7443F71B556F3670233D201E5E17517FI53AF" TargetMode = "External"/>
	<Relationship Id="rId113" Type="http://schemas.openxmlformats.org/officeDocument/2006/relationships/hyperlink" Target="consultantplus://offline/ref=E6905758DE4408C65E091DEB533669E0706E33FDC56640B966C3EFED7B7443F71B556F3670233D201E5E17517FI53AF" TargetMode = "External"/>
	<Relationship Id="rId114" Type="http://schemas.openxmlformats.org/officeDocument/2006/relationships/hyperlink" Target="consultantplus://offline/ref=E6905758DE4408C65E091DEB533669E0716F3CFDC46F1DB36E9AE3EF7C7B1CF20E4437397639222001421553I73EF" TargetMode = "External"/>
	<Relationship Id="rId115" Type="http://schemas.openxmlformats.org/officeDocument/2006/relationships/hyperlink" Target="consultantplus://offline/ref=E6905758DE4408C65E091DEB533669E0716F33F9C06240B966C3EFED7B7443F70955373E797372654A4D17556358F82E28A5ABI135F" TargetMode = "External"/>
	<Relationship Id="rId116" Type="http://schemas.openxmlformats.org/officeDocument/2006/relationships/hyperlink" Target="consultantplus://offline/ref=E6905758DE4408C65E091DEB533669E0706C39FBC76140B966C3EFED7B7443F70955373A722723201D4B4100390CF4322EBBA817FCFAFCD0IB3DF" TargetMode = "External"/>
	<Relationship Id="rId117" Type="http://schemas.openxmlformats.org/officeDocument/2006/relationships/image" Target="media/image10.wmf"/>
	<Relationship Id="rId118" Type="http://schemas.openxmlformats.org/officeDocument/2006/relationships/image" Target="media/image11.wmf"/>
	<Relationship Id="rId119" Type="http://schemas.openxmlformats.org/officeDocument/2006/relationships/hyperlink" Target="consultantplus://offline/ref=E6905758DE4408C65E091DEB533669E0716E3BFAC06040B966C3EFED7B7443F71B556F3670233D201E5E17517FI53AF" TargetMode = "External"/>
	<Relationship Id="rId120" Type="http://schemas.openxmlformats.org/officeDocument/2006/relationships/hyperlink" Target="consultantplus://offline/ref=E6905758DE4408C65E091DEB533669E0706E33FDC56640B966C3EFED7B7443F71B556F3670233D201E5E17517FI53AF" TargetMode = "External"/>
	<Relationship Id="rId121" Type="http://schemas.openxmlformats.org/officeDocument/2006/relationships/hyperlink" Target="consultantplus://offline/ref=E6905758DE4408C65E091DEB533669E0706C39FBC76140B966C3EFED7B7443F70955373A722723201D4B4100390CF4322EBBA817FCFAFCD0IB3DF" TargetMode = "External"/>
	<Relationship Id="rId122" Type="http://schemas.openxmlformats.org/officeDocument/2006/relationships/hyperlink" Target="consultantplus://offline/ref=E6905758DE4408C65E091DEB533669E0706C39FBC76140B966C3EFED7B7443F70955373A722726291C4B4100390CF4322EBBA817FCFAFCD0IB3DF" TargetMode = "External"/>
	<Relationship Id="rId123" Type="http://schemas.openxmlformats.org/officeDocument/2006/relationships/hyperlink" Target="consultantplus://offline/ref=E6905758DE4408C65E091DEB533669E0706C39FBC76140B966C3EFED7B7443F70955373A722724261F4B4100390CF4322EBBA817FCFAFCD0IB3DF" TargetMode = "External"/>
	<Relationship Id="rId124" Type="http://schemas.openxmlformats.org/officeDocument/2006/relationships/hyperlink" Target="consultantplus://offline/ref=E6905758DE4408C65E091DEB533669E0766B3FFCC76540B966C3EFED7B7443F70955373D712328754E04405C7F5DE7312BBBAB16E0IF3BF" TargetMode = "External"/>
	<Relationship Id="rId125" Type="http://schemas.openxmlformats.org/officeDocument/2006/relationships/hyperlink" Target="consultantplus://offline/ref=E6905758DE4408C65E091DEB533669E0716C32F8C36D40B966C3EFED7B7443F71B556F3670233D201E5E17517FI53AF" TargetMode = "External"/>
	<Relationship Id="rId126" Type="http://schemas.openxmlformats.org/officeDocument/2006/relationships/hyperlink" Target="consultantplus://offline/ref=E6905758DE4408C65E091DEB533669E0716C38FAC36040B966C3EFED7B7443F71B556F3670233D201E5E17517FI53AF" TargetMode = "External"/>
	<Relationship Id="rId127" Type="http://schemas.openxmlformats.org/officeDocument/2006/relationships/hyperlink" Target="consultantplus://offline/ref=E6905758DE4408C65E091DEB533669E0716832FBC86C40B966C3EFED7B7443F70955373A72272726174B4100390CF4322EBBA817FCFAFCD0IB3DF" TargetMode = "External"/>
	<Relationship Id="rId128" Type="http://schemas.openxmlformats.org/officeDocument/2006/relationships/hyperlink" Target="consultantplus://offline/ref=E6905758DE4408C65E091DEB533669E0716833FDC16540B966C3EFED7B7443F71B556F3670233D201E5E17517FI53AF" TargetMode = "External"/>
	<Relationship Id="rId129" Type="http://schemas.openxmlformats.org/officeDocument/2006/relationships/hyperlink" Target="consultantplus://offline/ref=E6905758DE4408C65E091DEB533669E0716A3AF8C86540B966C3EFED7B7443F70955373A722723201F4B4100390CF4322EBBA817FCFAFCD0IB3DF" TargetMode = "External"/>
	<Relationship Id="rId130" Type="http://schemas.openxmlformats.org/officeDocument/2006/relationships/hyperlink" Target="consultantplus://offline/ref=E6905758DE4408C65E091DEB533669E0716A3AF8C86540B966C3EFED7B7443F71B556F3670233D201E5E17517FI53AF" TargetMode = "External"/>
	<Relationship Id="rId131" Type="http://schemas.openxmlformats.org/officeDocument/2006/relationships/image" Target="media/image12.wmf"/>
	<Relationship Id="rId132" Type="http://schemas.openxmlformats.org/officeDocument/2006/relationships/image" Target="media/image13.wmf"/>
	<Relationship Id="rId133" Type="http://schemas.openxmlformats.org/officeDocument/2006/relationships/image" Target="media/image14.wmf"/>
	<Relationship Id="rId134" Type="http://schemas.openxmlformats.org/officeDocument/2006/relationships/image" Target="media/image15.wmf"/>
	<Relationship Id="rId135" Type="http://schemas.openxmlformats.org/officeDocument/2006/relationships/image" Target="media/image16.wmf"/>
	<Relationship Id="rId136" Type="http://schemas.openxmlformats.org/officeDocument/2006/relationships/image" Target="media/image17.wmf"/>
	<Relationship Id="rId137" Type="http://schemas.openxmlformats.org/officeDocument/2006/relationships/image" Target="media/image18.wmf"/>
	<Relationship Id="rId138" Type="http://schemas.openxmlformats.org/officeDocument/2006/relationships/image" Target="media/image19.wmf"/>
	<Relationship Id="rId139" Type="http://schemas.openxmlformats.org/officeDocument/2006/relationships/image" Target="media/image20.wmf"/>
	<Relationship Id="rId140" Type="http://schemas.openxmlformats.org/officeDocument/2006/relationships/image" Target="media/image21.wmf"/>
	<Relationship Id="rId141" Type="http://schemas.openxmlformats.org/officeDocument/2006/relationships/hyperlink" Target="consultantplus://offline/ref=E6905758DE4408C65E091DEB533669E0706C39FBC76140B966C3EFED7B7443F70955373A722723201D4B4100390CF4322EBBA817FCFAFCD0IB3DF" TargetMode = "External"/>
	<Relationship Id="rId142" Type="http://schemas.openxmlformats.org/officeDocument/2006/relationships/header" Target="header2.xml"/>
	<Relationship Id="rId143" Type="http://schemas.openxmlformats.org/officeDocument/2006/relationships/footer" Target="footer2.xml"/>
	<Relationship Id="rId144" Type="http://schemas.openxmlformats.org/officeDocument/2006/relationships/image" Target="media/image22.wmf"/>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Минприроды России от 11.08.2020 N 581
"Об утверждении методики разработки (расчета) и установления нормативов допустимых выбросов загрязняющих веществ в атмосферный воздух"
(Зарегистрировано в Минюсте России 30.12.2020 N 61944)</dc:title>
  <dcterms:created xsi:type="dcterms:W3CDTF">2023-11-24T05:55:06Z</dcterms:created>
</cp:coreProperties>
</file>