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089" w:type="dxa"/>
        <w:tblLayout w:type="fixed"/>
        <w:tblLook w:val="04A0" w:firstRow="1" w:lastRow="0" w:firstColumn="1" w:lastColumn="0" w:noHBand="0" w:noVBand="1"/>
      </w:tblPr>
      <w:tblGrid>
        <w:gridCol w:w="756"/>
        <w:gridCol w:w="5387"/>
        <w:gridCol w:w="6946"/>
      </w:tblGrid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Какова периодичность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обучения лиц по обращению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производства и потребления?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N 89-ФЗ (ред. от 28.12.2016) "Об отходах производства и потребления".</w:t>
            </w:r>
          </w:p>
          <w:p w:rsidR="00115875" w:rsidRPr="00650630" w:rsidRDefault="00115875" w:rsidP="009B33C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15. Требования к лицам, которые допущены к сбору, транспортированию, обработке, утилизации, обезвреживанию, размещению отходов I - IV классов опасности</w:t>
            </w:r>
          </w:p>
          <w:p w:rsidR="00115875" w:rsidRPr="00650630" w:rsidRDefault="00115875" w:rsidP="009B3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Федерального </w:t>
            </w:r>
            <w:hyperlink r:id="rId6" w:history="1">
              <w:r w:rsidRPr="006506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от 29.12.2015 N 404-ФЗ)</w:t>
            </w:r>
          </w:p>
          <w:p w:rsidR="00115875" w:rsidRPr="00650630" w:rsidRDefault="00115875" w:rsidP="005311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п.1.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      </w:r>
          </w:p>
          <w:p w:rsidR="00115875" w:rsidRPr="00650630" w:rsidRDefault="00115875" w:rsidP="005311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п.3. Профессиональное обучение и дополнительное профессиональное образование лиц, которые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      </w:r>
          </w:p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(ред. от 29.07.2017) "Об образовании в Российской Федерации":</w:t>
            </w:r>
          </w:p>
          <w:p w:rsidR="00115875" w:rsidRPr="00650630" w:rsidRDefault="00115875" w:rsidP="000B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01.01.2016г. Статья 76. </w:t>
            </w:r>
            <w:proofErr w:type="gramStart"/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</w:t>
            </w:r>
            <w:proofErr w:type="gramEnd"/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 образование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Федерального  закона от 29.12.2012 N 273-ФЗ  "Об образовании в Российской Федерации" дополнена  пунктом 17:</w:t>
            </w:r>
          </w:p>
          <w:p w:rsidR="00115875" w:rsidRPr="00650630" w:rsidRDefault="00115875" w:rsidP="009B33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п.17.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      </w:r>
          </w:p>
          <w:p w:rsidR="00115875" w:rsidRDefault="00115875" w:rsidP="000B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До настоящего  времени  указанная Типовая дополнительная профессиональная программа не утверждена.</w:t>
            </w:r>
          </w:p>
          <w:p w:rsidR="00115875" w:rsidRPr="00650630" w:rsidRDefault="00115875" w:rsidP="000B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15875" w:rsidRPr="00650630" w:rsidRDefault="00115875" w:rsidP="00AB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получить разрешение на выбросы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в атмосферный воздух на период строительства или ввода в эксплуатацию объекта?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только можно, но и нужно.</w:t>
            </w:r>
          </w:p>
          <w:p w:rsidR="00115875" w:rsidRPr="00650630" w:rsidRDefault="00115875" w:rsidP="002874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02.03.2000 N 183 (ред. от 14.07.2017) "О нормативах выбросов вредных (загрязняющих) веществ в атмосферный воздух и вредных физических воздействий на него", далее – Постановление 183: </w:t>
            </w:r>
          </w:p>
          <w:p w:rsidR="00115875" w:rsidRPr="00650630" w:rsidRDefault="00115875" w:rsidP="005311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9(10)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допускаются на основании разрешения, выданного территориальными органами Федеральной службы по надзору в сфере природопользования (в данном случае разрешение выдается одновременно с установлением нормативов предельно допустимых выбросов и временно согласованных выбросов).</w:t>
            </w:r>
            <w:proofErr w:type="gramEnd"/>
          </w:p>
          <w:p w:rsidR="00115875" w:rsidRPr="00650630" w:rsidRDefault="00115875" w:rsidP="00774DE1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подлежащие региональному государственному экологическому надзору, допускаются на основании разрешения, выданного органами исполнительной власти субъектов Российской Федерации, осуществляющими государственное управление в области охраны окружающей среды.</w:t>
            </w:r>
          </w:p>
          <w:p w:rsidR="00115875" w:rsidRPr="00650630" w:rsidRDefault="00115875" w:rsidP="00774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(п. 9(10)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="0055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506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14.07.2017 N 841)</w:t>
            </w:r>
          </w:p>
          <w:p w:rsidR="00115875" w:rsidRDefault="00115875" w:rsidP="005311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Согласно  п. 8 Постановления 183: разработка предельно допустимых и временно согласованных выбросов вредных (загрязняющих) веществ (за исключением радиоактивных веществ) в отношении строящихся, вводимых в эксплуатацию новых и (или) реконструированных объектов хозяйственной и иной деятельности  обеспечивается на основе проектной документации.</w:t>
            </w:r>
          </w:p>
          <w:p w:rsidR="00115875" w:rsidRDefault="00115875" w:rsidP="005311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75" w:rsidRPr="00650630" w:rsidRDefault="00115875" w:rsidP="005311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75" w:rsidRPr="00650630" w:rsidTr="00115875">
        <w:trPr>
          <w:trHeight w:val="4245"/>
        </w:trPr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Подлежит ли государственной экологической экспертизе проектная документация «Строительство очистных сооружений шахтовых, карьерных и ливневых сточных вод»?</w:t>
            </w:r>
          </w:p>
        </w:tc>
        <w:tc>
          <w:tcPr>
            <w:tcW w:w="6946" w:type="dxa"/>
          </w:tcPr>
          <w:p w:rsidR="00115875" w:rsidRPr="00650630" w:rsidRDefault="00115875" w:rsidP="0002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Объекты государственной экологической экспертизы определены Федеральным законом от 23.11.1995 N 174-ФЗ (ред. от 29.12.2015) "Об экологической экспертизе":</w:t>
            </w:r>
          </w:p>
          <w:p w:rsidR="00115875" w:rsidRPr="00650630" w:rsidRDefault="00115875" w:rsidP="00B45C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11. Объекты государственной экологической экспертизы федерального уровня</w:t>
            </w:r>
          </w:p>
          <w:p w:rsidR="00115875" w:rsidRPr="00650630" w:rsidRDefault="00115875" w:rsidP="00020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12. Объекты государственной экологической экспертизы регионального уровня.</w:t>
            </w:r>
          </w:p>
          <w:p w:rsidR="00115875" w:rsidRPr="00650630" w:rsidRDefault="00115875" w:rsidP="006506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однозначного ответа на данный вопрос одного названия проектной документации недостаточно. Как минимум необходимо ознакомиться с проектной документацией, которой, возможно предполагается наличие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объектов, используемых для обезвреживания и (или) размещения отходов I - V классов опасности, возможно строительство очистных сооружений предполагается осуществлять на землях особо охраняемых природных территорий и т.д.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освободить организацию от административной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если нарушение было устранено во время проведения проверки?</w:t>
            </w:r>
          </w:p>
        </w:tc>
        <w:tc>
          <w:tcPr>
            <w:tcW w:w="6946" w:type="dxa"/>
          </w:tcPr>
          <w:p w:rsidR="00115875" w:rsidRPr="00650630" w:rsidRDefault="00115875" w:rsidP="008E673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Однозначно нельзя ответить на этот вопрос. С одной стороны можно, если применить ст. 2.9 КоАП РФ «Возможностьосвобождения от административной ответственности прималозначительности административного правонарушения», согласно которой </w:t>
            </w:r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прималозначительности совершенного правонарушения, орган, </w:t>
            </w:r>
            <w:proofErr w:type="gramStart"/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должностное</w:t>
            </w:r>
            <w:proofErr w:type="gramEnd"/>
          </w:p>
          <w:p w:rsidR="00115875" w:rsidRPr="00650630" w:rsidRDefault="00115875" w:rsidP="008E6739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лицо, уполномоченные решить дело об административном правонарушении,</w:t>
            </w:r>
          </w:p>
          <w:p w:rsidR="00115875" w:rsidRPr="00650630" w:rsidRDefault="00115875" w:rsidP="008E67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могут ограничиться устным замечанием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15875" w:rsidRPr="00650630" w:rsidRDefault="00115875" w:rsidP="008E67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Малозначительность правонарушения имеет место при отсутствии существенной угрозы охраняемым общественным отношениям и определяется в каждом конкретном случае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5875" w:rsidRPr="00650630" w:rsidRDefault="00115875" w:rsidP="008E67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другой стороны, необходимо исходить из оценки конкретных обстоятельств совершения АП, в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зависимости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какой статьеКоАП РФ оно совершено.</w:t>
            </w:r>
          </w:p>
          <w:p w:rsidR="00115875" w:rsidRPr="00650630" w:rsidRDefault="00115875" w:rsidP="006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основании ч. 2 ст. 2.1 КоАП РФ юридическое лицо </w:t>
            </w:r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признается виновным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совершении административного правонарушения, </w:t>
            </w:r>
            <w:r w:rsidRPr="00650630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если будет установлено, что у него имелась возможность для соблюдения требований природоохранного законодательства, но данным лицом не были приняты все зависящие от него меры по их соблюдению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Какие методики использовать для расчета ущерба в проектной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если избежать его нельзя?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Вопрос относиться к расчетам ущерба при возможных авариях ГТС? А так не понятно, зачем в проектную документацию  включать нарушения природоохранного законодательства (ущербы почвам, водным объектам), да и кто же это позволит.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15875" w:rsidRPr="00650630" w:rsidRDefault="00115875" w:rsidP="00636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21.07.2014 N 219-ФЗ с 1 января 2018 года, вФедеральный закон от 23.11.1995 № 174-ФЗ «Об экологической экспертизе» вносятсяизменения, а именно статья 11 Объекты государственной экологической экспертизыфедерального уровня будет дополнена подпунктами 7.5 и 7.6 следующего содержания:</w:t>
            </w:r>
          </w:p>
          <w:p w:rsidR="00115875" w:rsidRPr="00650630" w:rsidRDefault="00115875" w:rsidP="00BF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7.5) проектная документация объектов капитального строительства, относящихся всоответствии с законодательством в области охраны окружающей среды к объектам Iкатегории, за исключением случаев, если такая проектная документация входит в составматериалов обоснования лицензий в соответствии с подпунктом 4 настоящей статьи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опрос: Должна ли быть проведена экспертиза проектной документации объектовкапитального строительства, если проектируемый объект, по своему назначению, выполняет функцию инфраструктурного сооружения производственного объекта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оответствующего признакам объекта первой категории, при этом сам проектируемыйобъект, не является объектом первой категории.</w:t>
            </w:r>
          </w:p>
          <w:p w:rsidR="00115875" w:rsidRPr="00650630" w:rsidRDefault="00115875" w:rsidP="00BF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Пример: проектная документация «Строительство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дизелевозного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депо», назначение объекта: доставка людей и грузов с дневной поверхности на участки подземных горных работ</w:t>
            </w:r>
          </w:p>
        </w:tc>
        <w:tc>
          <w:tcPr>
            <w:tcW w:w="6946" w:type="dxa"/>
          </w:tcPr>
          <w:p w:rsidR="00115875" w:rsidRPr="00650630" w:rsidRDefault="00115875" w:rsidP="002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 соответствии с п.4 ст.4.2 Федерального закона «Об охране окружающей среды»,  присвоение соответствующей категории конкретному объекту, оказывающему НВОС, осуществляется при его постановке на государственный учет.</w:t>
            </w:r>
          </w:p>
          <w:p w:rsidR="00115875" w:rsidRPr="00650630" w:rsidRDefault="00115875" w:rsidP="002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 соответствии с п.3 ст.4.2. Федерального закона «Об охране окружающей среды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ритерии, на основаниикоторых осуществляется отнесение объектов, оказывающих НВОС к объектам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утверждены Постановлением Правительства РФот 28.09.2015г. №1029.</w:t>
            </w:r>
          </w:p>
          <w:p w:rsidR="00115875" w:rsidRPr="00650630" w:rsidRDefault="00115875" w:rsidP="00D2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Если проектируемый объект является частью производственного объекта,  отнесенного к объектам  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или соответствующего признакам объекта первой категории, проведение государственной экологической экспертизы проектной  документации необходимо. 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15875" w:rsidRPr="00650630" w:rsidRDefault="00115875" w:rsidP="00B9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Подлежит ли государственной экологической экспертизе проектная документация объектов капитального строительства 1 категории?</w:t>
            </w:r>
          </w:p>
        </w:tc>
        <w:tc>
          <w:tcPr>
            <w:tcW w:w="6946" w:type="dxa"/>
          </w:tcPr>
          <w:p w:rsidR="00115875" w:rsidRPr="00650630" w:rsidRDefault="00115875" w:rsidP="007C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С 01.01.2018г. вступит в силу изменение, вносимое п.2 ст. 2 Федерального закона от 21.07.2014г.  №219-ФЗ, в соответствии с которым, проектная документация объектов капитального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в соответствии с законодательством к 1 категории, является объектом государственной экологической экспертизы, за исключением случаев, если такая проектная документация входит в состав материалов обоснования лицензий в соответствии с подпунктом 4 данной статьи.</w:t>
            </w:r>
          </w:p>
          <w:p w:rsidR="00115875" w:rsidRPr="00650630" w:rsidRDefault="00115875" w:rsidP="007C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115875" w:rsidRPr="00650630" w:rsidRDefault="00115875" w:rsidP="001A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ст. 30 Федерального закона N° 96-ФЗ от 04.05.1999 г. «Об охране атмосферноговоздуха» юридические лица</w:t>
            </w: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50630">
              <w:rPr>
                <w:rFonts w:ascii="Times New Roman" w:hAnsi="Times New Roman" w:cs="Times New Roman"/>
                <w:iCs/>
                <w:sz w:val="24"/>
                <w:szCs w:val="24"/>
              </w:rPr>
              <w:t>имеющие стационарные и передвижные источники обязаныосуществлять учет выбросов вредных (загрязняющих) веществ в атмосферный воздух и ихисточников. Приказом Росстата от 11.06.2014 г. № 430 отменены типовые формыпервичного учета выбросов ПОД-1, ПОД-2, ПОД-3. Вопрос: По какой форме осуществлятьучет выбросов вредных (загрязняющих) веществ в атмосферный воздух?</w:t>
            </w:r>
          </w:p>
        </w:tc>
        <w:tc>
          <w:tcPr>
            <w:tcW w:w="6946" w:type="dxa"/>
          </w:tcPr>
          <w:p w:rsidR="00115875" w:rsidRPr="00650630" w:rsidRDefault="00115875" w:rsidP="00A02D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30 Федерального  закона от 04.05.1999 N 96-ФЗ (ред. от 13.07.2015) "Об охране атмосферного воздуха", юридические лица и индивидуальные предприниматели, имеющие стационарные источники,  обязаны:</w:t>
            </w:r>
          </w:p>
          <w:p w:rsidR="00115875" w:rsidRPr="00650630" w:rsidRDefault="00115875" w:rsidP="004E5D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учет выбросов вредных (загрязняющих) веществ в атмосферный воздух и их источников, проводить производственный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нормативов выбросов вредных (загрязняющих) веществ в атмосферный воздух.</w:t>
            </w:r>
          </w:p>
          <w:p w:rsidR="00115875" w:rsidRPr="00650630" w:rsidRDefault="00115875" w:rsidP="004E5D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При этом закон не содержит указаний на то, что данный учет предприятия обязаны  вести в порядке, определенном каким-либо органом государственной власти.</w:t>
            </w:r>
          </w:p>
          <w:p w:rsidR="00115875" w:rsidRPr="00650630" w:rsidRDefault="00115875" w:rsidP="004E5D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Формы данных первичного учета выбросов вредных (загрязняющих) веществ в атмосферный воздух и их источников нормативно-правовыми документами в настоящее время не установлены.</w:t>
            </w:r>
          </w:p>
          <w:p w:rsidR="00115875" w:rsidRPr="00650630" w:rsidRDefault="00115875" w:rsidP="004E5D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При осуществлении учета выбросов вредных (загрязняющих) веществ необходимо учитывать:</w:t>
            </w:r>
          </w:p>
          <w:p w:rsidR="00115875" w:rsidRPr="00650630" w:rsidRDefault="00115875" w:rsidP="00F4420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9Правил исчисления и взимания платы за негативное воздействие на окружающую среду, утв. Постановлением Правительства РФ от 03.03.2017 N 255, объем или масса выбросов загрязняющих веществ, являющихся платежной базой, определяются на основе данных производственного экологического контроля. </w:t>
            </w:r>
          </w:p>
          <w:p w:rsidR="00115875" w:rsidRPr="00650630" w:rsidRDefault="00115875" w:rsidP="008E5F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2.    В соответствии с указаниями по заполнению формы федерального статистического наблюдения 2-тп (воздух), приведенными в приложении 2 к Приказу Росстата от 04.08.2016 N 387 (с изм. от 24.08.2017), количество загрязняющих веществ за отчетный период указывают на основании инструментальных замеров и расчетов, проводимых в соответствии с методиками,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утвержденными в установленном порядке.</w:t>
            </w:r>
          </w:p>
          <w:p w:rsidR="00115875" w:rsidRPr="00650630" w:rsidRDefault="00115875" w:rsidP="008E5F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115875" w:rsidRPr="00650630" w:rsidRDefault="00115875" w:rsidP="001A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630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п. 16 ст. 65 Водного кодекса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  <w:proofErr w:type="gramEnd"/>
            <w:r w:rsidRPr="00650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Вопрос: Кем выдаются и согласовываются данные условия?</w:t>
            </w:r>
          </w:p>
        </w:tc>
        <w:tc>
          <w:tcPr>
            <w:tcW w:w="6946" w:type="dxa"/>
          </w:tcPr>
          <w:p w:rsidR="00115875" w:rsidRPr="00650630" w:rsidRDefault="00115875" w:rsidP="00202B8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Пунктом 16 ст. 65 Водного Кодекса определено, что </w:t>
            </w:r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сооружениями, обеспечивающими охрану водных объектов от загрязнения, засорения, заиления и истощения вод, понимаются: </w:t>
            </w:r>
          </w:p>
          <w:p w:rsidR="00115875" w:rsidRPr="00650630" w:rsidRDefault="00115875" w:rsidP="00202B8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st99"/>
            <w:bookmarkEnd w:id="0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115875" w:rsidRPr="00650630" w:rsidRDefault="00115875" w:rsidP="00202B8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"/>
            <w:bookmarkEnd w:id="1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115875" w:rsidRPr="00650630" w:rsidRDefault="00115875" w:rsidP="00202B8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1"/>
            <w:bookmarkEnd w:id="2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локальные очистные сооружения для очистк</w:t>
            </w:r>
            <w:bookmarkStart w:id="3" w:name="_GoBack"/>
            <w:bookmarkEnd w:id="3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      </w:r>
          </w:p>
          <w:p w:rsidR="00115875" w:rsidRPr="00650630" w:rsidRDefault="00115875" w:rsidP="00202B8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2"/>
            <w:bookmarkEnd w:id="4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      </w:r>
          </w:p>
          <w:p w:rsidR="00115875" w:rsidRPr="00650630" w:rsidRDefault="00115875" w:rsidP="00202B8E">
            <w:pPr>
              <w:ind w:firstLine="5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Утвержденной проектной документацией также могут быть предусмотрены иные </w:t>
            </w:r>
            <w:proofErr w:type="spellStart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сооружения. Каких-либо дополнительных согласований для определения, какой тип </w:t>
            </w:r>
            <w:proofErr w:type="spellStart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водоохранного</w:t>
            </w:r>
            <w:proofErr w:type="spellEnd"/>
            <w:r w:rsidRPr="0065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 выбрать, не требуется.</w:t>
            </w:r>
          </w:p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15875" w:rsidRPr="00650630" w:rsidRDefault="00115875" w:rsidP="007C6C91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ЮК ГРЭС обратилось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 управление Росприроднадзора по Кемеровской области с заявлением о переоформлении лицензии на осуществление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сбору, транспортированию, обработке, утилизации, обезвреживанию и размещению отходов I-IV классов опасности. Обществу было отказано в переоформлении лицензии  в связи с отсутствием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положительного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заключения государственной экологической экспертизы проектной документации объектов размещения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 –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золошлакоотвалов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№1, №2.</w:t>
            </w:r>
          </w:p>
          <w:p w:rsidR="00115875" w:rsidRPr="00650630" w:rsidRDefault="00115875" w:rsidP="007C6C91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эксплуатирует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золошлакоотвалы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№1 и№2, которые были построены и введены в эксплуатацию в 1954 и 1972г.; переданы в собственность ОАО «Южно-Кузбасская ГРЭС» в 2006г. при выделении из ОАО «Кузбассэнерго» и неоднократно реконструировались.</w:t>
            </w:r>
          </w:p>
          <w:p w:rsidR="00115875" w:rsidRPr="00650630" w:rsidRDefault="00115875" w:rsidP="0086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75" w:rsidRPr="00650630" w:rsidRDefault="00115875" w:rsidP="0086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была разработана проектная документация «Корректировка проекта «Реконструкция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золошлакоотвала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№ 2 ОАО «Южно-Кузбасская ГРЭС» путем освобождения секций от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отходов», на которую получено положительное заключение государственной экспертизы от 06.02.2013 № 023-13/КРЭ-1692/04, после чего незамедлительно началась реконструкция объекта.</w:t>
            </w:r>
            <w:proofErr w:type="gramEnd"/>
          </w:p>
          <w:p w:rsidR="00115875" w:rsidRPr="00650630" w:rsidRDefault="00115875" w:rsidP="0086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Подпункт 7.2 статьи 11 Закона № 174-ФЗ однозначно устанавливает, что только с 01.07.2015г.  проектная документация на строительство, реконструкцию объектов, используемых для  размещения отходов I-V классов опасности,  являются объектами   государственной экологической экспертизы федерального уровня. До этого периода ни одним законодательным актом не устанавливается необходимость проведения государственной экологической экспертизы при реконструкции ранее введенных в эксплуатацию объектов.</w:t>
            </w:r>
          </w:p>
          <w:p w:rsidR="00115875" w:rsidRPr="00650630" w:rsidRDefault="00115875" w:rsidP="0086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Обязано ли Общество (ПАО «ЮК ГРЭС») проводить государственную экологическую экспертизу? Если да - на чем основана такая обязанность.</w:t>
            </w:r>
          </w:p>
        </w:tc>
        <w:tc>
          <w:tcPr>
            <w:tcW w:w="6946" w:type="dxa"/>
          </w:tcPr>
          <w:p w:rsidR="00115875" w:rsidRPr="00650630" w:rsidRDefault="00115875" w:rsidP="00C7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«ЮК ГРЭС»  в Управление с заявлением о переоформлении лицензии, предусматривающим включение в перечень выполняемых работ, составляющих лицензируемый вид деятельности, размещение отходов 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в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золоотвалах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№1 и №2. </w:t>
            </w:r>
          </w:p>
          <w:p w:rsidR="00115875" w:rsidRPr="00650630" w:rsidRDefault="00115875" w:rsidP="00C7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от 25.07.16 №947-рд Управление отказало в переоформлении лицензии в связи с несоответствием лицензиата лицензионным требованиям. </w:t>
            </w:r>
          </w:p>
          <w:p w:rsidR="00115875" w:rsidRPr="00650630" w:rsidRDefault="00115875" w:rsidP="00C7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«г» пункта 7 «Положения о лицензировании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сбору, транспортированию, обработке, утилизации, обезвреживанию, размещению отходов 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опасности, утвержденного Постановлением правительства РФ от 03.10.2015 №1062 , общество не представило положительное заключение ГЭЭ проектной документации объектов размещения отходов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золошлакоотвалов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№1 и №2, которые подвергнуты реконструкции.</w:t>
            </w:r>
          </w:p>
          <w:p w:rsidR="00115875" w:rsidRPr="00650630" w:rsidRDefault="00115875" w:rsidP="00C7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ПАО «Южно-Кузбасская ГРЭС» обратилось в суд.</w:t>
            </w:r>
          </w:p>
          <w:p w:rsidR="00115875" w:rsidRPr="00650630" w:rsidRDefault="00115875" w:rsidP="00C7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75" w:rsidRPr="00650630" w:rsidRDefault="00115875" w:rsidP="00C7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постановление арбитражного суда Западно-Сибирского округа (дело №А27-17441/2016 г. Тюмень). Вопреки решению Арбитражного суда КО и постановлению Седьмого арбитражного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апеляционного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суда, суд кассационной инстанции  принял новый судебный акт об отказе ПАО «Южно-Кузбасская ГРЭС» в удовлетворении заявленного требования.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7" w:type="dxa"/>
          </w:tcPr>
          <w:p w:rsidR="00115875" w:rsidRPr="00650630" w:rsidRDefault="00115875" w:rsidP="00860CA1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Последняя плановая проверка ПАО "Южный Кузбасс" Росприроднадзором проводилась в декабре 2013 года. Плановая проверка намечена на ноябрь 2017 года. Каким будет период, за который будет проводиться проверка?</w:t>
            </w:r>
          </w:p>
        </w:tc>
        <w:tc>
          <w:tcPr>
            <w:tcW w:w="6946" w:type="dxa"/>
          </w:tcPr>
          <w:p w:rsidR="00115875" w:rsidRPr="00650630" w:rsidRDefault="00115875" w:rsidP="004B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будет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календарные годы 2014, 2015, 2016, и истекший период 2017 года.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115875" w:rsidRPr="00650630" w:rsidRDefault="00115875" w:rsidP="00B96D91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ли включение в перечень, предполагаемых к сдаче рекультивированных земель, участков, подвергшихся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естественномусамозарастанию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. государственного надзора в области обращения с отходами?</w:t>
            </w:r>
          </w:p>
        </w:tc>
        <w:tc>
          <w:tcPr>
            <w:tcW w:w="6946" w:type="dxa"/>
          </w:tcPr>
          <w:p w:rsidR="00115875" w:rsidRPr="00650630" w:rsidRDefault="00115875" w:rsidP="0072782B">
            <w:pPr>
              <w:pStyle w:val="a8"/>
              <w:spacing w:before="0" w:beforeAutospacing="0" w:after="0" w:afterAutospacing="0"/>
              <w:jc w:val="both"/>
            </w:pPr>
            <w:r w:rsidRPr="00650630">
              <w:t xml:space="preserve">Однозначно нет, если </w:t>
            </w:r>
            <w:proofErr w:type="spellStart"/>
            <w:r w:rsidRPr="00650630">
              <w:t>естественноесамозарастание</w:t>
            </w:r>
            <w:proofErr w:type="spellEnd"/>
            <w:r w:rsidRPr="00650630">
              <w:t xml:space="preserve"> образовалось  не совместно с отходами.</w:t>
            </w:r>
          </w:p>
          <w:p w:rsidR="00115875" w:rsidRPr="00650630" w:rsidRDefault="00115875" w:rsidP="0072782B">
            <w:pPr>
              <w:pStyle w:val="a8"/>
              <w:spacing w:before="0" w:beforeAutospacing="0" w:after="0" w:afterAutospacing="0"/>
              <w:jc w:val="both"/>
            </w:pPr>
            <w:r w:rsidRPr="00650630">
              <w:t>С другой стороны - усматривается нарушение ст. 8.7 КоАП РФ:</w:t>
            </w:r>
          </w:p>
          <w:p w:rsidR="00115875" w:rsidRPr="00650630" w:rsidRDefault="00115875" w:rsidP="0072782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650630">
              <w:rPr>
                <w:color w:val="000000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инфраструктуры.</w:t>
            </w:r>
            <w:proofErr w:type="gramEnd"/>
          </w:p>
          <w:p w:rsidR="00115875" w:rsidRPr="00650630" w:rsidRDefault="00115875" w:rsidP="0072782B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50630">
              <w:rPr>
                <w:color w:val="000000"/>
              </w:rPr>
              <w:t>Необходимо выполнять требования проекта рекультивации, либо основного технического проекта.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115875" w:rsidRPr="00650630" w:rsidRDefault="00115875" w:rsidP="00202B8E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оформлять паспорт ПГУ и регистрировать его на системы, которые выбрасывают воздух в то же помещение, откуда он забирается на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очистку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и не имеют воздуховодов ни до пылеуловителя, ни после него?</w:t>
            </w:r>
          </w:p>
        </w:tc>
        <w:tc>
          <w:tcPr>
            <w:tcW w:w="6946" w:type="dxa"/>
          </w:tcPr>
          <w:p w:rsidR="00115875" w:rsidRPr="00650630" w:rsidRDefault="00115875" w:rsidP="0020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Системы газоочистки, очищающие воздух рабочей зоны, не подлежат экологическому надзору. Поскольку такие газоочистные установки не являются источниками выбросов загрязняющих веществ в атмосферу, требования ФЗ №96 «Об охране атмосферного воздуха» на них не распространяются.</w:t>
            </w:r>
          </w:p>
          <w:p w:rsidR="00115875" w:rsidRPr="00650630" w:rsidRDefault="00115875" w:rsidP="0020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обращаем внимание, что согласно разъяснением Минприроды РФ в настоящее время не требуется регистрация паспортов ПГУ в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рганах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 п.п. 3.5.-3.6. Правил эксплуатации установок очистки газа предусмотрено составление актов по результатам проверки их технического состояния и соответствия показателей их работы проектным.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ли оформить данные мероприятия одним актом? Будет ли являться таким актом протокол аккредитованной лаборатории по замеру показателей работы ПГУ?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Правилами эксплуатации установок очистки газа, утвержденных в 1983 году, предусматривалось, что акт оценки технического состояния и проверка показателей работы являются разными документами.</w:t>
            </w:r>
          </w:p>
          <w:p w:rsidR="00115875" w:rsidRPr="00650630" w:rsidRDefault="00115875" w:rsidP="004B4F23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с 1 июля 2017 года вступили в силу положения ч. 1 ст. 15 Федерального закона «О защите прав юридических лиц», согласно которым </w:t>
            </w: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должностные лица органа государственного контроля (надзора)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не вправе </w:t>
            </w: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проверять выполнение требований, установленных нормативными правовыми актами органов </w:t>
            </w: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СССР и РСФСР.</w:t>
            </w:r>
          </w:p>
          <w:p w:rsidR="00115875" w:rsidRPr="00650630" w:rsidRDefault="00115875" w:rsidP="004B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Таким образом, в настоящее время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Управлением не проверяется</w:t>
            </w: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исполнение требований Правил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эксплуатации установок очистки газа 1983 года.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115875" w:rsidRPr="00650630" w:rsidRDefault="00115875" w:rsidP="00860CA1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метана выполняется сертифицированными приборами контроля и в соответствии с планом специалистами ВГСО. Требуется ли наличие аттестата аккредитации для ВГСО?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67 Федерального закона «Об охране окружающей среды» лаборатории, осуществляющие производственный экологический контроль, должны иметь аттестат аккредитации. Если определение содержания метана выполняется в рамках производственного экологического контроля, то лаборатория, проводящая данные исследования, должна быть аккредитована.</w:t>
            </w:r>
          </w:p>
        </w:tc>
      </w:tr>
      <w:tr w:rsidR="00115875" w:rsidRPr="00650630" w:rsidTr="00115875"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115875" w:rsidRPr="00650630" w:rsidRDefault="00115875" w:rsidP="00860C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 на водопользование (Решение о предоставлении водного объекта в пользование для сброса сточных вод, НДС, разрешение на сброс) оформлены до утверждения НДВ и действуют на сегодняшний день. При этом, например, содержание сульфатов в очищенной воде меньше НДС, но больше НДВ. Может ли это расцениваться как нарушение законодательства при сбросе сточных вод в водный объект?</w:t>
            </w:r>
          </w:p>
        </w:tc>
        <w:tc>
          <w:tcPr>
            <w:tcW w:w="6946" w:type="dxa"/>
          </w:tcPr>
          <w:p w:rsidR="00115875" w:rsidRPr="00650630" w:rsidRDefault="00115875" w:rsidP="004B4F23">
            <w:pPr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1 ст. 22 Федерального закона «Об охране окружающей среды» </w:t>
            </w: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для природопользователей устанавливаются следующие нормативы допустимого воздействия на окружающую среду - нормативы допустимых сбросов веществ и микроорганизмов.</w:t>
            </w:r>
          </w:p>
          <w:p w:rsidR="00115875" w:rsidRPr="00650630" w:rsidRDefault="00115875" w:rsidP="004B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Таким образом, если количество сбрасываемых загрязняющих веществ не превышает установленные нормативы допустимого сброса, нарушение законодательства отсутствует.</w:t>
            </w:r>
          </w:p>
        </w:tc>
      </w:tr>
      <w:tr w:rsidR="00115875" w:rsidRPr="00650630" w:rsidTr="00115875">
        <w:trPr>
          <w:trHeight w:val="1676"/>
        </w:trPr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115875" w:rsidRPr="00650630" w:rsidRDefault="00115875" w:rsidP="00860C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Предприятием разработана и утверждена проектная документация в период, когда действующее законодательство не устанавливало требования о проведении экологической экспертизы, нужно ли ее получать в настоящее время?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Климовская И.А.</w:t>
            </w:r>
          </w:p>
        </w:tc>
      </w:tr>
      <w:tr w:rsidR="00115875" w:rsidRPr="00650630" w:rsidTr="00115875">
        <w:trPr>
          <w:trHeight w:val="276"/>
        </w:trPr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115875" w:rsidRPr="00650630" w:rsidRDefault="00115875" w:rsidP="00860CA1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Предприятием разработана и утверждена проектная документация в 2001 году. На нее получено положительное заключение государственной экологической экспертизы, срок действия которого закончился в 2006 году. Необходимо ли продлять действие положительного заключения ГЭЭ на проектную документацию, если предприятие продолжает работать по ней и в настоящее время? </w:t>
            </w:r>
          </w:p>
        </w:tc>
        <w:tc>
          <w:tcPr>
            <w:tcW w:w="694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Объекты государственной экологической экспертизы определены Федеральным законом от 23.11.1995 N 174-ФЗ (ред. от 29.12.2015) "Об экологической экспертизе":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11. Объекты государственной экологической экспертизы федерального уровня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12. Объекты государственной экологической экспертизы регионального уровня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8) Статьи 11 и подпунктом 5) статьи 12: 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государственной экологической экспертизы,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указанный в статье 11 или  в статье  12 и ранее получивший положительное заключение государственной экологической экспертизы, является </w:t>
            </w: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объектом государственной экологической экспертизы, в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случаях: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доработки такого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по замечаниям проведенной ранее государственной экологической экспертизы;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истечения срока действия положительного заключения государственной экологической экспертизы;</w:t>
            </w:r>
          </w:p>
          <w:p w:rsidR="00115875" w:rsidRPr="00650630" w:rsidRDefault="00115875" w:rsidP="00FB6F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документацию, получившую положительное заключение государственной экологической экспертизы.</w:t>
            </w:r>
          </w:p>
          <w:p w:rsidR="00115875" w:rsidRPr="00650630" w:rsidRDefault="00115875" w:rsidP="00213C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Таким образом, если указанная Вами проектная документация в настоящее время  в соответствии со статьями 11,12  Федерального  закона от 23.11.1995 N 174-ФЗ (ред. от 29.12.2015) "Об экологической экспертизе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о прежнемуявляется объектом государственной экологической экспертизы, проведение повторной </w:t>
            </w:r>
            <w:r w:rsidRPr="006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экологической экспертизы необходимо как минимум в связи с </w:t>
            </w: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истечением срока действия положительного заключения ранее проведенной государственной экологической экспертизы.</w:t>
            </w:r>
          </w:p>
          <w:p w:rsidR="00115875" w:rsidRPr="00650630" w:rsidRDefault="00115875" w:rsidP="006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 действия  положительного заключения ГЭЭ на проектную документацию нормативно -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окументами</w:t>
            </w:r>
            <w:proofErr w:type="spell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не предусмотрено.</w:t>
            </w:r>
          </w:p>
        </w:tc>
      </w:tr>
      <w:tr w:rsidR="00115875" w:rsidRPr="00650630" w:rsidTr="00115875">
        <w:trPr>
          <w:trHeight w:val="276"/>
        </w:trPr>
        <w:tc>
          <w:tcPr>
            <w:tcW w:w="756" w:type="dxa"/>
          </w:tcPr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5875" w:rsidRPr="00650630" w:rsidRDefault="00115875" w:rsidP="006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Источники выбросов в атмосферу эксплуатируются физическими лицами, осуществляющими хозяйственную деятельность без оформления индивидуального предпринимательства. Каким образом, можно принять меры контроля к данным лицам?</w:t>
            </w:r>
          </w:p>
          <w:p w:rsidR="00115875" w:rsidRPr="00650630" w:rsidRDefault="00115875" w:rsidP="006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НМУ необходимо осуществление </w:t>
            </w:r>
            <w:proofErr w:type="gramStart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506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предприятиями города непосредственно по факту.</w:t>
            </w:r>
          </w:p>
          <w:p w:rsidR="00115875" w:rsidRPr="00650630" w:rsidRDefault="00115875" w:rsidP="00860CA1">
            <w:pPr>
              <w:tabs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5875" w:rsidRPr="00650630" w:rsidRDefault="00115875" w:rsidP="006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Положениями Кодекса об административных правонарушениях предусмотрена ответственность за совершенные правонарушения, в том числе, и физических лиц. Полагаем возможным, в данном случае организовывать рейдовые мероприятия совместно с правоохранительными органами для выявления нарушителей, установления их личности и составления протоколов об административном правонарушении.</w:t>
            </w:r>
          </w:p>
          <w:p w:rsidR="00115875" w:rsidRPr="00650630" w:rsidRDefault="0011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85E" w:rsidRPr="00650630" w:rsidRDefault="0078785E">
      <w:pPr>
        <w:rPr>
          <w:rFonts w:ascii="Times New Roman" w:hAnsi="Times New Roman" w:cs="Times New Roman"/>
          <w:sz w:val="24"/>
          <w:szCs w:val="24"/>
        </w:rPr>
      </w:pPr>
    </w:p>
    <w:sectPr w:rsidR="0078785E" w:rsidRPr="00650630" w:rsidSect="0065063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06A"/>
    <w:multiLevelType w:val="hybridMultilevel"/>
    <w:tmpl w:val="233AAC68"/>
    <w:lvl w:ilvl="0" w:tplc="F7006E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2">
    <w:nsid w:val="24411432"/>
    <w:multiLevelType w:val="hybridMultilevel"/>
    <w:tmpl w:val="56D803CE"/>
    <w:lvl w:ilvl="0" w:tplc="BC021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80625C"/>
    <w:multiLevelType w:val="hybridMultilevel"/>
    <w:tmpl w:val="838C2A72"/>
    <w:lvl w:ilvl="0" w:tplc="F7006E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E82944"/>
    <w:multiLevelType w:val="hybridMultilevel"/>
    <w:tmpl w:val="233AAC68"/>
    <w:lvl w:ilvl="0" w:tplc="F7006E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85E"/>
    <w:rsid w:val="0002061E"/>
    <w:rsid w:val="0003795E"/>
    <w:rsid w:val="000B6471"/>
    <w:rsid w:val="000E01DD"/>
    <w:rsid w:val="00115875"/>
    <w:rsid w:val="001A4B27"/>
    <w:rsid w:val="001B71F1"/>
    <w:rsid w:val="00202B8E"/>
    <w:rsid w:val="00206F7E"/>
    <w:rsid w:val="00213CCF"/>
    <w:rsid w:val="00260BC4"/>
    <w:rsid w:val="00260D82"/>
    <w:rsid w:val="002874BD"/>
    <w:rsid w:val="002D7F12"/>
    <w:rsid w:val="002E14E3"/>
    <w:rsid w:val="00321966"/>
    <w:rsid w:val="003503FB"/>
    <w:rsid w:val="00392317"/>
    <w:rsid w:val="0040330C"/>
    <w:rsid w:val="004B4F23"/>
    <w:rsid w:val="004B53C3"/>
    <w:rsid w:val="004B695B"/>
    <w:rsid w:val="004E5D35"/>
    <w:rsid w:val="00531104"/>
    <w:rsid w:val="005503D5"/>
    <w:rsid w:val="0062347F"/>
    <w:rsid w:val="00624D8A"/>
    <w:rsid w:val="00636FE1"/>
    <w:rsid w:val="00650630"/>
    <w:rsid w:val="00667ACA"/>
    <w:rsid w:val="00670095"/>
    <w:rsid w:val="0071012B"/>
    <w:rsid w:val="00726238"/>
    <w:rsid w:val="0072782B"/>
    <w:rsid w:val="00766CAD"/>
    <w:rsid w:val="00774DE1"/>
    <w:rsid w:val="0078785E"/>
    <w:rsid w:val="007C2309"/>
    <w:rsid w:val="007C6C91"/>
    <w:rsid w:val="007F7C49"/>
    <w:rsid w:val="008141F9"/>
    <w:rsid w:val="008349D2"/>
    <w:rsid w:val="00846F22"/>
    <w:rsid w:val="00860CA1"/>
    <w:rsid w:val="00870446"/>
    <w:rsid w:val="008A299D"/>
    <w:rsid w:val="008A2BBB"/>
    <w:rsid w:val="008A4007"/>
    <w:rsid w:val="008E5F8D"/>
    <w:rsid w:val="008E6739"/>
    <w:rsid w:val="009069DA"/>
    <w:rsid w:val="009729E7"/>
    <w:rsid w:val="00985C22"/>
    <w:rsid w:val="009B33C6"/>
    <w:rsid w:val="00A02D6F"/>
    <w:rsid w:val="00A4078F"/>
    <w:rsid w:val="00AB5903"/>
    <w:rsid w:val="00AB71DD"/>
    <w:rsid w:val="00AD4815"/>
    <w:rsid w:val="00B45C4D"/>
    <w:rsid w:val="00B96D91"/>
    <w:rsid w:val="00BF50B6"/>
    <w:rsid w:val="00C741A5"/>
    <w:rsid w:val="00C815E5"/>
    <w:rsid w:val="00CF5BC1"/>
    <w:rsid w:val="00D27041"/>
    <w:rsid w:val="00D5771F"/>
    <w:rsid w:val="00DC4910"/>
    <w:rsid w:val="00DF520B"/>
    <w:rsid w:val="00F06B98"/>
    <w:rsid w:val="00F44208"/>
    <w:rsid w:val="00FB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CA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9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069DA"/>
    <w:rPr>
      <w:b/>
      <w:bCs/>
    </w:rPr>
  </w:style>
  <w:style w:type="paragraph" w:styleId="a8">
    <w:name w:val="Normal (Web)"/>
    <w:basedOn w:val="a"/>
    <w:uiPriority w:val="99"/>
    <w:unhideWhenUsed/>
    <w:rsid w:val="0062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st">
    <w:name w:val="chast"/>
    <w:basedOn w:val="a0"/>
    <w:rsid w:val="00624D8A"/>
  </w:style>
  <w:style w:type="paragraph" w:customStyle="1" w:styleId="vle">
    <w:name w:val="vle"/>
    <w:basedOn w:val="a"/>
    <w:rsid w:val="0062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0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CA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D9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069DA"/>
    <w:rPr>
      <w:b/>
      <w:bCs/>
    </w:rPr>
  </w:style>
  <w:style w:type="paragraph" w:styleId="a8">
    <w:name w:val="Normal (Web)"/>
    <w:basedOn w:val="a"/>
    <w:uiPriority w:val="99"/>
    <w:unhideWhenUsed/>
    <w:rsid w:val="0062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st">
    <w:name w:val="chast"/>
    <w:basedOn w:val="a0"/>
    <w:rsid w:val="00624D8A"/>
  </w:style>
  <w:style w:type="paragraph" w:customStyle="1" w:styleId="vle">
    <w:name w:val="vle"/>
    <w:basedOn w:val="a"/>
    <w:rsid w:val="0062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0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9780D91C12F0936047B73559132F834356CCF7EC0FD01280DE1962F51642CC8899BCBE5BD50322zEb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D772CF7F2D2C5F1241FAFBDFC8FDC2EEA86E4DD00E118C969B61DDE28C963F2D3C6B52AAE86FEEW0w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 Надежда Сергеевна</dc:creator>
  <cp:lastModifiedBy>Береснева Маргарита Геннадьев</cp:lastModifiedBy>
  <cp:revision>8</cp:revision>
  <cp:lastPrinted>2017-10-05T01:15:00Z</cp:lastPrinted>
  <dcterms:created xsi:type="dcterms:W3CDTF">2017-10-04T17:45:00Z</dcterms:created>
  <dcterms:modified xsi:type="dcterms:W3CDTF">2017-10-09T06:42:00Z</dcterms:modified>
</cp:coreProperties>
</file>