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ЦЕНТРАЛЬНО-ЧЕРНОЗЕМНОЕ МЕЖРЕГИОНАЛЬНОЕ УПРАВЛЕНИЕ РОСПРИРОДНАДЗОРА </w:t>
      </w:r>
    </w:p>
    <w:p>
      <w:pPr>
        <w:tabs>
          <w:tab w:val="left" w:pos="5355"/>
          <w:tab w:val="right" w:pos="15136"/>
        </w:tabs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 период </w:t>
      </w:r>
      <w:bookmarkStart w:id="0" w:name="_Hlk131422638"/>
      <w:bookmarkEnd w:id="0"/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09.02.2026-13.02.2026</w:t>
      </w:r>
    </w:p>
    <w:p>
      <w:pPr>
        <w:jc w:val="both"/>
      </w:pPr>
    </w:p>
    <w:tbl>
      <w:tblPr>
        <w:tblStyle w:val="12"/>
        <w:tblW w:w="14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384"/>
        <w:gridCol w:w="64"/>
        <w:gridCol w:w="3196"/>
        <w:gridCol w:w="64"/>
        <w:gridCol w:w="1"/>
        <w:gridCol w:w="2043"/>
        <w:gridCol w:w="19"/>
        <w:gridCol w:w="63"/>
        <w:gridCol w:w="2492"/>
        <w:gridCol w:w="21"/>
        <w:gridCol w:w="38"/>
        <w:gridCol w:w="2"/>
        <w:gridCol w:w="3399"/>
        <w:gridCol w:w="3"/>
        <w:gridCol w:w="29"/>
        <w:gridCol w:w="1964"/>
        <w:gridCol w:w="22"/>
      </w:tblGrid>
      <w:tr>
        <w:trPr>
          <w:jc w:val="center"/>
          <w:trHeight w:val="10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tcW w:w="3260" w:type="dxa"/>
            <w:gridSpan w:val="2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4"/>
            <w:noWrap w:val="false"/>
            <w:vAlign w:val="center"/>
          </w:tcPr>
          <w:p>
            <w:pPr>
              <w:widowControl w:val="off"/>
              <w:ind w:right="3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Период проведения проверки</w:t>
            </w:r>
          </w:p>
          <w:p>
            <w:pPr>
              <w:widowControl w:val="off"/>
              <w:ind w:right="3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Вид проверки (плановая, внеплановая, рейд)</w:t>
            </w:r>
          </w:p>
          <w:p>
            <w:pPr>
              <w:widowControl w:val="off"/>
              <w:ind w:hanging="1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5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Основание проведения проверки</w:t>
            </w:r>
          </w:p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(дата, номер)</w:t>
            </w:r>
          </w:p>
        </w:tc>
        <w:tc>
          <w:tcPr>
            <w:tcW w:w="1986" w:type="dxa"/>
            <w:gridSpan w:val="2"/>
            <w:noWrap w:val="false"/>
            <w:vAlign w:val="center"/>
          </w:tcPr>
          <w:p>
            <w:pPr>
              <w:widowControl w:val="off"/>
              <w:ind w:right="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Стадия проверки (проведенные, начатые)</w:t>
            </w:r>
          </w:p>
        </w:tc>
      </w:tr>
      <w:tr>
        <w:trPr>
          <w:jc w:val="center"/>
          <w:trHeight w:val="20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260" w:type="dxa"/>
            <w:gridSpan w:val="2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</w:p>
        </w:tc>
        <w:tc>
          <w:tcPr>
            <w:tcW w:w="2127" w:type="dxa"/>
            <w:gridSpan w:val="4"/>
            <w:noWrap w:val="false"/>
            <w:vAlign w:val="center"/>
          </w:tcPr>
          <w:p>
            <w:pPr>
              <w:widowControl w:val="off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</w:p>
        </w:tc>
        <w:tc>
          <w:tcPr>
            <w:tcW w:w="2576" w:type="dxa"/>
            <w:gridSpan w:val="3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</w:p>
        </w:tc>
        <w:tc>
          <w:tcPr>
            <w:tcW w:w="3471" w:type="dxa"/>
            <w:gridSpan w:val="5"/>
            <w:noWrap w:val="false"/>
            <w:vAlign w:val="center"/>
          </w:tcPr>
          <w:p>
            <w:pPr>
              <w:widowControl w:val="off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</w:p>
        </w:tc>
        <w:tc>
          <w:tcPr>
            <w:tcW w:w="1986" w:type="dxa"/>
            <w:gridSpan w:val="2"/>
            <w:noWrap w:val="false"/>
            <w:vAlign w:val="center"/>
          </w:tcPr>
          <w:p>
            <w:pPr>
              <w:widowControl w:val="off"/>
              <w:ind w:right="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</w:p>
        </w:tc>
      </w:tr>
      <w:tr>
        <w:trPr>
          <w:jc w:val="center"/>
          <w:trHeight w:val="43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04" w:type="dxa"/>
            <w:gridSpan w:val="17"/>
            <w:shd w:val="clear" w:color="auto" w:fill="auto"/>
            <w:noWrap w:val="false"/>
            <w:vAlign w:val="center"/>
          </w:tcPr>
          <w:p>
            <w:pPr>
              <w:widowControl w:val="off"/>
              <w:ind w:right="4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Воронежская область</w:t>
            </w:r>
          </w:p>
        </w:tc>
      </w:tr>
      <w:tr>
        <w:trPr>
          <w:jc w:val="center"/>
          <w:trHeight w:val="133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"/>
                <w:ilvl w:val="0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"Ника-Петротэк"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27.01.2026-09.02.2026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выездная проверка</w:t>
            </w:r>
          </w:p>
        </w:tc>
        <w:tc>
          <w:tcPr>
            <w:tcW w:w="347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Выписка о проведении КНМ от 23.01.2026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проведена</w:t>
            </w:r>
          </w:p>
        </w:tc>
      </w:tr>
      <w:tr>
        <w:trPr>
          <w:jc w:val="center"/>
          <w:trHeight w:val="3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"/>
                <w:ilvl w:val="0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"Новострой"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03.02.2026-16.02.2026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выездная проверка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Выписка о проведении КНМ от 02.02.2026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  <w:trHeight w:val="3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"/>
                <w:ilvl w:val="0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Фирма "Водокомфорт"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05.02.2026-18.02.2026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выездная проверка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Выписка о проведении КНМ от 04.02.2026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  <w:trHeight w:val="3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"/>
                <w:ilvl w:val="0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уч. 1 " земельный участок с кадастровым номером 36:34:0508001:34663 площадью 10 874 кв.м по проспекту Патриотов;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 36:34:0508001:34652 площадью 92 070 кв.м по проспекту Патриотов;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 2 - земельный участок с кадастровым номером 36:34:0106032:4685 площадью 46 472 кв.м по ул. Обручева;- земельный участок с кадастровым номером 36:34:0106032;10698 площадью 43 400 кв.м по ул. Обручева;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 3 земельный участок с кадастровым номером 36:34:0000000:53799 площадью 18 340 кв.м по ул. Обручева.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выездное обследование</w:t>
            </w:r>
          </w:p>
        </w:tc>
        <w:tc>
          <w:tcPr>
            <w:tcW w:w="347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Задание от 09.02.2026 № 08/во/В (план-график Управления)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</w:tc>
      </w:tr>
      <w:tr>
        <w:trPr>
          <w:jc w:val="center"/>
          <w:trHeight w:val="3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"/>
                <w:ilvl w:val="0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территория водоохранной зоны Воронежского водохранилища и примыкающая к ней территория в районе домовладения № 49А по ул. Димитрова г.о.г. Воронеж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выездное обследование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Задание от 10.02.2026 № 09/во/В (вх. № 16-В/35 от 28.01.2026)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  <w:trHeight w:val="33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04" w:type="dxa"/>
            <w:gridSpan w:val="17"/>
            <w:tcBorders>
              <w:top w:val="single" w:color="auto" w:sz="4" w:space="0"/>
              <w:left w:val="single" w:color="auto" w:sz="4" w:space="0"/>
              <w:bottom w:val="none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bookmarkStart w:id="1" w:name="_Hlk77606277"/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Белгородская область</w:t>
            </w:r>
          </w:p>
        </w:tc>
      </w:tr>
      <w:tr>
        <w:trPr>
          <w:jc w:val="center"/>
          <w:trHeight w:val="111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</w:tcPr>
          <w:p>
            <w:pPr>
              <w:numPr>
                <w:numId w:val="2"/>
                <w:ilvl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АО «Стойленский ГОК», Белгородская обл, г Старый Оскол, промзона ЮЗ п/р; Объект НВОС: «9-й водосбросной штрек (код объекта: 14-0136-004442-П)». Номер ЕРКНМ: 36260021000220712885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206"/>
              <w:widowControl w:val="off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10.02.2026 - 20.02.2026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Требование генеральной прокуратуры № 30-25-2026/Ид3734-26 от 05.02.2026 г.</w:t>
            </w:r>
          </w:p>
        </w:tc>
        <w:tc>
          <w:tcPr>
            <w:tcW w:w="20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33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</w:tcPr>
          <w:p>
            <w:pPr>
              <w:numPr>
                <w:numId w:val="2"/>
                <w:ilvl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АО «Стойленский ГОК», Белгородская обл, г Старый Оскол, промзона ЮЗ п/р; Объект НВОС: «ОАО "Стойленский ГОК" Дренажная шахта. Реконструкция подземного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дренажного комплекса" Сбойка с ВС-1 (код объекта: 14-0136-004466-П)». Номер ЕРКНМ: 36260021000220714778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206"/>
              <w:widowControl w:val="off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10.02.2026 - 20.02.2026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Требование генеральной прокуратуры № 30-25-2026/Ид3734-26 от 05.02.2026 г.</w:t>
            </w:r>
          </w:p>
        </w:tc>
        <w:tc>
          <w:tcPr>
            <w:tcW w:w="20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33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</w:tcPr>
          <w:p>
            <w:pPr>
              <w:numPr>
                <w:numId w:val="2"/>
                <w:ilvl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«ТК «Экотранс», Белгородская обл., г. Белгород, р-н старой городской свалки; Объект НВОС: «Полигон ТБО (Белгородский район) (код объекта: 14-0131-000321-П)». Номер ЕРКНМ: 36260021000220716842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206"/>
              <w:widowControl w:val="off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10.02.2026 - 20.02.2026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Требование генеральной прокуратуры № 30-25-2026/Ид3734-26 от 05.02.2026 г.</w:t>
            </w:r>
          </w:p>
        </w:tc>
        <w:tc>
          <w:tcPr>
            <w:tcW w:w="20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33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</w:tcPr>
          <w:p>
            <w:pPr>
              <w:numPr>
                <w:numId w:val="2"/>
                <w:ilvl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АО «РИР ЭНЕРГО», г. Белгород, улица Северо-Донецкая, дом 2; Объект НВОС: «Белгородская ТЭЦ Производственного подразделения "Белгородская ТЭЦ" филиала АО "Квадра" - "Белгородская генерация" (код объекта: 14-0131-000233-П)». Номер ЕРКНМ: 36260021000220712766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206"/>
              <w:widowControl w:val="off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10.02.2026 - 20.02.2026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Требование генеральной прокуратуры № 30-25-2026/Ид3734-26 от 05.02.2026 г.</w:t>
            </w:r>
          </w:p>
        </w:tc>
        <w:tc>
          <w:tcPr>
            <w:tcW w:w="20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33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</w:tcPr>
          <w:p>
            <w:pPr>
              <w:numPr>
                <w:numId w:val="2"/>
                <w:ilvl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«ТБОСЕРВИС», Белгородская обл., г. Губкин, Южные Коробри, район балки Грачев Лог; объект НВОС: «Полигон ТБО (код объекта: 14-0131-000119-П)». Номер ЕРКНМ: 36260021000220680754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206"/>
              <w:widowControl w:val="off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12.02.2026-26.02.2026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Поручение правительства № ДП-П11-32936 от 05.09.2025 г.</w:t>
            </w:r>
          </w:p>
        </w:tc>
        <w:tc>
          <w:tcPr>
            <w:tcW w:w="20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33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04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ffffff" w:fill="ffffff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  <w:trHeight w:val="10" w:hRule="exact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04" w:type="dxa"/>
            <w:gridSpan w:val="17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Курская область</w:t>
            </w:r>
          </w:p>
        </w:tc>
      </w:tr>
      <w:tr>
        <w:trPr>
          <w:jc w:val="center"/>
          <w:trHeight w:val="20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 w:val="off"/>
              <w:ind w:left="524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jc w:val="center"/>
          <w:trHeight w:val="3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04" w:type="dxa"/>
            <w:gridSpan w:val="17"/>
            <w:tcBorders>
              <w:top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Липецкая область</w:t>
            </w:r>
          </w:p>
        </w:tc>
      </w:tr>
      <w:tr>
        <w:trPr>
          <w:gridAfter w:val="1"/>
          <w:jc w:val="center"/>
          <w:trHeight w:val="21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3"/>
                <w:ilvl w:val="0"/>
              </w:numPr>
              <w:ind w:left="306" w:right="-108" w:firstLine="5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"Липецкий силикатный завод"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30.01.2026-12.02.2026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 проверка</w:t>
            </w:r>
          </w:p>
        </w:tc>
        <w:tc>
          <w:tcPr>
            <w:tcW w:w="349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Решение от 28.01.2026 №3/в/Л (Квотирование)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проведено</w:t>
            </w:r>
          </w:p>
        </w:tc>
      </w:tr>
      <w:tr>
        <w:trPr>
          <w:gridAfter w:val="1"/>
          <w:jc w:val="center"/>
          <w:trHeight w:val="21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3"/>
                <w:ilvl w:val="0"/>
              </w:numPr>
              <w:ind w:left="306" w:right="-108" w:firstLine="5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"Чистый город"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03.02.2026 - 16.02.2026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 проверка</w:t>
            </w:r>
          </w:p>
        </w:tc>
        <w:tc>
          <w:tcPr>
            <w:tcW w:w="349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Решение от 03.02.2026 №4/в/Л (ЭКОЗОС)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gridAfter w:val="1"/>
          <w:jc w:val="center"/>
          <w:trHeight w:val="21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3"/>
                <w:ilvl w:val="0"/>
              </w:numPr>
              <w:ind w:left="306" w:right="-108" w:firstLine="5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"Чистый город"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06.02.2026 - 19.02.2026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 проверка</w:t>
            </w:r>
          </w:p>
        </w:tc>
        <w:tc>
          <w:tcPr>
            <w:tcW w:w="349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Решение от 10.02.2026 №6/в/Л (ЭКОЗОС)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начато</w:t>
            </w:r>
          </w:p>
        </w:tc>
      </w:tr>
      <w:tr>
        <w:trPr>
          <w:jc w:val="center"/>
          <w:trHeight w:val="31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04" w:type="dxa"/>
            <w:gridSpan w:val="17"/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Тамбовская область</w:t>
            </w:r>
          </w:p>
        </w:tc>
      </w:tr>
      <w:tr>
        <w:trPr>
          <w:jc w:val="center"/>
          <w:trHeight w:val="31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noWrap w:val="false"/>
            <w:vAlign w:val="center"/>
          </w:tcPr>
          <w:p>
            <w:pPr>
              <w:pStyle w:val="200"/>
              <w:widowControl w:val="off"/>
              <w:numPr>
                <w:numId w:val="4"/>
                <w:ilvl w:val="0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"Геолайн"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09.02.2026-20.02.2026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 проверка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Программа проверок № 183/З/Т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31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noWrap w:val="false"/>
            <w:vAlign w:val="center"/>
          </w:tcPr>
          <w:p>
            <w:pPr>
              <w:pStyle w:val="200"/>
              <w:widowControl w:val="off"/>
              <w:numPr>
                <w:numId w:val="4"/>
                <w:ilvl w:val="0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"Профконсалтинвест"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11.02.2026-02.03.2026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 проверка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Программа проверок № 12/З/Т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31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noWrap w:val="false"/>
            <w:vAlign w:val="center"/>
          </w:tcPr>
          <w:p>
            <w:pPr>
              <w:pStyle w:val="200"/>
              <w:widowControl w:val="off"/>
              <w:numPr>
                <w:numId w:val="4"/>
                <w:ilvl w:val="0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"Профконсалтинвест"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12.02.2026-03.03.2026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внеплановая проверка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Программа проверок № 193/З/Т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31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noWrap w:val="false"/>
            <w:vAlign w:val="center"/>
          </w:tcPr>
          <w:p>
            <w:pPr>
              <w:pStyle w:val="200"/>
              <w:widowControl w:val="off"/>
              <w:numPr>
                <w:numId w:val="4"/>
                <w:ilvl w:val="0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Территория с. Крутое Петровского м.о. Тамбовской области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выездное обследование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соответствии с заданием от 09.02.2026 №10/во/Т по обращению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</w:tc>
      </w:tr>
      <w:tr>
        <w:trPr>
          <w:jc w:val="center"/>
          <w:trHeight w:val="31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04" w:type="dxa"/>
            <w:gridSpan w:val="17"/>
            <w:tcBorders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Наблюдения за соблюдением обязательных требований за период 09.02.2026-13.02.2026</w:t>
            </w:r>
            <w:bookmarkEnd w:id="1"/>
          </w:p>
        </w:tc>
      </w:tr>
    </w:tbl>
    <w:p>
      <w:pPr>
        <w:jc w:val="center"/>
      </w:pPr>
    </w:p>
    <w:tbl>
      <w:tblPr>
        <w:tblStyle w:val="12"/>
        <w:tblpPr w:horzAnchor="text" w:tblpXSpec="center" w:vertAnchor="text" w:tblpY="1" w:leftFromText="180" w:rightFromText="180"/>
        <w:tblW w:w="1456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>
        <w:trPr>
          <w:trHeight w:val="962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Вид профилактического мероприятия</w:t>
            </w:r>
          </w:p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Основание проведения проверки</w:t>
            </w:r>
          </w:p>
          <w:p>
            <w:pPr>
              <w:widowControl w:val="off"/>
              <w:ind w:right="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(дата,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Стадия наблюдения (проведенные, начатые)</w:t>
            </w: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</w:t>
            </w: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Воронежская область</w:t>
            </w: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5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Лискинский ОМТО ОСЕ ВДМТО СП "Росжелдорснаба" - ф-ла ОАО "РЖД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20.01.2026-02.02.2026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Задание от 19.01.2026 № 10/н/В (п 1 индикатора риска № 1044)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5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ФЕДЕРАЛЬНОЕ ГОСУДАРСТВЕННОЕ КАЗЕННОЕ УЧРЕЖДЕНИЕ "ЛОГИСТИЧЕСКИЙ ЦЕНТР № 34"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20.01.2026-02.02.2026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Задание от 19.01.2026 № 13/н/В (п 1 индикатора риска № 1044)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5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Лискинский территориальный участок Юго-Восточной дирекции по тепловодоснабжению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21.01.2026-03.02.2026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Задание от 19.01.2026 № 24/н/В (п 1 индикатора риска № 1044)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5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Воронежский участок Лискинского территориального участка Юго-Восточной дирекции по тепловодоснабжению - структурного подразделения Центральной дирекции по тепловодоснабжению - филиала ОАО "РЖД"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20.01.2026-02.02.2026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Задание от 19.01.2026 № 25/н/В (п 1 индикатора риска № 1044)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5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20.01.2026-02.02.2026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Задание от 19.01.2026 № 30/н/В (п 1 индикатора риска № 1044)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5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20.01.2026-02.02.2026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Задание от 19.01.2026 № 31/н/В (п 1 индикатора риска № 1044)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5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20.01.2026-02.02.2026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Задание от 19.01.2026 № 32/н/В (п 1 индикатора риска № 1044)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проведено</w:t>
            </w: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Белгородская область</w:t>
            </w:r>
          </w:p>
        </w:tc>
      </w:tr>
      <w:tr>
        <w:trPr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</w:tr>
      <w:tr>
        <w:trPr>
          <w:trHeight w:val="273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Курская область</w:t>
            </w:r>
          </w:p>
        </w:tc>
      </w:tr>
      <w:tr>
        <w:trPr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widowControl w:val="off"/>
              <w:ind w:left="851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</w:tr>
      <w:tr>
        <w:trPr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Липецкая область</w:t>
            </w:r>
          </w:p>
        </w:tc>
      </w:tr>
      <w:tr>
        <w:trPr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1.</w:t>
            </w: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"Газпром трансгаз Москва" (филиал Елецкое линейное производственное управление магистральных газопроводов )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29.01.2026 - 26.02.2026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наблюдения за соблюдением обязательных требований 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Снижение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платы за НВОС  на 30% и более в сравнении с предыдущим отчетным периодом (02/м-1901 от 04.12.2025)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начато</w:t>
            </w:r>
          </w:p>
        </w:tc>
      </w:tr>
      <w:tr>
        <w:trPr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2.</w:t>
            </w: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"РЕГИОНАЛЬНАЯ УТИЛИЗИРУЮЩАЯ СЛУЖБА СОШКИ"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29.01.2026 - 26.02.2026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наблюдения за соблюдением обязательных требований 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Снижение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платы за НВОС  на 30% и более в сравнении с предыдущим отчетным периодом (02/м-1901 от 04.12.2025)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начато</w:t>
            </w:r>
          </w:p>
        </w:tc>
      </w:tr>
      <w:tr>
        <w:trPr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3.</w:t>
            </w: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 "Рождественский карьер"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29.01.2026 - 26.02.2026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наблюдения за соблюдением обязательных требований 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Снижение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платы за НВОС  на 30% и более в сравнении с предыдущим отчетным периодом (02/м-1901 от 04.12.2025)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начато</w:t>
            </w:r>
          </w:p>
        </w:tc>
      </w:tr>
      <w:tr>
        <w:trPr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4.</w:t>
            </w:r>
          </w:p>
        </w:tc>
        <w:tc>
          <w:tcPr>
            <w:tcW w:w="3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ОАО "Российские железные дороги"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29.01.2026 - 26.02.2026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наблюдения за соблюдением обязательных требований 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Снижение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платы за НВОС  на 30% и более в сравнении с предыдущим отчетным периодом (02/м-1901 от 04.12.2025)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начато</w:t>
            </w:r>
          </w:p>
        </w:tc>
      </w:tr>
      <w:tr>
        <w:trPr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Тамбовская область</w:t>
            </w:r>
          </w:p>
        </w:tc>
      </w:tr>
      <w:tr>
        <w:trPr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ООО «Русагро-Тамбов»</w:t>
            </w:r>
          </w:p>
        </w:tc>
        <w:tc>
          <w:tcPr>
            <w:tcW w:w="2206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pStyle w:val="36"/>
              <w:widowControl w:val="off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02.02.2026-02.03.2026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27.01.2026 № 5-2026/н/Т 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</w:tbl>
    <w:p>
      <w:pPr>
        <w:jc w:val="center"/>
      </w:pP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Профилактические мероприятия за период 09.02.2026-13.02.</w:t>
      </w:r>
      <w:bookmarkStart w:id="3" w:name="_GoBack"/>
      <w:bookmarkEnd w:id="3"/>
      <w:r>
        <w:rPr>
          <w:rFonts w:hint="default" w:ascii="Times New Roman" w:hAnsi="Times New Roman" w:cs="Times New Roman"/>
          <w:b/>
        </w:rPr>
        <w:t xml:space="preserve">2026</w:t>
      </w:r>
    </w:p>
    <w:p>
      <w:pPr>
        <w:jc w:val="center"/>
      </w:pPr>
    </w:p>
    <w:tbl>
      <w:tblPr>
        <w:tblStyle w:val="12"/>
        <w:tblW w:w="14868" w:type="dxa"/>
        <w:jc w:val="center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133"/>
        <w:gridCol w:w="3467"/>
        <w:gridCol w:w="2124"/>
        <w:gridCol w:w="2632"/>
        <w:gridCol w:w="3260"/>
        <w:gridCol w:w="63"/>
        <w:gridCol w:w="2163"/>
        <w:gridCol w:w="20"/>
        <w:gridCol w:w="6"/>
      </w:tblGrid>
      <w:tr>
        <w:trPr>
          <w:gridAfter w:val="1"/>
          <w:jc w:val="center"/>
          <w:trHeight w:val="962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Период проведения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Вид профилактического мероприятия</w:t>
            </w:r>
          </w:p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right="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Вид надзора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Результат</w:t>
            </w:r>
          </w:p>
        </w:tc>
      </w:tr>
      <w:tr>
        <w:trPr>
          <w:gridAfter w:val="1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</w:t>
            </w:r>
          </w:p>
        </w:tc>
      </w:tr>
      <w:tr>
        <w:trPr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ПРОФИЛАКТИЧЕСКИЙ ВИЗИТ</w:t>
            </w:r>
          </w:p>
        </w:tc>
      </w:tr>
      <w:tr>
        <w:trPr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Воронежская область</w:t>
            </w:r>
          </w:p>
        </w:tc>
      </w:tr>
      <w:tr>
        <w:trPr>
          <w:gridAfter w:val="1"/>
          <w:jc w:val="center"/>
          <w:trHeight w:val="199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«ЗАВОД РАСТИТЕЛЬНЫХ МАСЕЛ «ЭРТИЛЬСКИЙ»</w:t>
            </w:r>
          </w:p>
        </w:tc>
        <w:tc>
          <w:tcPr>
            <w:tcW w:w="212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28.01.2026-09.02.2026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</w:t>
            </w:r>
          </w:p>
        </w:tc>
      </w:tr>
      <w:tr>
        <w:trPr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Белгородская область</w:t>
            </w:r>
          </w:p>
        </w:tc>
      </w:tr>
      <w:tr>
        <w:trPr>
          <w:gridAfter w:val="1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pStyle w:val="197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ООО «Белэнергомаш - БЗЭМ», 2 объекта НВОС: «Промышленная площадка по ул. Волчанская, 165 (код объекта: 14-0131-000130-П)»; «Промышленная площадка по проспекту Богдана Хмельницкого, 111 (код объекта: 14-0131-000134-П))». Номер ЕРКНМ: 36260021000220564372</w:t>
            </w:r>
          </w:p>
        </w:tc>
        <w:tc>
          <w:tcPr>
            <w:tcW w:w="212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02.02.2026 - 24.02.2026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273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Курская область</w:t>
            </w:r>
          </w:p>
        </w:tc>
      </w:tr>
      <w:tr>
        <w:trPr>
          <w:gridAfter w:val="1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right="-108" w:hanging="4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«Курский аккумуляторный завод»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12.02.2026-26.02.206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Профилактический визит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начато</w:t>
            </w:r>
          </w:p>
        </w:tc>
      </w:tr>
      <w:tr>
        <w:trPr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Липецкая область</w:t>
            </w:r>
          </w:p>
        </w:tc>
      </w:tr>
      <w:tr>
        <w:trPr>
          <w:gridAfter w:val="1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pStyle w:val="200"/>
              <w:widowControl w:val="off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</w:p>
        </w:tc>
      </w:tr>
      <w:tr>
        <w:trPr>
          <w:jc w:val="center"/>
          <w:trHeight w:val="418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Тамбовская область</w:t>
            </w:r>
          </w:p>
        </w:tc>
      </w:tr>
      <w:tr>
        <w:trPr>
          <w:gridAfter w:val="1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 w:val="off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-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«Пигмент»</w:t>
            </w:r>
          </w:p>
        </w:tc>
        <w:tc>
          <w:tcPr>
            <w:tcW w:w="212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04.02.2026-17.02.2026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Обязательный профилактический визит по поручению Заместителя Председателя Правительства Российской Федерации Д.Н. Патрушева №ДП-П11-43995 от 21.11.2025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проводится</w:t>
            </w:r>
          </w:p>
        </w:tc>
      </w:tr>
      <w:tr>
        <w:trPr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ПРЕДОСТЕРЕЖЕНИЕ</w:t>
            </w:r>
          </w:p>
        </w:tc>
      </w:tr>
      <w:tr>
        <w:trPr>
          <w:jc w:val="center"/>
          <w:trHeight w:val="263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Воронежская область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"НИВА"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"НИВА"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Администрация Петропавловского муниципального района Воронежской области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НИКА-ПЕТРОТЭК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Муниципальное унитарное предприятие "Очистные сооружения» Борисоглебского городского округа Воронежской области"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Балашовская дистанция электроснабжения - структурное подразделение Юго-Восточной дирекции по Энергообеспечению - структурного подразделения ТрансЭнерго - филиала открытого акционерного общества «Российские железные дороги»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Лискинский ОМТО ОСЕ ВДМТО СП "Росжелдорснаба" - ф-ла ОАО "РЖД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Воронежская дистанция электроснабжения структурное подразделение Юго-Восточной дирекции по энергообеспечению структурного подразделения Трансэнерго - филиала 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МКП "БЛАГОУСТРОЙСТВО"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"Коммунальник"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"ЖИЛСЕРВИС"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"ЖИЛСЕРВИС"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"ЖИЛСЕРВИС"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"ЖИЛСЕРВИС"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"ЖИЛСЕРВИС"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"ЖИЛСЕРВИС"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"ЭКОТЕХЛАЙН"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"Специализированное хозяйство Московское"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"СХП "НОВОМАРКОВСКОЕ"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"СХП "НОВОМАРКОВСКОЕ"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"СХП "НОВОМАРКОВСКОЕ"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"СХП "НОВОМАРКОВСКОЕ"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"СХП "НОВОМАРКОВСКОЕ"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"СХП "НОВОМАРКОВСКОЕ"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"Пром-Нефть-Сервис" (20-0136-001312-П)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"Россошанское ДРСУ № 1"  (20-0136-001319-П)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Балашовская  дистанция  сигнализации,централизации и  блокировки Юго-Восточной  Дирекции  инфраструктуры   ЦДИ филиала ОАО " РЖД "Поворинский участок (20-0136-001282-П)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Сервисное локомотивное депо "Воронеж" Филиала "Южный" ООО "ТМХ-Сервис" (20-0136-001240-П)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"Тандер" (20-0136-001230-П)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"ПАВЛОВСК НЕРУД" (20-0136-001249-П)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Федеральное казенное учреждение "Войсковая часть 3734" (20-0136-001178-П)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ФЕДЕРАЛЬНОЕ ГОСУДАРСТВЕННОЕ КАЗЕННОЕ ОБРАЗОВАТЕЛЬНОЕ УЧРЕЖДЕНИЕ ВЫСШЕГО ОБРАЗОВАНИЯ "ВОРОНЕЖСКИЙ ИНСТИТУТ МИНИСТЕРСТВА ВНУТРЕННИХ ДЕЛ РОССИЙСКОЙ ФЕДЕРАЦИИ"  (20-0136-001169-П)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«РИР ЭНЕРГО» (20-0136-001168-П)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«Хлебозавод №7» (20-0136-001179-П)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"ЛОКОТЕХ-СЕРВИС"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«Борисоглебский мясокомбинат»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"НИКА-ПЕТРОТЭК"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"ТРАНСАММИАК"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"ТРАНСАММИАК"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"ВЗПП-МИКРОН"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МУНИЦИПАЛЬНОЕ УНИТАРНОЕ ПРЕДПРИЯТИЕ ЛИСКИНСКОГО МУНИЦИПАЛЬНОГО РАЙОНА ВОРОНЕЖСКОЙ ОБЛАСТИ "ВОДОКАНАЛ"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"Специализированное хозяйство Московское"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Таловская дистанция пути структурное подразделение Юго - Восточной дирекции инфраструктуры, структурного подразделения Центральной дирекции инфраструктуры, филиала ОАО "РЖД" ст. Таловая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Лискинский ОМТО ОСЕ ВДМТО СП "Росжелдорснаба" - ф-ла ОАО "РЖД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Лискинский ОМТО ОСЕ ВДМТО СП "Росжелдорснаба" - ф-ла 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Лискинский ОМТО ОСЕ ВДМТО СП "Росжелдорснаба" - ф-ла 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"Дороги Черноземья" (20-0136-001195-П)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"Дороги Черноземья" (20-0136-001197-П)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"Дороги Черноземья" (20-0136-001198-П)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"Дороги Черноземья" (20-0136-001199-П)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"ОМК СТАЛЬНОЙ ПУТЬ" (20-0136-001192-П)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«РИР ЭНЕРГО» (20-0136-001220-П)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«РИР ЭНЕРГО» (20-0136-001107-П)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Публичное акционерное общество "Россети Центр" (20-0136-001234-П)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«РИР ЭНЕРГО» (20-0136-001106-П)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"Дороги Черноземья" (20-0136-001196-П)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"КЕДР"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"РОССОШЬ ЭКОПЛАСТ"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"ЛЕНИНСКИЙ ПУТЬ"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"СПК Староникольский"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"КРАФТ"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"КРАФТ"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"КРАФТ"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 (20-0136-001207-П)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 (20-0136-001209-П)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Открытое акционерное общество "Российские железные дороги" (20-0136-001231-П)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"Газпром трансгаз Саратов" Балашовское  ЛПУМГ (20-0136-001108-Л)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Сервисное локомотивное депо "Россошь-Пассажирская" филиал "Южный" ОБЩЕСТВА С ОГРАНИЧЕННОЙ ОТВЕТСТВЕННОСТЬЮ "ЛОКОТЕХ-СЕРВИС" (20-0136-001228-П)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 (20-0136-001208-П)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"НАУЧНО-ИССЛЕДОВАТЕЛЬСКИЙ ИНСТИТУТ ЭЛЕКТРОННОЙ ТЕХНИКИ" (20-0136-001227-П)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Открытое акционерное общество "Российские железные дороги" (20-0136-001223-П)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"ТРАНСНЕФТЬ - ДРУЖБА" (20-0136-001193-П)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«Коттедж-Строй» (20-0136-001214-П)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Публичное акционерное общество "Россети Центр" 20-0136-001053-П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Публичное акционерное общество "Россети Центр" 20-0136-001052-П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Публичное акционерное общество "Россети Центр" 20-0136-001051-П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20-0136-001093-П        АО "Тандер"  Гипермаркет Магнит г. Россошь, Простеева, 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br/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20-0136-001049-ПОбъект передачи электроэнергии Хохольский РЭС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br/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20-0136-001048-П        Объект передачи электроэнергии Терновский РЭС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br/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Администрация городского округа город Воронеж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"ЭКОНИВААГРО"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"ЭКОНИВААГРО"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Индивидуальный предприниматель Глава крестьянского (фермерского) хозяйства Синявина Наталья Станиславовна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ЗАО «Копанищенский комбинат строительных материалов»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«ЭКОТРАСТ»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"Благоустройство"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"Стройактив"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"ЭкоСФЕРА"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МБУ ЖКХ ПМР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«БэтЭлТранс» (20-0136-001205-П)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"ТАНДЕР"  (20-0236-001023-П)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"СЕЛЬТА" (20-0236-001021-П)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"Орбита" (20-0236-001017-П)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"Лента" (20-0236-001015-П)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"Лента" (20-0236-001014-П)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"ВОРОНЕЖСКАЯ КЕРАМИКА"  (20-0136-001102-П)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Муниципальное предприятие Калачеевского муниципального района Воронежской области «Районное водоснабжение» (20-0136-001098-П)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"Газпромнефть-Аэро" филиал "Балтимор" (20-0136-001097-П)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"Газпромнефть-Аэро" филиал "Балтимор" (20-0136-001096-П)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"ТАНДЕР"  (20-0136-001029-П)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"ТАНДЕР"  (20-0136-001030-П)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"ПИВОВАРЕННАЯ КОМПАНИЯ "БАЛТИКА" (20-0136-001034-П)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Публичное акционерное общество "Россети Центр" (20-0136-001055-П)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Публичное акционерное общество "Россети Центр" (20-0136-001054-П)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"БУРГЕР РУС"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"БУРГЕР РУС"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«ВодСтройСервис»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"ЭКОНИВА МОЛОКО ВОРОНЕЖ"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"ПРОМЭКОЛОГИЯ"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ИРИСМАШ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«ЭкоНиваАгро»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"Дон"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«Благо-Эртиль»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Лискинский ОМТО ОСЕ ВДМТО СП "Росжелдорснаба" - ф-ла 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"МАСЛОЭКСТРАКЦИОННЫЙ ЗАВОД</w:t>
            </w: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br/>
            </w: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ЮГ РУСИ"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"ДАВЫДОВСКОЕ КОММУНАЛЬНОЕ ХОЗЯЙСТВО"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"ДАВЫДОВСКОЕ КОММУНАЛЬНОЕ ХОЗЯЙСТВО"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"Санаторий имени Цюрупы"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"Завод ЖБИ № 2"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АУ ВО "Санаторий для пожилого возраста и инвалидов "Белая Горка"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"ЭТАНОЛ СПИРТ"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"Бутырки"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"Бутырки"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"ЮБИЛЕЙНОЕ"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"ЮБИЛЕЙНОЕ"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"ЮБИЛЕЙНОЕ"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Акционерное общество "Журавский охровый завод"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"ВОСТОК-АГРО"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"ВОСТОК-АГРО"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Муниципальное унитарное предприятие "Кантемировский водоканал"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Эксплуатационное вагонное депо Лиски (участок Павловск)- структурное подразделение Юго-Восточной дирекции инфраструктуры - структурного подразделения Центральной дирекции инфраструктуры - филиал ОАО "РЖД"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6"/>
                <w:ilvl w:val="0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Белгородская область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"МСК ОМСК"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"МСК ТОРГ"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"МС ЛИФТ"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"ТД МТЗ-СТАВРОПОЛЬ"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"МУЛЬТИ ТАБАКО"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"БАЛТИЙСКАЯ КОМПАНИЯ"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"ТИМЕР-Т"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"МЯСНОФФ-ДОН"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"ДРЕВСНАБ"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"РИКОМА ГРУПП"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"НАСТА"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"АЗИЯТЕХНО"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"МОНАРХ-ВОРОНЕЖ"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"СИТОРУС"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"ГРИН ПЛАЙ"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"КАЗПРОМ"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"БЕЛАВТОКРЕПЕЖ"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НАШЕ ДЕЛО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"НЕВСКАЯ ДИСТРИБЬЮТОРСКАЯ КОМПАНИЯ"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"СТРОЙКОМПЛЕКТ"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АСЛАНЯН ИННЕСА АРАМОВНА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"ПРОИЗВОДСТВЕННОЕ ОБЪЕДИНЕНИЕ "ГАРАНТИЯ"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"ПАРТНЕР"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ООО"СПАРТА"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"НОВОТЕХ"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"НГП"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"ДЕТЕЛЬХОРС"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"НИКО"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ЗАО "ПРОМЦЕНТР"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"АСТРЕЙД"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"НК АВАНГАРД"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"КОЛОР ЧТЗ"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"НООЛС"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"НОВЫЙ ВЕК"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"НОРДИКС"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"НОРДУС-СТРОЙ"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"ТЕКСТИЛЬ НОВА"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"ТЕРРА НОВА"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"КОМПАНИЯ НОВАТОР"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"НОВИГАДО"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"СПЕЦИАЛИЗИРОВАННЫЙ ЗАСТРОЙЩИК РУССКИЙ ДОМ"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"МЕБЕЛЬ-АРС"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НОРДЕКС 97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"ТРИТОН"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"ТЕПЛОКОМПЛЕКТ"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"ДОРСНАБ-ДВ"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"НОВЫЕ ТЕХНОЛОГИИ"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"НТЦ - БУЛАТ"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 НОВОКУЗНЕЦКМРАМОР 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"НВЗ-БЕТОН"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"ЛЕНЖБИ"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"СЕРНУРСКИЙ ОПЫТНО-ПРОИЗВОДСТВЕННЫЙ ЗАВОД"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СОВРЕМЕННЫЕ ДВЕРИ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ЗАО "АЭРОБЕЛ"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"ОЛИМП"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"АРЕС"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"ПРОПРИНТ"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"ТЭК "ЕВРАЗИЯ"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АО "ФЕРРО БАЛТ ПЛЮС"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АО "ЦЕНТР ПО ОБОГАЩЕНИЮ УРАНА"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КОМПАНИЯ ИНТЕГРАЛ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ТД "КОРНЕТ"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"МИНСКХЛЕБПРОМ"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"АНТАРЕС"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"ПКФ "РЕМЭКС"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"ПРОМЫШЛЕННАЯ СТРОИТЕЛЬНАЯ КОМПАНИЯ-ЮГ"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"САМИЛА"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СЕВЛЕСПРОМ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"СИБАРМ"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"ГОРИЗОНТ"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"ЖЕЛЕЗНОДОРОЖНЫЙ 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"ПО"АЛТАЙСНЭК"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АО "СОВМЕСТНОЕ ПРЕДПРИЯТИЕ "ПЕТРОВИЛ"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АО "НОВОМОСКОВСКОГНЕУПОР"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"ОККО ГРУПП"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"СТРОЙГРАД32"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"ОКСИУМ"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"ПРОИЗВОДСТВЕННО-КОММЕРЧЕСКАЯ ФИРМА СТРОЙ АЛЬЯНС"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"СТРОЙЦЕНТР"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"ЭНДОКРИН ТРЕЙД"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"12Х-ГРУПП"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"ОМСКАЯ СОЛЯНАЯ КОМПАНИЯ"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 ОМСТРОЙСНАБ"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"ИЖТОРГПЛИТ"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"ПРОМАЛЬЯНС"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"АЛАТОС"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"АНИРИ"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"АВТОЛАБ+"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"КОРСО"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"ЭНЕРГОСТРОЙТРЕЙД"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"КАМБИ"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"ЛИГА"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"НЕГОЦИАНТЪ"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"ОРИКС"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"ПРОДГАРАНТ"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"РБМК"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"ТОРГОВАЯ КОМПАНИЯ "СЕРВИСОЙЛ"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"СМАРТ"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"БЕЛСЕЛЬХОЗХИМИЯ"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ПУБЛИЧНОЕ АКЦИОНЕРНОЕ ОБЩЕСТВО "СЕВЕРСТАЛЬ"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научное предприятие"Техпромсервис"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научное предприятие"Техпромсервис"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"Красная Гвардия"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"Стройматериалы"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"Оскольский электрометаллургический комбинат имени Алексея Алексеевича Угарова"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"ТЕРРА"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«Инженерно-Технический Центр»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"ФЛАГМАН"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"СТОЙЛЕНСКИЙ ГОРНО-ОБОГАТИТЕЛЬНЫЙ КОМБИНАТ"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"Экосервис"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"ОБЪЕДИНЕНИЕ СТРОИТЕЛЬНЫХ МАТЕРИАЛОВ И БЫТОВОЙ ТЕХНИКИ"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"ЛЕБЕДИНСКИЙ ГОРНО-ОБОГАТИТЕЛЬНЫЙ КОМБИНАТ"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"АГРОПРОМЫШЛЕННЫЙ КОМПЛЕКС "ПРОМАГРО"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"Оскольский электрометаллургический комбинат имени Алексея Алексеевича Угарова"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"АГРОПРОМЫШЛЕННЫЙ КОМПЛЕКС "ПРОМАГРО"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"Транспортная компания "Экотранс"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"Старооскольский завод автотракторного электрооборудования им. А.М.Мамонова"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ПРЕДПРИЯТИЕ БЕЛГОРОДСКОЙ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ОБЛАСТИ "БЕЛГОРОДСКИЙ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"Агропромышленный комплекс "ПРОМАГРО"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Закрытое акционерное общество "ТриО"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"Транспортная компания "Экотранс"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"ПРИОСКОЛЬЕ"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"ЯКОВЛЕВСКИЙ ГОРНО-ОБОГАТИТЕЛЬНЫЙ КОМБИНАТ"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"ПЕТРОХИМ"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ПРЕДПРИЯТИЕ БЕЛГОРОДСКОЙ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ОБЛАСТИ "БЕЛГОРОДСКИЙ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"БЕЛЭНЕРГОМАШ-БЗЭМ"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"ТБОсервис"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"ЦЕМРОС"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"Белгородский цемент"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"Комбинат КМАруда"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АЛЕКСЕЕВСКИЙ ФИЛИАЛ ОБЩЕСТВА С ОГРАНИЧЕННОЙ ОТВЕТСТВЕННОСТЬЮ "ВИОЛА"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"ЭФКО-СЛОБОДА"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"МИХАЙЛОВСКОЕ"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"ШЕБЕКИНСКАЯ ПОЛИМЕРНАЯ КОМПАНИЯ"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"ЛАТТЕМ"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"РАССВЕТ-АГРО"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"МЕТПРОМ"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"МЕТПРОМ"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"БЕЛГОРОД-МЕТАЛЛИНВЕСТ"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"МИХАЙЛОВСКОЕ"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"МИХАЙЛОВСКОЕ"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"МИХАЙЛОВСКОЕ"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"ТОРГОВЫЙ ДОМ УСПЕХ"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"Регион Цемент"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"Селекционно-гибридный Центр"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"АГРОПРОМЫШЛЕННЫЙ КОМПЛЕКС "ПРОМАГРО"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Областное государственное автономное учреждение здравоохранения "Санаторий "Красиво"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"Молочная компания "Зеленая долина"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"Большевик"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"Оскольский завод переработки шин"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"Советская Родина"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"РИР ЭНЕРГО"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"ЛЕНИНСКИЙ ПУТЬ"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"ЛЕНИНСКИЙ ПУТЬ"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"ЛЕНИНСКИЙ ПУТЬ"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"СОВЕТСКОЕ"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ответсвенностью "Белгородские гранулированные корма"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«Молочная компания «Северский Донец»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«Молочная компания «Северский Донец»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«Молочная компания «Северский Донец»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"БОРИСОВСКИЕ ФЕРМЫ"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"БЕЛГОРОДСКИЕ ГРАНУЛИРОВАННЫЕ КОРМА"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"БЕЛТЕХНОРЕСУРС"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"БОБРАВСКОЕ"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"БОБРАВСКОЕ"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"РУДСТРОЙ"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"РУДСТРОЙ"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"КРАСНЕНСКОЕ"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"БЕЛГОРОДСКИЙ БРОЙЛЕР"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"БЕЛГОРОДСКИЙ БРОЙЛЕР"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"БЕЛГОРОДСКИЙ БРОЙЛЕР"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"БЕЛГОРОДСКИЙ БРОЙЛЕР"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"БЕЛГОРОДСКИЙ БРОЙЛЕР"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"ЗАРЕЧЬЕ"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"ПОБЕДА"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"Транспортная компания "Экотранс"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"Транспортная компания "Экотранс"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"Транспортная компания "Экотранс"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"АГРОРУСЬ"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"Мясо-молочная ферма "Нежеголь"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ОГРАНИЧЕННОЙ ОТВЕТСТВЕННОСТЬЮ "Томаровский производственно-складской комплекс"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"ПРИОСКОЛЬЕ"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"Советская Родина"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"Советская Родина"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"Советская Родина"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"ТРИЛОГИЯ"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"Оскольские просторы"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"ЭКОСЕРВИС"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"Милорем-Сервис"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"Милорем-Сервис"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"Милорем-Сервис"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АО "Белгородские молочные фермы"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АО "Белгородские молочные фермы"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"Советская Родина"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"УРОЖАЙ"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"ОРЛИК"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"ОРЛИК"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"ОРЛИК"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"Советская Родина"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ЗАКРЫТОЕ АКЦИОНЕРНОЕ ОБЩЕСТВО "БОЛЬШЕВИК"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ЗАКРЫТОЕ АКЦИОНЕРНОЕ ОБЩЕСТВО "БОЛЬШЕВИК"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 Самаринское"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 Самаринское"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 Самаринское"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"Нива"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"Нива"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"ЗАВЕТЫ ИЛЬИЧА"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"ЗАВЕТЫ ИЛЬИЧА"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(КОЛХОЗ) "ЗАВЕТЫ ИЛЬИЧА"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"Водсервис"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"Ресурс"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"Молочная компания "Зеленая долина"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"Молочная компания "Зеленая долина"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"Яснозоренское"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"БУТОВО-АГРО"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"БУТОВО-АГРО"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"БУТОВО-АГРО"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"ТАМБОВСКИЙ БЕКОН"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СЕЛЬСКОХОЗЯЙСТВЕННЫЙ ПРОИЗВОДСТВЕННЫЙ КООПЕРАТИВ "КАЛИТВА"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"Маслоэкстракционный завод Юг Руси"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4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numPr>
                <w:numId w:val="7"/>
                <w:ilvl w:val="0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"НОВООСКОЛЬСКИЙ ПОЛИГОН ТКО"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4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Липецкая область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"КОЛОСС"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"ДОНБАССДОМНАРЕМОНТ-ЛИПЕЦК"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МУНИЦИПАЛЬНОЕ УНИТАРНОЕ ПРЕДПРИЯТИЕ "УСМАНСКИЙ ВОДОКАНАЛ"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1089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 ПОЛИГОН"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"РЕГИОНАЛЬНАЯ УТИЛИЗИРУЮЩАЯ СЛУЖБА СОШКИ"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"РИЭЛТИКО"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"МИНЕРАЛ22"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"ТЕПЛОС"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ДЕРЕВЯГА ЛЮДМИЛА ВАСИЛЬЕВНА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КРЕСТЬЯНСКОЕ ХОЗЯЙСТВО "РЕЧНОЕ"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"ШАНС ЭНТЕРПРАЙЗ"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ОБЛАСТНОЕ ГОСУДАРСТВЕННОЕ УНИТАРНОЕ ПРЕДПРИЯТИЕ "ЕЛЕЦВОДОКАНАЛ"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"ЧИСТЫЙ ГОРОД"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"ЮЖНО-СИБИРСКИЙ ЦЕМЕНТ"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86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"ЧЕРНОЗЕМЬЕ"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"ТОРГОВАЯ КОМПАНИЯ "СТРОЙРЕСУРС БЕЛГОРОД"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"ОПТОВО-РОЗНИЧНОЕ ПРЕДПРИЯТИЕ - 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"СИЛА СВЕТА"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"ЗОЛОТОЙ СНЕК"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"МЭЙДЖЕРЭНЖЕНЕР"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"ШЁЛКОВЫЙ ПУТЬ"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ХОЛДИНГОВАЯ КОМПАНИЯ "НОВОЛЕКС"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"ЮГТЕХИМПЕРИАЛ"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АКЦИОНЕРНОЕ ОБЩЕСТВО "СКАД ТЕХ"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"ТОРГОВАЯ ФИРМА "СИБСТРОЙДИЗАЙН"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"ФЕРРУМ"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ФЕДЕРАЛЬНОЕ ГОСУДАРСТВЕННОЕ БЮДЖЕТНОЕ УЧРЕЖДЕНИЕ "ФЕДЕРАЛЬНЫЙ ЦЕНТР ОХРАНЫ ЗДОРОВЬЯ ЖИВОТНЫХ"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"АВГУСТ ЛОГИСТИКА"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ПУБЛИЧНОЕ АКЦИОНЕРНОЕ ОБЩЕСТВО "РОСТЕЛЕКОМ"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ПТФ "МЕТАЛЛУРГКОМПЛЕКТСНАБ"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"СИНЕРГИЯ ПАРК"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"СТЭП"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"ГАЗПРОМ ГАЗОМОТОРНОЕ ТОПЛИВО"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ПУБЛИЧНОЕ АКЦИОНЕРНОЕ ОБЩЕСТВО "НОВОЛИПЕЦКИЙ МЕТАЛЛУРГИЧЕСКИЙ КОМБИНАТ"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МУНИЦИПАЛЬНОЕ УНИТАРНОЕ ПРЕДПРИЯТИЕ "ЗАДОНСКИЙ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"ТРИО МОЛОКО"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"СТРОЙСЕЛЬХОЗГАРАНТ"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ОБЛАСТНОЕ ГОСУДАРСТВЕННОЕ УНИТАРНОЕ ПРЕДПРИЯТИЕ "ЕЛЕЦВОДОКАНАЛ"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"СИСТЕМА ПБО"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АКЦИОНЕРНОЕ ОБЩЕСТВО "КУРИНОЕ ЦАРСТВО"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 "МИЛК-АГРОИНВЕСТ"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"ТЕХНОЛОГИИ РЕЦИКЛИНГА"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"АГРОНОМ-САД"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"ЛИПЕЦКАЯ ОБЛАСТНАЯ КОММУНАЛЬНАЯ КОМПАНИЯ"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МУНИЦИПАЛЬНОЕ УНИТАРНОЕ ПРЕДПРИЯТИЕ "ЧАПЛЫГИНСКИЙ 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"СТРОИТЕЛЬНО-МОНТАЖНЫЙ ТРЕСТ НЛМК"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"ЛЕ МОНЛИД"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МУНИЦИПАЛЬНОЕ УНИТАРНОЕ ПРЕДПРИЯТИЕ "ВОДОКАНАЛ ЛИПЕЦКОГО МУНИЦИПАЛЬНОГО ОКРУГА"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"ФОСАГРО-ЛИПЕЦК"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ОТКРЫТОЕ АКЦИОНЕРНОЕ ОБЩЕСТВО " ЮГОВОСТОКЭЛЕКТРОМОНТАЖ - 1 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"АТЛАНТ"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"ЛИСТПРОМСТРОЙ"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"ОТРАДА ФАРМЗ"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"БОРКОВСКИЙ"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"ВОДОКАНАЛ"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numPr>
                <w:numId w:val="8"/>
                <w:ilvl w:val="0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ООО "СИНГЕНТА ПРОДАКШН"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Курская область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МКП «РКС»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pStyle w:val="36"/>
              <w:widowControl w:val="off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09.02.2026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widowControl w:val="off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"СЕВЕРКОМПЛЕКТСТРОЙ"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"ЛУКОЙЛ-ЮГНЕФТЕПРОДУКТ"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"Тандер"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"Тандер"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"КОРПОРАЦИЯ АКЦИОНЕРНОЙ КОМПАНИИ "ЭЛЕКТРОСЕВКАВМОНТАЖ"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СЕТЬ АГЗС"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"Экошина"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"Торгвторсервис"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ИП Панков Максим Викторович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АО "ЖЕЛЕЗНОГОРСКИЙ ВАГОНОРЕМОНТНЫЙ ЗАВОД"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АО "МИХАЙЛОВСКИЙ ГОК им. А.В. ВАРИЧЕВА"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АО "МИХАЙЛОВСКИЙ ГОК им. А.В. ВАРИЧЕВА"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АО "МИХАЙЛОВСКИЙ ГОК им. А.В. ВАРИЧЕВА"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undefined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  <w:bookmarkEnd w:id="2"/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МУП "Горводоканал"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"СВИНОКОМПЛЕКС КОРОЧА"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"ВАШ ХЛЕБ"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ограниченной ответственностью "Краунпис плюс"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"РУДСТРОЙ"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"РУДСТРОЙ"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"РУДСТРОЙ"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"РУДСТРОЙ"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"РУДСТРОЙ"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"Агропромышленный комплекс "Промагро"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«Воронежская бумажная фабрика»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ГАЗОМОТОРНОЕ ТОПЛИВО"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ГАЗОМОТОРНОЕ ТОПЛИВО"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"ГАЗПРОМ ГАЗОМОТОРНОЕ ТОПЛИВО"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Производственный сельскохозяйственный кооператив "Новая жизнь"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Производственный сельскохозяйственный кооператив "Новая жизнь"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Производственный сельскохозяйственный кооператив "Новая жизнь"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Производственный сельскохозяйственный кооператив "Новая жизнь"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"Псельское"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13.02.2026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225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9"/>
                <w:ilvl w:val="0"/>
              </w:numPr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Курского района Курской области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06.02.2026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484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Тамбовская область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Кузьмин Андрей Анатольевич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земельный контроль (надзор)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"АВТОДРАЙВ"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"ТД"БАТЭ"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ТОРГОВЫЙ ДОМ "ИНВЕСТОПТ"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1102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СТРОЙМИР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ТОРГОВЫЙ ДОМ "ЛЕМИС"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"ТД МИР ПЛИТ"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"ТОРГОВЫЙ ДОМ "ВИТЕБСКИЙ КИРПИЧ"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"ТЕХНОПЛЕКС"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"ТЕХНОСТРОЙМОНТАЖ"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"ТЕХПРОГРЕСС 2023"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СИГМА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"ТЕХМАШ"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ТСК "АРМА-ЦЕНТР"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"НОВОТЕХРЕЙЛ"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"СПО ОГНЕЩИТ"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"СПЕЦИАЛИЗИРОВАННЫЙ ТОРГОВЫЙ ДОМ"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СИБЭЛЕКТРОМОНТАЖ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"ДИАЙВАЙ КОМПЛЕКТ"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"ТЕРЕМ-КРЫМ"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"ТЕРМОРЕАКТИВ"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"ТЕРРА-ВИВО"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"ТГР"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"ФРОСТ-ТРЕЙД"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"ТИМЭКС"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"ПАССАТСТАЛЬ РУС"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ООО"ТЛК "СТРОЙКА"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"ТОПКИНСКИЙ ЦЕМЕНТ"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"ТОРАТРЭЙД"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"ЛЛ ИМПОРТ"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"БЕЛАГРО"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"ТОТОТРАНС"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"ТПК-ТРЕЙД"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"ЭДЕЛЬВЕЙС"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"БИЗНЕС АЛЬЯНС"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МУРОМСКИЙ ЗАВОД ТРАНСПУТЬМАШ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"ТРАНСТЕК"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"ТЕЛЕРАДИОКОМПАНИЯ "МОДЕРН""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ТД "ТЕХСТРОЙИНВЕСТ"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УНИВЕРСАЛ-ЭЛЕКТРИК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"УВМ ЗАПАДНАЯ СИБИРЬ"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"ДОБРОСТРОЙ"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ТОРГОВЫЙ ДОМ "СЫР НА ВЕСЬ МИР"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Администрация Петровского муниципального округа Тамбовской области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земельный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ТК "СОФИЙСКАЯ"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"ТОРГОВЫЙ ДОМ "АГРОКОМБИНАТ "ДЗЕРЖИНСКИЙ"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"ТОРГОВЫЙ ДОМ "ЛИФТЫ.РУ"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  <w:tr>
        <w:trPr>
          <w:gridAfter w:val="2"/>
          <w:jc w:val="center"/>
          <w:trHeight w:val="70"/>
        </w:trPr>
        <w:tblPrEx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pStyle w:val="200"/>
              <w:widowControl w:val="off"/>
              <w:numPr>
                <w:numId w:val="10"/>
                <w:ilvl w:val="0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ООО "ПРЕМЬЕР ПРОДУКТ"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12.02.2026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объявлено</w:t>
            </w:r>
          </w:p>
        </w:tc>
      </w:tr>
    </w:tbl>
    <w:p>
      <w:pPr>
        <w:jc w:val="center"/>
        <w:rPr>
          <w:shd w:val="clear" w:color="auto" w:fill="ffff00"/>
        </w:rPr>
      </w:pPr>
    </w:p>
    <w:sectPr>
      <w:headerReference w:type="default" r:id="rId7"/>
      <w:pgSz w:w="15998" w:h="11906" w:orient="landscape"/>
      <w:pgMar w:top="284" w:right="830" w:bottom="284" w:left="709" w:header="0" w:footer="0" w:gutter="0"/>
      <w:cols w:num="1"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quot;Times New Roman&amp;quot;">
    <w:panose1 w:val="02000603000000000000"/>
  </w:font>
  <w:font w:name="Droid Sans">
    <w:panose1 w:val="020B06060308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DejaVu Sans">
    <w:panose1 w:val="020B060303080402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47937126"/>
      <w:docPartObj>
        <w:docPartGallery w:val="AutoText"/>
      </w:docPartObj>
    </w:sdtPr>
    <w:sdtContent>
      <w:p>
        <w:pPr>
          <w:pStyle w:val="2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10</w:t>
        </w:r>
        <w:r>
          <w:fldChar w:fldCharType="end"/>
        </w:r>
      </w:p>
    </w:sdtContent>
  </w:sdt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0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 w:default="1">
    <w:name w:val="Normal"/>
    <w:uiPriority w:val="0"/>
    <w:qFormat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" w:default="1">
    <w:name w:val="Default Paragraph Font"/>
    <w:uiPriority w:val="1"/>
    <w:semiHidden/>
    <w:unhideWhenUsed/>
    <w:qFormat/>
  </w:style>
  <w:style w:type="table" w:styleId="1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3">
    <w:name w:val="footnote reference"/>
    <w:basedOn w:val="11"/>
    <w:uiPriority w:val="99"/>
    <w:unhideWhenUsed/>
    <w:rPr>
      <w:vertAlign w:val="superscript"/>
    </w:rPr>
  </w:style>
  <w:style w:type="character" w:styleId="14">
    <w:name w:val="annotation reference"/>
    <w:basedOn w:val="11"/>
    <w:uiPriority w:val="0"/>
    <w:semiHidden/>
    <w:unhideWhenUsed/>
    <w:qFormat/>
    <w:rPr>
      <w:sz w:val="16"/>
      <w:szCs w:val="16"/>
    </w:rPr>
  </w:style>
  <w:style w:type="character" w:styleId="15">
    <w:name w:val="endnote reference"/>
    <w:basedOn w:val="11"/>
    <w:uiPriority w:val="99"/>
    <w:semiHidden/>
    <w:unhideWhenUsed/>
    <w:rPr>
      <w:vertAlign w:val="superscript"/>
    </w:rPr>
  </w:style>
  <w:style w:type="character" w:styleId="16">
    <w:name w:val="Hyperlink"/>
    <w:basedOn w:val="11"/>
    <w:uiPriority w:val="99"/>
    <w:semiHidden/>
    <w:unhideWhenUsed/>
    <w:qFormat/>
    <w:rPr>
      <w:color w:val="1155cc"/>
      <w:u w:val="single"/>
    </w:rPr>
  </w:style>
  <w:style w:type="paragraph" w:styleId="17">
    <w:name w:val="Balloon Text"/>
    <w:basedOn w:val="1"/>
    <w:uiPriority w:val="0"/>
    <w:qFormat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9"/>
    <w:uiPriority w:val="99"/>
    <w:semiHidden/>
    <w:unhideWhenUsed/>
    <w:pPr>
      <w:spacing w:after="0" w:line="240" w:lineRule="auto"/>
    </w:pPr>
    <w:rPr>
      <w:sz w:val="20"/>
    </w:rPr>
  </w:style>
  <w:style w:type="paragraph" w:styleId="19">
    <w:name w:val="caption"/>
    <w:basedOn w:val="1"/>
    <w:link w:val="62"/>
    <w:uiPriority w:val="0"/>
    <w:qFormat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01"/>
    <w:uiPriority w:val="0"/>
    <w:semiHidden/>
    <w:unhideWhenUsed/>
    <w:qFormat/>
    <w:rPr>
      <w:sz w:val="20"/>
      <w:szCs w:val="20"/>
    </w:rPr>
  </w:style>
  <w:style w:type="paragraph" w:styleId="21">
    <w:name w:val="annotation subject"/>
    <w:basedOn w:val="20"/>
    <w:next w:val="20"/>
    <w:link w:val="202"/>
    <w:uiPriority w:val="0"/>
    <w:semiHidden/>
    <w:unhideWhenUsed/>
    <w:qFormat/>
    <w:rPr>
      <w:b/>
      <w:bCs/>
    </w:rPr>
  </w:style>
  <w:style w:type="paragraph" w:styleId="22">
    <w:name w:val="footnote text"/>
    <w:basedOn w:val="1"/>
    <w:link w:val="188"/>
    <w:uiPriority w:val="99"/>
    <w:semiHidden/>
    <w:unhideWhenUsed/>
    <w:pPr>
      <w:spacing w:after="40" w:line="240" w:lineRule="auto"/>
    </w:pPr>
    <w:rPr>
      <w:sz w:val="18"/>
    </w:rPr>
  </w:style>
  <w:style w:type="paragraph" w:styleId="23">
    <w:name w:val="toc 8"/>
    <w:basedOn w:val="1"/>
    <w:next w:val="1"/>
    <w:uiPriority w:val="39"/>
    <w:unhideWhenUsed/>
    <w:qFormat/>
    <w:pPr>
      <w:spacing w:after="57"/>
      <w:ind w:left="1984" w:right="0" w:firstLine="0"/>
    </w:pPr>
  </w:style>
  <w:style w:type="paragraph" w:styleId="24">
    <w:name w:val="header"/>
    <w:basedOn w:val="1"/>
    <w:link w:val="204"/>
    <w:uiPriority w:val="99"/>
    <w:unhideWhenUsed/>
    <w:qFormat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iPriority w:val="39"/>
    <w:unhideWhenUsed/>
    <w:qFormat/>
    <w:pPr>
      <w:spacing w:after="57"/>
      <w:ind w:left="2268" w:right="0" w:firstLine="0"/>
    </w:pPr>
  </w:style>
  <w:style w:type="paragraph" w:styleId="26">
    <w:name w:val="toc 7"/>
    <w:basedOn w:val="1"/>
    <w:next w:val="1"/>
    <w:uiPriority w:val="39"/>
    <w:unhideWhenUsed/>
    <w:qFormat/>
    <w:pPr>
      <w:spacing w:after="57"/>
      <w:ind w:left="1701" w:right="0" w:firstLine="0"/>
    </w:pPr>
  </w:style>
  <w:style w:type="paragraph" w:styleId="27">
    <w:name w:val="Body Text"/>
    <w:basedOn w:val="1"/>
    <w:uiPriority w:val="0"/>
    <w:qFormat/>
    <w:pPr>
      <w:spacing w:after="140" w:line="276" w:lineRule="auto"/>
    </w:pPr>
  </w:style>
  <w:style w:type="paragraph" w:styleId="28">
    <w:name w:val="index heading"/>
    <w:basedOn w:val="1"/>
    <w:uiPriority w:val="0"/>
    <w:qFormat/>
    <w:pPr>
      <w:suppressLineNumbers/>
    </w:pPr>
    <w:rPr>
      <w:rFonts w:cs="Arial"/>
    </w:rPr>
  </w:style>
  <w:style w:type="paragraph" w:styleId="29">
    <w:name w:val="toc 1"/>
    <w:basedOn w:val="1"/>
    <w:next w:val="1"/>
    <w:uiPriority w:val="39"/>
    <w:unhideWhenUsed/>
    <w:pPr>
      <w:spacing w:after="57"/>
      <w:ind w:left="0" w:right="0" w:firstLine="0"/>
    </w:pPr>
  </w:style>
  <w:style w:type="paragraph" w:styleId="30">
    <w:name w:val="toc 6"/>
    <w:basedOn w:val="1"/>
    <w:next w:val="1"/>
    <w:uiPriority w:val="39"/>
    <w:unhideWhenUsed/>
    <w:qFormat/>
    <w:pPr>
      <w:spacing w:after="57"/>
      <w:ind w:left="1417" w:right="0" w:firstLine="0"/>
    </w:pPr>
  </w:style>
  <w:style w:type="paragraph" w:styleId="31">
    <w:name w:val="table of figures"/>
    <w:basedOn w:val="1"/>
    <w:next w:val="1"/>
    <w:uiPriority w:val="99"/>
    <w:unhideWhenUsed/>
    <w:qFormat/>
    <w:pPr>
      <w:spacing w:after="0" w:afterAutospacing="0"/>
    </w:pPr>
  </w:style>
  <w:style w:type="paragraph" w:styleId="32">
    <w:name w:val="toc 3"/>
    <w:basedOn w:val="1"/>
    <w:next w:val="1"/>
    <w:uiPriority w:val="39"/>
    <w:unhideWhenUsed/>
    <w:pPr>
      <w:spacing w:after="57"/>
      <w:ind w:left="567" w:right="0" w:firstLine="0"/>
    </w:pPr>
  </w:style>
  <w:style w:type="paragraph" w:styleId="33">
    <w:name w:val="toc 2"/>
    <w:basedOn w:val="1"/>
    <w:next w:val="1"/>
    <w:uiPriority w:val="39"/>
    <w:unhideWhenUsed/>
    <w:pPr>
      <w:spacing w:after="57"/>
      <w:ind w:left="283" w:right="0" w:firstLine="0"/>
    </w:pPr>
  </w:style>
  <w:style w:type="paragraph" w:styleId="34">
    <w:name w:val="toc 4"/>
    <w:basedOn w:val="1"/>
    <w:next w:val="1"/>
    <w:uiPriority w:val="39"/>
    <w:unhideWhenUsed/>
    <w:pPr>
      <w:spacing w:after="57"/>
      <w:ind w:left="850" w:right="0" w:firstLine="0"/>
    </w:pPr>
  </w:style>
  <w:style w:type="paragraph" w:styleId="35">
    <w:name w:val="toc 5"/>
    <w:basedOn w:val="1"/>
    <w:next w:val="1"/>
    <w:uiPriority w:val="39"/>
    <w:unhideWhenUsed/>
    <w:pPr>
      <w:spacing w:after="57"/>
      <w:ind w:left="1134" w:right="0" w:firstLine="0"/>
    </w:pPr>
  </w:style>
  <w:style w:type="paragraph" w:styleId="36">
    <w:name w:val="Body Text Indent"/>
    <w:basedOn w:val="1"/>
    <w:link w:val="203"/>
    <w:uiPriority w:val="99"/>
    <w:qFormat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uiPriority w:val="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05"/>
    <w:uiPriority w:val="0"/>
    <w:semiHidden/>
    <w:unhideWhenUsed/>
    <w:qFormat/>
    <w:pPr>
      <w:tabs>
        <w:tab w:val="center" w:pos="4677"/>
        <w:tab w:val="right" w:pos="9355"/>
      </w:tabs>
    </w:pPr>
  </w:style>
  <w:style w:type="paragraph" w:styleId="39">
    <w:name w:val="List"/>
    <w:basedOn w:val="27"/>
    <w:uiPriority w:val="0"/>
    <w:qFormat/>
    <w:rPr>
      <w:rFonts w:cs="Arial"/>
    </w:rPr>
  </w:style>
  <w:style w:type="paragraph" w:styleId="40">
    <w:name w:val="Normal (Web)"/>
    <w:basedOn w:val="1"/>
    <w:uiPriority w:val="99"/>
    <w:semiHidden/>
    <w:unhideWhenUsed/>
    <w:qFormat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55"/>
    <w:uiPriority w:val="11"/>
    <w:qFormat/>
    <w:pPr>
      <w:spacing w:before="200" w:after="200"/>
    </w:pPr>
    <w:rPr>
      <w:sz w:val="24"/>
      <w:szCs w:val="24"/>
    </w:rPr>
  </w:style>
  <w:style w:type="paragraph" w:styleId="42">
    <w:name w:val="HTML Preformatted"/>
    <w:basedOn w:val="1"/>
    <w:uiPriority w:val="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44" w:customStyle="1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styleId="45" w:customStyle="1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styleId="46" w:customStyle="1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styleId="47" w:customStyle="1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styleId="48" w:customStyle="1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styleId="49" w:customStyle="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styleId="50" w:customStyle="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51" w:customStyle="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styleId="52" w:customStyle="1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53">
    <w:name w:val="No Spacing"/>
    <w:uiPriority w:val="1"/>
    <w:qFormat/>
    <w:pPr>
      <w:spacing w:before="0" w:after="0" w:line="240" w:lineRule="auto"/>
    </w:pPr>
    <w:rPr>
      <w:lang w:val="ru-RU" w:eastAsia="ru-RU" w:bidi="ar-SA"/>
    </w:rPr>
  </w:style>
  <w:style w:type="character" w:styleId="54" w:customStyle="1">
    <w:name w:val="Title Char"/>
    <w:basedOn w:val="11"/>
    <w:uiPriority w:val="10"/>
    <w:rPr>
      <w:sz w:val="48"/>
      <w:szCs w:val="48"/>
    </w:rPr>
  </w:style>
  <w:style w:type="character" w:styleId="55" w:customStyle="1">
    <w:name w:val="Subtitle Char"/>
    <w:basedOn w:val="11"/>
    <w:link w:val="41"/>
    <w:uiPriority w:val="11"/>
    <w:rPr>
      <w:sz w:val="24"/>
      <w:szCs w:val="24"/>
    </w:rPr>
  </w:style>
  <w:style w:type="paragraph" w:styleId="56">
    <w:name w:val="Quote"/>
    <w:basedOn w:val="1"/>
    <w:next w:val="1"/>
    <w:link w:val="57"/>
    <w:uiPriority w:val="29"/>
    <w:qFormat/>
    <w:pPr>
      <w:ind w:left="720" w:right="720"/>
    </w:pPr>
    <w:rPr>
      <w:i/>
    </w:rPr>
  </w:style>
  <w:style w:type="character" w:styleId="57" w:customStyle="1">
    <w:name w:val="Quote Char"/>
    <w:link w:val="56"/>
    <w:uiPriority w:val="29"/>
    <w:qFormat/>
    <w:rPr>
      <w:i/>
    </w:rPr>
  </w:style>
  <w:style w:type="paragraph" w:styleId="58">
    <w:name w:val="Intense Quote"/>
    <w:basedOn w:val="1"/>
    <w:next w:val="1"/>
    <w:link w:val="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59" w:customStyle="1">
    <w:name w:val="Intense Quote Char"/>
    <w:link w:val="58"/>
    <w:uiPriority w:val="30"/>
    <w:qFormat/>
    <w:rPr>
      <w:i/>
    </w:rPr>
  </w:style>
  <w:style w:type="character" w:styleId="60" w:customStyle="1">
    <w:name w:val="Header Char"/>
    <w:basedOn w:val="11"/>
    <w:uiPriority w:val="99"/>
  </w:style>
  <w:style w:type="character" w:styleId="61" w:customStyle="1">
    <w:name w:val="Footer Char"/>
    <w:basedOn w:val="11"/>
    <w:uiPriority w:val="99"/>
  </w:style>
  <w:style w:type="character" w:styleId="62" w:customStyle="1">
    <w:name w:val="Caption Char"/>
    <w:basedOn w:val="11"/>
    <w:link w:val="19"/>
    <w:uiPriority w:val="35"/>
    <w:qFormat/>
    <w:rPr>
      <w:b/>
      <w:bCs/>
      <w:color w:val="4f81bd" w:themeColor="accent1"/>
      <w:sz w:val="18"/>
      <w:szCs w:val="18"/>
    </w:rPr>
  </w:style>
  <w:style w:type="table" w:styleId="63" w:customStyle="1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" w:customStyle="1">
    <w:name w:val="Plain Table 1"/>
    <w:basedOn w:val="1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styleId="65" w:customStyle="1">
    <w:name w:val="Plain Table 2"/>
    <w:basedOn w:val="1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66" w:customStyle="1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styleId="67" w:customStyle="1">
    <w:name w:val="Plain Table 4"/>
    <w:basedOn w:val="12"/>
    <w:uiPriority w:val="99"/>
    <w:qFormat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styleId="68" w:customStyle="1">
    <w:name w:val="Plain Table 5"/>
    <w:basedOn w:val="12"/>
    <w:uiPriority w:val="99"/>
    <w:qFormat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styleId="69" w:customStyle="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styleId="70" w:customStyle="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styleId="71" w:customStyle="1">
    <w:name w:val="Grid Table 1 Light - Accent 2"/>
    <w:basedOn w:val="1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styleId="72" w:customStyle="1">
    <w:name w:val="Grid Table 1 Light - Accent 3"/>
    <w:basedOn w:val="1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73" w:customStyle="1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74" w:customStyle="1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styleId="75" w:customStyle="1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76" w:customStyle="1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96969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styleId="77" w:customStyle="1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D8BC2" w:themeColor="accent1" w:themeTint="E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styleId="78" w:customStyle="1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D99795" w:themeColor="accent2" w:themeTint="97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79" w:customStyle="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9BBB59" w:themeColor="accent3" w:themeTint="FE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80" w:customStyle="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B2A1C6" w:themeColor="accent4" w:themeTint="9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81" w:customStyle="1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4BACC6" w:themeColor="accent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82" w:customStyle="1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79646" w:themeColor="accent6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83" w:customStyle="1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styleId="84" w:customStyle="1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styleId="85" w:customStyle="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86" w:customStyle="1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87" w:customStyle="1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88" w:customStyle="1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89" w:customStyle="1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90" w:customStyle="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styleId="91" w:customStyle="1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92" w:customStyle="1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93" w:customStyle="1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94" w:customStyle="1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95" w:customStyle="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96" w:customStyle="1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97" w:customStyle="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styleId="98" w:customStyle="1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styleId="99" w:customStyle="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100" w:customStyle="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styleId="101" w:customStyle="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102" w:customStyle="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103" w:customStyle="1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104" w:customStyle="1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Tint="80" w:themeShade="95"/>
      </w:rPr>
    </w:tblStylePr>
    <w:tblStylePr w:type="firstCol">
      <w:rPr>
        <w:b/>
        <w:color w:val="7e7e7e" w:themeColor="text1" w:themeTint="80" w:themeShade="95"/>
      </w:rPr>
    </w:tblStylePr>
    <w:tblStylePr w:type="lastCol">
      <w:rPr>
        <w:b/>
        <w:color w:val="7e7e7e" w:themeColor="text1" w:themeTint="80" w:themeShade="95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</w:style>
  <w:style w:type="table" w:styleId="105" w:customStyle="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106" w:customStyle="1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Tint="97" w:themeShade="95"/>
      </w:rPr>
    </w:tblStylePr>
    <w:tblStylePr w:type="firstCol">
      <w:rPr>
        <w:b/>
        <w:color w:val="d99795" w:themeColor="accent2" w:themeTint="97" w:themeShade="95"/>
      </w:rPr>
    </w:tblStylePr>
    <w:tblStylePr w:type="lastCol">
      <w:rPr>
        <w:b/>
        <w:color w:val="d997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</w:style>
  <w:style w:type="table" w:styleId="107" w:customStyle="1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E" w:themeShade="95"/>
      </w:rPr>
    </w:tblStylePr>
    <w:tblStylePr w:type="firstCol">
      <w:rPr>
        <w:b/>
        <w:color w:val="9bbb59" w:themeColor="accent3" w:themeTint="FE" w:themeShade="95"/>
      </w:rPr>
    </w:tblStylePr>
    <w:tblStylePr w:type="lastCol">
      <w:rPr>
        <w:b/>
        <w:color w:val="9bbb59" w:themeColor="accent3" w:themeTint="FE" w:themeShade="95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</w:style>
  <w:style w:type="table" w:styleId="108" w:customStyle="1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109" w:customStyle="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110" w:customStyle="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111" w:customStyle="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tcBorders>
          <w:top w:val="none"/>
          <w:left w:val="none"/>
          <w:bottom w:val="single" w:color="7E7E7E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tcBorders>
          <w:top w:val="single" w:color="7E7E7E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tcBorders>
          <w:top w:val="none"/>
          <w:left w:val="single" w:color="7E7E7E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</w:style>
  <w:style w:type="table" w:styleId="112" w:customStyle="1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/>
          <w:left w:val="none"/>
          <w:bottom w:val="single" w:color="A6BFDD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/>
          <w:left w:val="single" w:color="A6BFDD" w:themeColor="accen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113" w:customStyle="1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tcBorders>
          <w:top w:val="none"/>
          <w:left w:val="none"/>
          <w:bottom w:val="single" w:color="D99795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tcBorders>
          <w:top w:val="single" w:color="D99795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tcBorders>
          <w:top w:val="none"/>
          <w:left w:val="single" w:color="D99795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</w:style>
  <w:style w:type="table" w:styleId="114" w:customStyle="1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tcBorders>
          <w:top w:val="none"/>
          <w:left w:val="none"/>
          <w:bottom w:val="single" w:color="9BBB59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tcBorders>
          <w:top w:val="single" w:color="9BBB59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tcBorders>
          <w:top w:val="none"/>
          <w:left w:val="single" w:color="9BBB59" w:themeColor="accent3" w:themeTint="FE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</w:style>
  <w:style w:type="table" w:styleId="115" w:customStyle="1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/>
          <w:left w:val="none"/>
          <w:bottom w:val="single" w:color="B2A1C6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/>
          <w:left w:val="single" w:color="B2A1C6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116" w:customStyle="1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/>
          <w:left w:val="none"/>
          <w:bottom w:val="single" w:color="99D0DE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/>
          <w:left w:val="single" w:color="99D0DE" w:themeColor="accent5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117" w:customStyle="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/>
          <w:left w:val="none"/>
          <w:bottom w:val="single" w:color="FAC396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/>
          <w:left w:val="single" w:color="FAC396" w:themeColor="accent6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18" w:customStyle="1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styleId="119" w:customStyle="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one"/>
          <w:left w:val="none"/>
          <w:bottom w:val="single" w:color="4F81BD" w:themeColor="accen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120" w:customStyle="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one"/>
          <w:left w:val="none"/>
          <w:bottom w:val="single" w:color="C0504D" w:themeColor="accent2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styleId="121" w:customStyle="1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one"/>
          <w:left w:val="none"/>
          <w:bottom w:val="single" w:color="9BBB59" w:themeColor="accent3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styleId="122" w:customStyle="1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one"/>
          <w:left w:val="none"/>
          <w:bottom w:val="single" w:color="8064A2" w:themeColor="accent4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123" w:customStyle="1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one"/>
          <w:left w:val="none"/>
          <w:bottom w:val="single" w:color="4BACC6" w:themeColor="accent5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124" w:customStyle="1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one"/>
          <w:left w:val="none"/>
          <w:bottom w:val="single" w:color="F79646" w:themeColor="accent6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styleId="125" w:customStyle="1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/>
          <w:bottom w:val="single" w:color="6E6E6E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/>
          <w:bottom w:val="single" w:color="6E6E6E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styleId="126" w:customStyle="1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/>
          <w:bottom w:val="single" w:color="9BB7D9" w:themeColor="accen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/>
          <w:bottom w:val="single" w:color="9BB7D9" w:themeColor="accen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127" w:customStyle="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/>
          <w:bottom w:val="single" w:color="DB9C9A" w:themeColor="accent2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/>
          <w:bottom w:val="single" w:color="DB9C9A" w:themeColor="accent2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styleId="128" w:customStyle="1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/>
          <w:bottom w:val="single" w:color="C6D8A1" w:themeColor="accent3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/>
          <w:bottom w:val="single" w:color="C6D8A1" w:themeColor="accent3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styleId="129" w:customStyle="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/>
          <w:bottom w:val="single" w:color="B7A7CA" w:themeColor="accent4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/>
          <w:bottom w:val="single" w:color="B7A7CA" w:themeColor="accent4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130" w:customStyle="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/>
          <w:bottom w:val="single" w:color="99D0DE" w:themeColor="accent5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/>
          <w:bottom w:val="single" w:color="99D0DE" w:themeColor="accent5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131" w:customStyle="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/>
          <w:bottom w:val="single" w:color="FAC396" w:themeColor="accent6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/>
          <w:bottom w:val="single" w:color="FAC396" w:themeColor="accent6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styleId="132" w:customStyle="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133" w:customStyle="1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134" w:customStyle="1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styleId="135" w:customStyle="1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styleId="136" w:customStyle="1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137" w:customStyle="1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138" w:customStyle="1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139" w:customStyle="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styleId="140" w:customStyle="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141" w:customStyle="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styleId="142" w:customStyle="1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styleId="143" w:customStyle="1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144" w:customStyle="1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145" w:customStyle="1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styleId="146" w:customStyle="1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styleId="147" w:customStyle="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148" w:customStyle="1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styleId="149" w:customStyle="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styleId="150" w:customStyle="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151" w:customStyle="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152" w:customStyle="1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153" w:customStyle="1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154" w:customStyle="1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styleId="155" w:customStyle="1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Tint="97" w:themeShade="95"/>
      </w:rPr>
    </w:tblStylePr>
    <w:tblStylePr w:type="lastCol">
      <w:rPr>
        <w:b/>
        <w:color w:val="d99795" w:themeColor="accent2" w:themeTint="97" w:themeShade="95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</w:style>
  <w:style w:type="table" w:styleId="156" w:customStyle="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Tint="98" w:themeShade="95"/>
      </w:rPr>
    </w:tblStylePr>
    <w:tblStylePr w:type="lastCol">
      <w:rPr>
        <w:b/>
        <w:color w:val="c3d69c" w:themeColor="accent3" w:themeTint="98" w:themeShade="95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</w:style>
  <w:style w:type="table" w:styleId="157" w:customStyle="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158" w:customStyle="1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159" w:customStyle="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160" w:customStyle="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tcBorders>
          <w:top w:val="none"/>
          <w:left w:val="none"/>
          <w:bottom w:val="single" w:color="7E7E7E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tcBorders>
          <w:top w:val="single" w:color="7E7E7E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tcBorders>
          <w:top w:val="none"/>
          <w:left w:val="single" w:color="7E7E7E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</w:style>
  <w:style w:type="table" w:styleId="161" w:customStyle="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4F81BD" w:themeColor="accent1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4F81BD" w:themeColor="accent1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styleId="162" w:customStyle="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tcBorders>
          <w:top w:val="none"/>
          <w:left w:val="none"/>
          <w:bottom w:val="single" w:color="D99795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tcBorders>
          <w:top w:val="single" w:color="D99795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tcBorders>
          <w:top w:val="none"/>
          <w:left w:val="single" w:color="D99795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</w:style>
  <w:style w:type="table" w:styleId="163" w:customStyle="1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tcBorders>
          <w:top w:val="none"/>
          <w:left w:val="none"/>
          <w:bottom w:val="single" w:color="C3D69C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tcBorders>
          <w:top w:val="single" w:color="C3D69C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tcBorders>
          <w:top w:val="none"/>
          <w:left w:val="single" w:color="C3D69C" w:themeColor="accent3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</w:style>
  <w:style w:type="table" w:styleId="164" w:customStyle="1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/>
          <w:left w:val="none"/>
          <w:bottom w:val="single" w:color="B2A1C6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/>
          <w:left w:val="single" w:color="B2A1C6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165" w:customStyle="1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/>
          <w:left w:val="none"/>
          <w:bottom w:val="single" w:color="92CCDC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/>
          <w:left w:val="single" w:color="92CCDC" w:themeColor="accent5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166" w:customStyle="1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/>
          <w:left w:val="none"/>
          <w:bottom w:val="single" w:color="FAC09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/>
          <w:left w:val="single" w:color="FAC090" w:themeColor="accent6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167" w:customStyle="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styleId="168" w:customStyle="1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169" w:customStyle="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170" w:customStyle="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171" w:customStyle="1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172" w:customStyle="1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173" w:customStyle="1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174" w:customStyle="1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styleId="175" w:customStyle="1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176" w:customStyle="1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177" w:customStyle="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178" w:customStyle="1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179" w:customStyle="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180" w:customStyle="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181" w:customStyle="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styleId="182" w:customStyle="1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styleId="183" w:customStyle="1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styleId="184" w:customStyle="1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185" w:customStyle="1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186" w:customStyle="1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styleId="187" w:customStyle="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88" w:customStyle="1">
    <w:name w:val="Footnote Text Char"/>
    <w:link w:val="22"/>
    <w:uiPriority w:val="99"/>
    <w:rPr>
      <w:sz w:val="18"/>
    </w:rPr>
  </w:style>
  <w:style w:type="character" w:styleId="189" w:customStyle="1">
    <w:name w:val="Endnote Text Char"/>
    <w:link w:val="18"/>
    <w:uiPriority w:val="99"/>
    <w:rPr>
      <w:sz w:val="20"/>
    </w:rPr>
  </w:style>
  <w:style w:type="paragraph" w:styleId="190" w:customStyle="1">
    <w:name w:val="TOC Heading"/>
    <w:uiPriority w:val="39"/>
    <w:unhideWhenUsed/>
    <w:qFormat/>
    <w:rPr>
      <w:lang w:val="ru-RU" w:eastAsia="ru-RU" w:bidi="ar-SA"/>
    </w:rPr>
  </w:style>
  <w:style w:type="character" w:styleId="191" w:customStyle="1">
    <w:name w:val="Стандартный HTML Знак"/>
    <w:uiPriority w:val="0"/>
    <w:qFormat/>
    <w:rPr>
      <w:rFonts w:ascii="Courier New" w:hAnsi="Courier New" w:cs="Courier New"/>
      <w:lang w:val="ru-RU" w:eastAsia="ru-RU" w:bidi="ar-SA"/>
    </w:rPr>
  </w:style>
  <w:style w:type="character" w:styleId="192" w:customStyle="1">
    <w:name w:val="Текст выноски Знак"/>
    <w:uiPriority w:val="0"/>
    <w:qFormat/>
    <w:rPr>
      <w:rFonts w:ascii="Segoe UI" w:hAnsi="Segoe UI" w:cs="Segoe UI"/>
      <w:sz w:val="18"/>
      <w:szCs w:val="18"/>
    </w:rPr>
  </w:style>
  <w:style w:type="character" w:styleId="193" w:customStyle="1">
    <w:name w:val="Основной текст с отступом Знак"/>
    <w:uiPriority w:val="0"/>
    <w:qFormat/>
    <w:rPr>
      <w:bCs/>
      <w:sz w:val="22"/>
      <w:szCs w:val="22"/>
      <w:lang w:eastAsia="ar-SA"/>
    </w:rPr>
  </w:style>
  <w:style w:type="character" w:styleId="194" w:customStyle="1">
    <w:name w:val="Интернет-ссылка"/>
    <w:uiPriority w:val="0"/>
    <w:qFormat/>
    <w:rPr>
      <w:color w:val="000080"/>
      <w:u w:val="single"/>
    </w:rPr>
  </w:style>
  <w:style w:type="paragraph" w:styleId="195" w:customStyle="1">
    <w:name w:val="ConsPlusNonformat"/>
    <w:uiPriority w:val="0"/>
    <w:qFormat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96" w:customStyle="1">
    <w:name w:val="ConsPlusNormal"/>
    <w:uiPriority w:val="0"/>
    <w:qFormat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197" w:customStyle="1">
    <w:name w:val="Содержимое таблицы"/>
    <w:basedOn w:val="1"/>
    <w:uiPriority w:val="0"/>
    <w:qFormat/>
    <w:pPr>
      <w:widowControl w:val="off"/>
      <w:suppressLineNumbers/>
    </w:pPr>
  </w:style>
  <w:style w:type="paragraph" w:styleId="198" w:customStyle="1">
    <w:name w:val="Заголовок таблицы"/>
    <w:basedOn w:val="197"/>
    <w:uiPriority w:val="0"/>
    <w:qFormat/>
    <w:pPr>
      <w:jc w:val="center"/>
    </w:pPr>
    <w:rPr>
      <w:b/>
      <w:bCs/>
    </w:rPr>
  </w:style>
  <w:style w:type="paragraph" w:styleId="199" w:customStyle="1">
    <w:name w:val="s_3"/>
    <w:basedOn w:val="1"/>
    <w:uiPriority w:val="0"/>
    <w:qFormat/>
    <w:pPr>
      <w:spacing w:before="280" w:after="280"/>
    </w:pPr>
  </w:style>
  <w:style w:type="paragraph" w:styleId="200">
    <w:name w:val="List Paragraph"/>
    <w:basedOn w:val="1"/>
    <w:uiPriority w:val="34"/>
    <w:qFormat/>
    <w:pPr>
      <w:ind w:left="720"/>
      <w:contextualSpacing/>
    </w:pPr>
  </w:style>
  <w:style w:type="character" w:styleId="201" w:customStyle="1">
    <w:name w:val="Текст примечания Знак"/>
    <w:basedOn w:val="11"/>
    <w:link w:val="20"/>
    <w:uiPriority w:val="0"/>
    <w:semiHidden/>
    <w:qFormat/>
  </w:style>
  <w:style w:type="character" w:styleId="202" w:customStyle="1">
    <w:name w:val="Тема примечания Знак"/>
    <w:basedOn w:val="201"/>
    <w:link w:val="21"/>
    <w:uiPriority w:val="0"/>
    <w:semiHidden/>
    <w:qFormat/>
    <w:rPr>
      <w:b/>
      <w:bCs/>
    </w:rPr>
  </w:style>
  <w:style w:type="character" w:styleId="203" w:customStyle="1">
    <w:name w:val="Основной текст с отступом Знак1"/>
    <w:basedOn w:val="11"/>
    <w:link w:val="36"/>
    <w:uiPriority w:val="99"/>
    <w:qFormat/>
    <w:rPr>
      <w:bCs/>
      <w:sz w:val="22"/>
      <w:szCs w:val="22"/>
      <w:lang w:eastAsia="ar-SA"/>
    </w:rPr>
  </w:style>
  <w:style w:type="character" w:styleId="204" w:customStyle="1">
    <w:name w:val="Верхний колонтитул Знак"/>
    <w:basedOn w:val="11"/>
    <w:link w:val="24"/>
    <w:uiPriority w:val="99"/>
    <w:qFormat/>
    <w:rPr>
      <w:sz w:val="24"/>
      <w:szCs w:val="24"/>
    </w:rPr>
  </w:style>
  <w:style w:type="character" w:styleId="205" w:customStyle="1">
    <w:name w:val="Нижний колонтитул Знак"/>
    <w:basedOn w:val="11"/>
    <w:link w:val="38"/>
    <w:uiPriority w:val="0"/>
    <w:semiHidden/>
    <w:qFormat/>
    <w:rPr>
      <w:sz w:val="24"/>
      <w:szCs w:val="24"/>
    </w:rPr>
  </w:style>
  <w:style w:type="paragraph" w:styleId="206" w:customStyle="1">
    <w:name w:val="Body Text;Indented"/>
    <w:uiPriority w:val="0"/>
    <w:qFormat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567"/>
      <w:contextualSpacing w:val="0"/>
      <w:jc w:val="both"/>
    </w:pPr>
    <w:rPr>
      <w:rFonts w:ascii="Times New Roman" w:hAnsi="Times New Roman" w:eastAsia="DejaVu Sans" w:cs="Droid Sans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customXml" Target="../customXml/item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4A25-7E70-4D98-B479-C4D05EBB87BF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LinksUpToDate>false</LinksUpToDate>
  <Pages>81</Pages>
  <ScaleCrop>false</ScaleCrop>
  <Template>Normal</Template>
  <TotalTime>10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graf.aa</cp:lastModifiedBy>
  <cp:revision>766</cp:revision>
  <dcterms:created xsi:type="dcterms:W3CDTF">2024-08-28T10:06:00Z</dcterms:created>
  <dcterms:modified xsi:type="dcterms:W3CDTF">2026-02-13T16:03:52Z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D0F67E6009984270B134999C41025259_12</vt:lpwstr>
  </property>
</Properties>
</file>