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44" w:rsidRDefault="00970B44" w:rsidP="0065679F">
      <w:pPr>
        <w:spacing w:line="240" w:lineRule="auto"/>
        <w:ind w:firstLine="720"/>
        <w:contextualSpacing/>
        <w:jc w:val="center"/>
        <w:rPr>
          <w:b/>
        </w:rPr>
      </w:pPr>
      <w:bookmarkStart w:id="0" w:name="_GoBack"/>
      <w:bookmarkEnd w:id="0"/>
      <w:r w:rsidRPr="00970B44">
        <w:rPr>
          <w:b/>
        </w:rPr>
        <w:t xml:space="preserve">Анализ обращений граждан и организаций, поступивших в </w:t>
      </w:r>
      <w:r w:rsidR="0065679F">
        <w:rPr>
          <w:b/>
        </w:rPr>
        <w:t>Сибирское межрегиональное управление Росприроднадзора в</w:t>
      </w:r>
      <w:r w:rsidRPr="00970B44">
        <w:rPr>
          <w:b/>
        </w:rPr>
        <w:t xml:space="preserve"> 2019 год</w:t>
      </w:r>
      <w:r w:rsidR="0065679F">
        <w:rPr>
          <w:b/>
        </w:rPr>
        <w:t>у</w:t>
      </w:r>
    </w:p>
    <w:p w:rsidR="00970B44" w:rsidRDefault="00970B44" w:rsidP="00C54AAD">
      <w:pPr>
        <w:spacing w:line="240" w:lineRule="auto"/>
        <w:ind w:firstLine="720"/>
        <w:contextualSpacing/>
        <w:jc w:val="both"/>
        <w:rPr>
          <w:b/>
        </w:rPr>
      </w:pPr>
    </w:p>
    <w:p w:rsidR="00C54AAD" w:rsidRPr="00584285" w:rsidRDefault="00C54AAD" w:rsidP="00C54AAD">
      <w:pPr>
        <w:spacing w:line="240" w:lineRule="auto"/>
        <w:ind w:firstLine="720"/>
        <w:contextualSpacing/>
        <w:jc w:val="both"/>
      </w:pPr>
      <w:r w:rsidRPr="00584285">
        <w:rPr>
          <w:b/>
        </w:rPr>
        <w:t>В 201</w:t>
      </w:r>
      <w:r w:rsidR="00584285" w:rsidRPr="00584285">
        <w:rPr>
          <w:b/>
        </w:rPr>
        <w:t>9</w:t>
      </w:r>
      <w:r w:rsidRPr="00584285">
        <w:rPr>
          <w:b/>
        </w:rPr>
        <w:t xml:space="preserve"> году</w:t>
      </w:r>
      <w:r w:rsidRPr="00584285">
        <w:t xml:space="preserve"> </w:t>
      </w:r>
      <w:r w:rsidR="00584285" w:rsidRPr="00584285">
        <w:t>Сибирским межрегиональным управлением Росприроднадзора (далее – Управление)</w:t>
      </w:r>
      <w:r w:rsidRPr="00584285">
        <w:t xml:space="preserve">, продолжена работа по рассмотрению </w:t>
      </w:r>
      <w:r w:rsidR="0025331A" w:rsidRPr="00584285">
        <w:t xml:space="preserve">обращений граждан и организаций </w:t>
      </w:r>
      <w:r w:rsidRPr="00584285">
        <w:rPr>
          <w:rFonts w:cs="Times New Roman"/>
        </w:rPr>
        <w:t>(</w:t>
      </w:r>
      <w:r w:rsidRPr="00584285">
        <w:t>далее – Обращения</w:t>
      </w:r>
      <w:r w:rsidRPr="00584285">
        <w:rPr>
          <w:rFonts w:cs="Times New Roman"/>
        </w:rPr>
        <w:t xml:space="preserve">) </w:t>
      </w:r>
      <w:r w:rsidRPr="00584285">
        <w:t>и проведению личного приёма граждан в соответствии с Федеральным законом от 02.05.2006 № 59-ФЗ «О порядке рассмотрения обращений граждан Российской Федерации»</w:t>
      </w:r>
      <w:r w:rsidR="0025331A" w:rsidRPr="00584285">
        <w:t xml:space="preserve"> и </w:t>
      </w:r>
      <w:r w:rsidR="002F6AF4" w:rsidRPr="00584285">
        <w:t>приказом Росприроднадзора от 19.10.2015 N 832 (ред. от 15.01.2018) "Об утверждении Инструкци</w:t>
      </w:r>
      <w:r w:rsidR="00584285" w:rsidRPr="00584285">
        <w:t>и</w:t>
      </w:r>
      <w:r w:rsidR="002F6AF4" w:rsidRPr="00584285">
        <w:t xml:space="preserve"> о порядке рассмотрения обращений граждан и организаций в Федеральной службе по надзору в сфере природопользования и о внесении изменения в Регламент Федеральной службы по надзору в сфере природопользования, утвержденный приказом Росприроднадзора от 29 июня 2007 г. N 191"</w:t>
      </w:r>
      <w:r w:rsidRPr="00584285">
        <w:t>.</w:t>
      </w:r>
    </w:p>
    <w:p w:rsidR="0035279A" w:rsidRDefault="00C54AAD" w:rsidP="00C54AAD">
      <w:pPr>
        <w:spacing w:line="240" w:lineRule="auto"/>
        <w:ind w:firstLine="720"/>
        <w:contextualSpacing/>
        <w:jc w:val="both"/>
        <w:rPr>
          <w:color w:val="FF0000"/>
        </w:rPr>
      </w:pPr>
      <w:r w:rsidRPr="0035279A">
        <w:rPr>
          <w:b/>
        </w:rPr>
        <w:t>В 201</w:t>
      </w:r>
      <w:r w:rsidR="0035279A" w:rsidRPr="0035279A">
        <w:rPr>
          <w:b/>
        </w:rPr>
        <w:t>9</w:t>
      </w:r>
      <w:r w:rsidRPr="0035279A">
        <w:rPr>
          <w:b/>
        </w:rPr>
        <w:t xml:space="preserve"> году </w:t>
      </w:r>
      <w:r w:rsidR="0035279A" w:rsidRPr="0035279A">
        <w:t>руководством Управления был приведён личный</w:t>
      </w:r>
      <w:r w:rsidR="0035279A" w:rsidRPr="0035279A">
        <w:rPr>
          <w:color w:val="FF0000"/>
        </w:rPr>
        <w:t xml:space="preserve"> </w:t>
      </w:r>
      <w:r w:rsidR="0035279A" w:rsidRPr="000F5A8B">
        <w:t xml:space="preserve">приём </w:t>
      </w:r>
      <w:r w:rsidR="000F5A8B" w:rsidRPr="000F5A8B">
        <w:t>8</w:t>
      </w:r>
      <w:r w:rsidR="0035279A" w:rsidRPr="000F5A8B">
        <w:t xml:space="preserve"> граждан </w:t>
      </w:r>
      <w:r w:rsidR="0035279A">
        <w:t>и организаций</w:t>
      </w:r>
      <w:r w:rsidR="00B02D30">
        <w:t xml:space="preserve"> в г. Новосибирске и г. Томске.</w:t>
      </w:r>
    </w:p>
    <w:p w:rsidR="00C54AAD" w:rsidRPr="00CC445E" w:rsidRDefault="00C54AAD" w:rsidP="00C54AAD">
      <w:pPr>
        <w:spacing w:line="240" w:lineRule="auto"/>
        <w:ind w:firstLine="720"/>
        <w:contextualSpacing/>
        <w:jc w:val="both"/>
      </w:pPr>
      <w:r w:rsidRPr="00CC445E">
        <w:t>По поручению Президента Российской Федерации в 201</w:t>
      </w:r>
      <w:r w:rsidR="00B02D30" w:rsidRPr="00CC445E">
        <w:t>9</w:t>
      </w:r>
      <w:r w:rsidRPr="00CC445E">
        <w:t xml:space="preserve"> году руковод</w:t>
      </w:r>
      <w:r w:rsidR="00CC445E" w:rsidRPr="00CC445E">
        <w:t>ством Управления</w:t>
      </w:r>
      <w:r w:rsidRPr="00CC445E">
        <w:t xml:space="preserve"> в приёмных Президента Российской Федерации в Сибирском федеральном округе и </w:t>
      </w:r>
      <w:r w:rsidR="00CC445E" w:rsidRPr="00CC445E">
        <w:t>Томской области</w:t>
      </w:r>
      <w:r w:rsidRPr="00CC445E">
        <w:t xml:space="preserve"> проведены личные приёмы, на которых принято </w:t>
      </w:r>
      <w:r w:rsidR="000F5A8B" w:rsidRPr="000F5A8B">
        <w:rPr>
          <w:b/>
        </w:rPr>
        <w:t>трое</w:t>
      </w:r>
      <w:r w:rsidR="00293266" w:rsidRPr="000F5A8B">
        <w:t xml:space="preserve"> </w:t>
      </w:r>
      <w:r w:rsidR="00293266" w:rsidRPr="00CC445E">
        <w:t>граждан</w:t>
      </w:r>
      <w:r w:rsidRPr="00CC445E">
        <w:t xml:space="preserve">. </w:t>
      </w:r>
    </w:p>
    <w:p w:rsidR="001C60A4" w:rsidRPr="00584285" w:rsidRDefault="001C60A4" w:rsidP="001C60A4">
      <w:pPr>
        <w:spacing w:line="240" w:lineRule="auto"/>
        <w:ind w:firstLine="708"/>
        <w:contextualSpacing/>
        <w:jc w:val="both"/>
        <w:rPr>
          <w:color w:val="FF0000"/>
          <w:lang w:eastAsia="ru-RU"/>
        </w:rPr>
      </w:pPr>
      <w:r w:rsidRPr="00B02D30">
        <w:t xml:space="preserve">Кроме того, </w:t>
      </w:r>
      <w:r w:rsidRPr="00B02D30">
        <w:rPr>
          <w:lang w:eastAsia="ru-RU"/>
        </w:rPr>
        <w:t>ежегодно, 12 декабря, в День Конституции Российской Федерации уполномоченные лица территориальных органов участвуют в Общероссийском Дне приёма граждан, проводимом по поручению Президента Российской Федерации.</w:t>
      </w:r>
    </w:p>
    <w:p w:rsidR="00C54AAD" w:rsidRPr="00CC445E" w:rsidRDefault="00293266" w:rsidP="00C54AAD">
      <w:pPr>
        <w:spacing w:line="240" w:lineRule="auto"/>
        <w:ind w:firstLine="708"/>
        <w:contextualSpacing/>
        <w:jc w:val="both"/>
      </w:pPr>
      <w:r w:rsidRPr="00B02D30">
        <w:rPr>
          <w:b/>
        </w:rPr>
        <w:t>В</w:t>
      </w:r>
      <w:r w:rsidR="00C54AAD" w:rsidRPr="00B02D30">
        <w:t xml:space="preserve"> </w:t>
      </w:r>
      <w:r w:rsidR="00B02D30" w:rsidRPr="00B02D30">
        <w:t>Управлении</w:t>
      </w:r>
      <w:r w:rsidR="00C54AAD" w:rsidRPr="00B02D30">
        <w:t xml:space="preserve"> </w:t>
      </w:r>
      <w:r w:rsidR="00C54AAD" w:rsidRPr="00B02D30">
        <w:rPr>
          <w:b/>
        </w:rPr>
        <w:t>в 201</w:t>
      </w:r>
      <w:r w:rsidR="00B02D30" w:rsidRPr="00B02D30">
        <w:rPr>
          <w:b/>
        </w:rPr>
        <w:t>9</w:t>
      </w:r>
      <w:r w:rsidRPr="00B02D30">
        <w:rPr>
          <w:b/>
        </w:rPr>
        <w:t xml:space="preserve"> </w:t>
      </w:r>
      <w:r w:rsidR="00C54AAD" w:rsidRPr="00B02D30">
        <w:rPr>
          <w:b/>
        </w:rPr>
        <w:t>году</w:t>
      </w:r>
      <w:r w:rsidR="00C54AAD" w:rsidRPr="00B02D30">
        <w:t xml:space="preserve"> зарегистрировано и </w:t>
      </w:r>
      <w:r w:rsidR="00C54AAD" w:rsidRPr="00CC445E">
        <w:t xml:space="preserve">рассмотрено </w:t>
      </w:r>
      <w:r w:rsidR="00CC445E" w:rsidRPr="00CC445E">
        <w:rPr>
          <w:b/>
        </w:rPr>
        <w:t>213</w:t>
      </w:r>
      <w:r w:rsidR="00DA204F">
        <w:rPr>
          <w:b/>
        </w:rPr>
        <w:t>3</w:t>
      </w:r>
      <w:r w:rsidR="00C54AAD" w:rsidRPr="00CC445E">
        <w:rPr>
          <w:b/>
        </w:rPr>
        <w:t xml:space="preserve"> </w:t>
      </w:r>
      <w:r w:rsidR="00C54AAD" w:rsidRPr="00CC445E">
        <w:t>обращени</w:t>
      </w:r>
      <w:r w:rsidR="00CC445E" w:rsidRPr="00CC445E">
        <w:t>я</w:t>
      </w:r>
      <w:r w:rsidR="00D94205" w:rsidRPr="00CC445E">
        <w:t xml:space="preserve"> граждан и организаций</w:t>
      </w:r>
      <w:r w:rsidR="00CC445E" w:rsidRPr="00CC445E">
        <w:t>.</w:t>
      </w:r>
    </w:p>
    <w:p w:rsidR="00C54AAD" w:rsidRPr="00CC445E" w:rsidRDefault="00C54AAD" w:rsidP="00C54AAD">
      <w:pPr>
        <w:spacing w:line="240" w:lineRule="auto"/>
        <w:ind w:firstLine="708"/>
        <w:contextualSpacing/>
        <w:jc w:val="both"/>
      </w:pPr>
      <w:r w:rsidRPr="00CC445E">
        <w:t>Наибольшее количество обращений в 201</w:t>
      </w:r>
      <w:r w:rsidR="00B02D30" w:rsidRPr="00CC445E">
        <w:t>9</w:t>
      </w:r>
      <w:r w:rsidRPr="00CC445E">
        <w:t xml:space="preserve"> году рассмотрено </w:t>
      </w:r>
      <w:r w:rsidR="00CC445E" w:rsidRPr="00CC445E">
        <w:rPr>
          <w:b/>
        </w:rPr>
        <w:t>обособленным подразделением Управления в г. Омске – 962 обращения</w:t>
      </w:r>
      <w:r w:rsidRPr="00CC445E">
        <w:t xml:space="preserve">. </w:t>
      </w:r>
    </w:p>
    <w:p w:rsidR="009D005C" w:rsidRPr="00584285" w:rsidRDefault="009D005C" w:rsidP="00C54AAD">
      <w:pPr>
        <w:spacing w:line="240" w:lineRule="auto"/>
        <w:ind w:firstLine="708"/>
        <w:contextualSpacing/>
        <w:jc w:val="both"/>
        <w:rPr>
          <w:color w:val="FF0000"/>
        </w:rPr>
      </w:pPr>
    </w:p>
    <w:p w:rsidR="009D005C" w:rsidRPr="000F5A8B" w:rsidRDefault="009D005C" w:rsidP="009D005C">
      <w:pPr>
        <w:spacing w:line="240" w:lineRule="auto"/>
        <w:contextualSpacing/>
        <w:jc w:val="center"/>
        <w:rPr>
          <w:b/>
          <w:bCs/>
          <w:lang w:eastAsia="ru-RU"/>
        </w:rPr>
      </w:pPr>
      <w:r w:rsidRPr="000F5A8B">
        <w:rPr>
          <w:b/>
          <w:bCs/>
          <w:lang w:eastAsia="ru-RU"/>
        </w:rPr>
        <w:t xml:space="preserve">Динамика обращений, </w:t>
      </w:r>
    </w:p>
    <w:p w:rsidR="009D005C" w:rsidRPr="000F5A8B" w:rsidRDefault="009D005C" w:rsidP="00417C49">
      <w:pPr>
        <w:spacing w:line="240" w:lineRule="auto"/>
        <w:contextualSpacing/>
        <w:jc w:val="center"/>
        <w:rPr>
          <w:b/>
          <w:bCs/>
          <w:lang w:eastAsia="ru-RU"/>
        </w:rPr>
      </w:pPr>
      <w:r w:rsidRPr="000F5A8B">
        <w:rPr>
          <w:b/>
          <w:bCs/>
          <w:lang w:eastAsia="ru-RU"/>
        </w:rPr>
        <w:t>поступивших в 201</w:t>
      </w:r>
      <w:r w:rsidR="00417C49" w:rsidRPr="000F5A8B">
        <w:rPr>
          <w:b/>
          <w:bCs/>
          <w:lang w:eastAsia="ru-RU"/>
        </w:rPr>
        <w:t>9</w:t>
      </w:r>
      <w:r w:rsidRPr="000F5A8B">
        <w:rPr>
          <w:b/>
          <w:bCs/>
          <w:lang w:eastAsia="ru-RU"/>
        </w:rPr>
        <w:t xml:space="preserve"> году в </w:t>
      </w:r>
      <w:r w:rsidR="00417C49" w:rsidRPr="000F5A8B">
        <w:rPr>
          <w:b/>
          <w:bCs/>
          <w:lang w:eastAsia="ru-RU"/>
        </w:rPr>
        <w:t>Сибирское межрегиональное управление</w:t>
      </w:r>
    </w:p>
    <w:p w:rsidR="009D005C" w:rsidRPr="00584285" w:rsidRDefault="009D005C" w:rsidP="00C54AAD">
      <w:pPr>
        <w:spacing w:line="240" w:lineRule="auto"/>
        <w:ind w:firstLine="708"/>
        <w:contextualSpacing/>
        <w:jc w:val="both"/>
        <w:rPr>
          <w:color w:val="FF0000"/>
        </w:rPr>
      </w:pPr>
    </w:p>
    <w:p w:rsidR="009D005C" w:rsidRPr="00584285" w:rsidRDefault="000F5A8B" w:rsidP="00C54AAD">
      <w:pPr>
        <w:spacing w:line="240" w:lineRule="auto"/>
        <w:ind w:firstLine="708"/>
        <w:contextualSpacing/>
        <w:jc w:val="both"/>
        <w:rPr>
          <w:color w:val="FF0000"/>
        </w:rPr>
      </w:pPr>
      <w:r>
        <w:rPr>
          <w:noProof/>
          <w:lang w:eastAsia="ru-RU" w:bidi="ar-SA"/>
        </w:rPr>
        <w:drawing>
          <wp:inline distT="0" distB="0" distL="0" distR="0" wp14:anchorId="6CA09322" wp14:editId="1EDD3604">
            <wp:extent cx="5286375" cy="3390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05C" w:rsidRPr="00584285" w:rsidRDefault="009D005C" w:rsidP="000D1560">
      <w:pPr>
        <w:spacing w:line="240" w:lineRule="auto"/>
        <w:ind w:firstLine="708"/>
        <w:contextualSpacing/>
        <w:jc w:val="both"/>
        <w:rPr>
          <w:color w:val="FF0000"/>
        </w:rPr>
      </w:pPr>
    </w:p>
    <w:p w:rsidR="009D005C" w:rsidRPr="00584285" w:rsidRDefault="009D005C" w:rsidP="000D1560">
      <w:pPr>
        <w:spacing w:line="240" w:lineRule="auto"/>
        <w:ind w:firstLine="708"/>
        <w:contextualSpacing/>
        <w:jc w:val="both"/>
        <w:rPr>
          <w:color w:val="FF0000"/>
        </w:rPr>
      </w:pPr>
    </w:p>
    <w:p w:rsidR="009D005C" w:rsidRPr="00584285" w:rsidRDefault="009D005C" w:rsidP="000D1560">
      <w:pPr>
        <w:spacing w:line="240" w:lineRule="auto"/>
        <w:ind w:firstLine="708"/>
        <w:contextualSpacing/>
        <w:jc w:val="both"/>
        <w:rPr>
          <w:color w:val="FF0000"/>
        </w:rPr>
      </w:pPr>
    </w:p>
    <w:p w:rsidR="00B02D30" w:rsidRPr="00417C49" w:rsidRDefault="00C54AAD" w:rsidP="000D1560">
      <w:pPr>
        <w:spacing w:line="240" w:lineRule="auto"/>
        <w:ind w:firstLine="708"/>
        <w:contextualSpacing/>
        <w:jc w:val="both"/>
      </w:pPr>
      <w:r w:rsidRPr="00417C49">
        <w:lastRenderedPageBreak/>
        <w:t>На протяжении последних лет отмеча</w:t>
      </w:r>
      <w:r w:rsidR="0041783A" w:rsidRPr="00417C49">
        <w:t>лся</w:t>
      </w:r>
      <w:r w:rsidRPr="00417C49">
        <w:t xml:space="preserve"> стабильный рост количества обращений, поступающих в </w:t>
      </w:r>
      <w:r w:rsidR="00B02D30" w:rsidRPr="00417C49">
        <w:t>Управление</w:t>
      </w:r>
      <w:r w:rsidRPr="00417C49">
        <w:t>.</w:t>
      </w:r>
      <w:r w:rsidR="00417C49" w:rsidRPr="00417C49">
        <w:t xml:space="preserve"> В 2019 году поступило</w:t>
      </w:r>
      <w:r w:rsidR="00417C49">
        <w:t xml:space="preserve"> </w:t>
      </w:r>
      <w:r w:rsidR="00417C49" w:rsidRPr="00417C49">
        <w:rPr>
          <w:b/>
        </w:rPr>
        <w:t>2133</w:t>
      </w:r>
      <w:r w:rsidR="00417C49">
        <w:t xml:space="preserve"> Обращения, что</w:t>
      </w:r>
      <w:r w:rsidR="00417C49" w:rsidRPr="00417C49">
        <w:t xml:space="preserve"> на 62 % больше по сравнению с 2018 годом </w:t>
      </w:r>
      <w:r w:rsidR="00417C49" w:rsidRPr="00417C49">
        <w:rPr>
          <w:b/>
        </w:rPr>
        <w:t>(1319)</w:t>
      </w:r>
      <w:r w:rsidR="00417C49" w:rsidRPr="00417C49">
        <w:t>.</w:t>
      </w:r>
    </w:p>
    <w:p w:rsidR="0074049A" w:rsidRPr="00160FAA" w:rsidRDefault="0074049A" w:rsidP="0074049A">
      <w:pPr>
        <w:spacing w:line="240" w:lineRule="auto"/>
        <w:ind w:firstLine="708"/>
        <w:contextualSpacing/>
        <w:jc w:val="both"/>
        <w:rPr>
          <w:lang w:eastAsia="ru-RU"/>
        </w:rPr>
      </w:pPr>
      <w:r w:rsidRPr="00160FAA">
        <w:rPr>
          <w:lang w:eastAsia="ru-RU"/>
        </w:rPr>
        <w:t>В соответствии с Типовым общероссийским тематическим классификатором обращений граждан, организаций и общественных объединений, преобладающие вопросы, поднятые в обращениях, поступающих в территориальные органы Росприроднадзора, относятся к тематике - «Природные ресурсы и охрана окружающей природной среды» тематического раздела «3. Экономика».</w:t>
      </w:r>
    </w:p>
    <w:p w:rsidR="00C54AAD" w:rsidRPr="00160FAA" w:rsidRDefault="00C54AAD" w:rsidP="00C54AAD">
      <w:pPr>
        <w:spacing w:line="240" w:lineRule="auto"/>
        <w:ind w:firstLine="708"/>
        <w:contextualSpacing/>
        <w:jc w:val="both"/>
      </w:pPr>
      <w:r w:rsidRPr="00160FAA">
        <w:t>В Обращениях, поступивших в 201</w:t>
      </w:r>
      <w:r w:rsidR="00160FAA" w:rsidRPr="00160FAA">
        <w:t>9</w:t>
      </w:r>
      <w:r w:rsidRPr="00160FAA">
        <w:t xml:space="preserve"> году, по-прежнему наиболее актуальными являются вопросы, связанные с загрязнением атмосферного воздуха</w:t>
      </w:r>
      <w:r w:rsidR="009F4653" w:rsidRPr="00160FAA">
        <w:t>,</w:t>
      </w:r>
      <w:r w:rsidRPr="00160FAA">
        <w:t xml:space="preserve"> </w:t>
      </w:r>
      <w:r w:rsidR="00160FAA" w:rsidRPr="00160FAA">
        <w:t>поверхностных водных объектов, почв</w:t>
      </w:r>
      <w:r w:rsidR="00BF417A" w:rsidRPr="00160FAA">
        <w:t>;</w:t>
      </w:r>
      <w:r w:rsidR="009F4653" w:rsidRPr="00160FAA">
        <w:t xml:space="preserve"> </w:t>
      </w:r>
      <w:r w:rsidRPr="00160FAA">
        <w:t>невыполнением требований природоохранного законодательства вблизи мест проживания или отдыха жителей городов и населённых пунктов: появлением несанкционированных свалок тв</w:t>
      </w:r>
      <w:r w:rsidR="009F4653" w:rsidRPr="00160FAA">
        <w:t>ё</w:t>
      </w:r>
      <w:r w:rsidR="00160FAA" w:rsidRPr="00160FAA">
        <w:t>рдых бытовых отходов</w:t>
      </w:r>
      <w:r w:rsidR="00DF21E4" w:rsidRPr="00160FAA">
        <w:t xml:space="preserve">, </w:t>
      </w:r>
      <w:r w:rsidRPr="00160FAA">
        <w:t>нарушением режима</w:t>
      </w:r>
      <w:r w:rsidR="009F4653" w:rsidRPr="00160FAA">
        <w:t xml:space="preserve"> использования</w:t>
      </w:r>
      <w:r w:rsidRPr="00160FAA">
        <w:t xml:space="preserve"> водоохранных зон</w:t>
      </w:r>
      <w:r w:rsidR="009F4653" w:rsidRPr="00160FAA">
        <w:t xml:space="preserve"> водных объектов</w:t>
      </w:r>
      <w:r w:rsidR="00BF417A" w:rsidRPr="00160FAA">
        <w:t>.</w:t>
      </w:r>
    </w:p>
    <w:p w:rsidR="00C54AAD" w:rsidRPr="0062493D" w:rsidRDefault="004E2F4D" w:rsidP="007D6A61">
      <w:pPr>
        <w:spacing w:line="240" w:lineRule="auto"/>
        <w:ind w:firstLine="708"/>
        <w:contextualSpacing/>
        <w:jc w:val="both"/>
      </w:pPr>
      <w:r w:rsidRPr="00584285">
        <w:rPr>
          <w:color w:val="FF0000"/>
        </w:rPr>
        <w:t xml:space="preserve"> </w:t>
      </w:r>
      <w:r w:rsidR="00571906" w:rsidRPr="0062493D">
        <w:rPr>
          <w:rFonts w:cs="Times New Roman"/>
          <w:b/>
        </w:rPr>
        <w:t>В большинстве случаев из-за низкой экологической культуры предприятий и экологической неграмотности населения обращения поступают не по компетенции органа надзора.</w:t>
      </w:r>
      <w:r w:rsidR="00571906" w:rsidRPr="0062493D">
        <w:rPr>
          <w:rFonts w:cs="Times New Roman"/>
        </w:rPr>
        <w:t xml:space="preserve"> В</w:t>
      </w:r>
      <w:r w:rsidR="00C54AAD" w:rsidRPr="0062493D">
        <w:t xml:space="preserve"> обращениях</w:t>
      </w:r>
      <w:r w:rsidR="00571906" w:rsidRPr="0062493D">
        <w:t xml:space="preserve">, поступивших в </w:t>
      </w:r>
      <w:r w:rsidR="0062493D" w:rsidRPr="0062493D">
        <w:t>Управление</w:t>
      </w:r>
      <w:r w:rsidR="00571906" w:rsidRPr="0062493D">
        <w:t xml:space="preserve">, часть поднятых вопросов </w:t>
      </w:r>
      <w:r w:rsidR="00C54AAD" w:rsidRPr="0062493D">
        <w:t xml:space="preserve">не касалась </w:t>
      </w:r>
      <w:r w:rsidR="00571906" w:rsidRPr="0062493D">
        <w:t xml:space="preserve">их </w:t>
      </w:r>
      <w:r w:rsidR="00C54AAD" w:rsidRPr="0062493D">
        <w:t xml:space="preserve">полномочий и в рамках действующего законодательства Российской Федерации данные </w:t>
      </w:r>
      <w:r w:rsidR="00C54AAD" w:rsidRPr="007D6A61">
        <w:t>обращения (</w:t>
      </w:r>
      <w:r w:rsidR="007D6A61" w:rsidRPr="007D6A61">
        <w:rPr>
          <w:b/>
        </w:rPr>
        <w:t>752</w:t>
      </w:r>
      <w:r w:rsidR="00C54AAD" w:rsidRPr="007D6A61">
        <w:t xml:space="preserve">) </w:t>
      </w:r>
      <w:r w:rsidR="00C54AAD" w:rsidRPr="0062493D">
        <w:t>направлялись по компетенции в соответствующие инстанции</w:t>
      </w:r>
      <w:r w:rsidR="00C54AAD" w:rsidRPr="00160FAA">
        <w:t xml:space="preserve">. </w:t>
      </w:r>
      <w:r w:rsidR="00160FAA" w:rsidRPr="00160FAA">
        <w:rPr>
          <w:b/>
        </w:rPr>
        <w:t xml:space="preserve">1599 </w:t>
      </w:r>
      <w:r w:rsidR="00160FAA" w:rsidRPr="00160FAA">
        <w:t>Обращений</w:t>
      </w:r>
      <w:r w:rsidR="00C54AAD" w:rsidRPr="00160FAA">
        <w:t xml:space="preserve"> </w:t>
      </w:r>
      <w:r w:rsidR="00C54AAD" w:rsidRPr="0062493D">
        <w:t xml:space="preserve">были рассмотрены непосредственно должностными лицами </w:t>
      </w:r>
      <w:r w:rsidR="0062493D">
        <w:t>Управления</w:t>
      </w:r>
      <w:r w:rsidR="00C54AAD" w:rsidRPr="0062493D">
        <w:t>, в том числе Обращения, содержащие ряд вопросов, разрешение которых находилось в ком</w:t>
      </w:r>
      <w:r w:rsidR="00BF417A" w:rsidRPr="0062493D">
        <w:t>петенции иных различных органов.</w:t>
      </w:r>
    </w:p>
    <w:p w:rsidR="00C54AAD" w:rsidRPr="009F6591" w:rsidRDefault="00C54AAD" w:rsidP="00C54AAD">
      <w:pPr>
        <w:spacing w:line="240" w:lineRule="auto"/>
        <w:ind w:firstLine="708"/>
        <w:contextualSpacing/>
        <w:jc w:val="both"/>
      </w:pPr>
      <w:r w:rsidRPr="009F6591">
        <w:t xml:space="preserve">По компетенции Обращения передавались в территориальные органы </w:t>
      </w:r>
      <w:proofErr w:type="spellStart"/>
      <w:r w:rsidRPr="009F6591">
        <w:t>Роспотребнадзора</w:t>
      </w:r>
      <w:proofErr w:type="spellEnd"/>
      <w:r w:rsidRPr="009F6591">
        <w:t xml:space="preserve">, </w:t>
      </w:r>
      <w:proofErr w:type="spellStart"/>
      <w:r w:rsidRPr="009F6591">
        <w:t>Росреестра</w:t>
      </w:r>
      <w:proofErr w:type="spellEnd"/>
      <w:r w:rsidRPr="009F6591">
        <w:t xml:space="preserve">, </w:t>
      </w:r>
      <w:proofErr w:type="spellStart"/>
      <w:r w:rsidRPr="009F6591">
        <w:t>Россельхознадзора</w:t>
      </w:r>
      <w:proofErr w:type="spellEnd"/>
      <w:r w:rsidRPr="009F6591">
        <w:t xml:space="preserve">, осуществляющих свои функции на территории субъектов Российской Федерации, расположенных в Сибирском федеральном округе, а также в органы исполнительной власти субъектов Российской Федерации, расположенные в </w:t>
      </w:r>
      <w:r w:rsidR="0062493D" w:rsidRPr="009F6591">
        <w:t>Новосибирской, Омкой, Томской областях</w:t>
      </w:r>
      <w:r w:rsidRPr="009F6591">
        <w:t xml:space="preserve">. </w:t>
      </w:r>
    </w:p>
    <w:p w:rsidR="00F40F00" w:rsidRPr="00F40F00" w:rsidRDefault="00C54AAD" w:rsidP="00F40F00">
      <w:pPr>
        <w:spacing w:line="240" w:lineRule="auto"/>
        <w:ind w:firstLine="720"/>
        <w:contextualSpacing/>
        <w:jc w:val="both"/>
      </w:pPr>
      <w:r w:rsidRPr="00F40F00">
        <w:t xml:space="preserve">Для </w:t>
      </w:r>
      <w:r w:rsidR="00B60EA8" w:rsidRPr="00F40F00">
        <w:t>объективного, всестороннего, своевременного</w:t>
      </w:r>
      <w:r w:rsidRPr="00F40F00">
        <w:t xml:space="preserve"> рассмотрения Обращений и вынесения решений по наиболее сложным вопросам, поднятым в них, </w:t>
      </w:r>
      <w:r w:rsidR="007D6A61" w:rsidRPr="00F40F00">
        <w:t xml:space="preserve">Управлением </w:t>
      </w:r>
      <w:r w:rsidRPr="00F40F00">
        <w:t>проводились надзорные мероприятия; создавались специальные комиссии; привлекались специалисты федеральных государственных учреждений «Центры лабораторного анализа и технических измерений»; издавались соответствующие приказы;</w:t>
      </w:r>
      <w:r w:rsidR="007D6A61" w:rsidRPr="00F40F00">
        <w:t xml:space="preserve"> осуществлялись выезды на место</w:t>
      </w:r>
      <w:r w:rsidR="00F40F00" w:rsidRPr="00F40F00">
        <w:t xml:space="preserve">: проведено </w:t>
      </w:r>
      <w:r w:rsidR="00F40F00" w:rsidRPr="00F40F00">
        <w:rPr>
          <w:b/>
        </w:rPr>
        <w:t xml:space="preserve">301 </w:t>
      </w:r>
      <w:r w:rsidR="00F40F00" w:rsidRPr="00F40F00">
        <w:t>рейдовое мероприятие</w:t>
      </w:r>
      <w:r w:rsidR="00F40F00">
        <w:t xml:space="preserve">, </w:t>
      </w:r>
      <w:r w:rsidR="00160FAA" w:rsidRPr="00160FAA">
        <w:rPr>
          <w:b/>
        </w:rPr>
        <w:t>25</w:t>
      </w:r>
      <w:r w:rsidR="00160FAA">
        <w:t xml:space="preserve"> согласованных с органами прокуратуры внеплановых проверок.</w:t>
      </w:r>
    </w:p>
    <w:p w:rsidR="00C54AAD" w:rsidRPr="00584285" w:rsidRDefault="00B01ABB" w:rsidP="00C54AAD">
      <w:pPr>
        <w:spacing w:line="240" w:lineRule="auto"/>
        <w:ind w:firstLine="720"/>
        <w:contextualSpacing/>
        <w:jc w:val="both"/>
        <w:rPr>
          <w:color w:val="FF0000"/>
        </w:rPr>
      </w:pPr>
      <w:r w:rsidRPr="00584285">
        <w:rPr>
          <w:color w:val="FF0000"/>
        </w:rPr>
        <w:t xml:space="preserve"> </w:t>
      </w:r>
      <w:r w:rsidR="00C54AAD" w:rsidRPr="00584285">
        <w:rPr>
          <w:color w:val="FF0000"/>
        </w:rPr>
        <w:t xml:space="preserve">  </w:t>
      </w:r>
    </w:p>
    <w:p w:rsidR="00571906" w:rsidRPr="007D6A61" w:rsidRDefault="00571906" w:rsidP="00DF21E4">
      <w:pPr>
        <w:spacing w:line="240" w:lineRule="auto"/>
        <w:contextualSpacing/>
        <w:jc w:val="center"/>
        <w:rPr>
          <w:b/>
          <w:bCs/>
          <w:lang w:eastAsia="ru-RU"/>
        </w:rPr>
      </w:pPr>
      <w:r w:rsidRPr="007D6A61">
        <w:rPr>
          <w:b/>
          <w:bCs/>
          <w:lang w:eastAsia="ru-RU"/>
        </w:rPr>
        <w:t>Предприятия – объекты жалоб</w:t>
      </w:r>
      <w:r w:rsidR="00DF21E4" w:rsidRPr="007D6A61">
        <w:rPr>
          <w:b/>
          <w:bCs/>
          <w:lang w:eastAsia="ru-RU"/>
        </w:rPr>
        <w:t>,</w:t>
      </w:r>
      <w:r w:rsidRPr="007D6A61">
        <w:rPr>
          <w:b/>
          <w:bCs/>
          <w:lang w:eastAsia="ru-RU"/>
        </w:rPr>
        <w:t xml:space="preserve"> </w:t>
      </w:r>
      <w:r w:rsidR="00DF21E4" w:rsidRPr="007D6A61">
        <w:rPr>
          <w:b/>
          <w:bCs/>
          <w:lang w:eastAsia="ru-RU"/>
        </w:rPr>
        <w:t>поступивши</w:t>
      </w:r>
      <w:r w:rsidRPr="007D6A61">
        <w:rPr>
          <w:b/>
          <w:bCs/>
          <w:lang w:eastAsia="ru-RU"/>
        </w:rPr>
        <w:t>х</w:t>
      </w:r>
      <w:r w:rsidR="00DF21E4" w:rsidRPr="007D6A61">
        <w:rPr>
          <w:b/>
          <w:bCs/>
          <w:lang w:eastAsia="ru-RU"/>
        </w:rPr>
        <w:t xml:space="preserve"> в 201</w:t>
      </w:r>
      <w:r w:rsidR="007D6A61" w:rsidRPr="007D6A61">
        <w:rPr>
          <w:b/>
          <w:bCs/>
          <w:lang w:eastAsia="ru-RU"/>
        </w:rPr>
        <w:t xml:space="preserve">9 </w:t>
      </w:r>
      <w:r w:rsidR="00DF21E4" w:rsidRPr="007D6A61">
        <w:rPr>
          <w:b/>
          <w:bCs/>
          <w:lang w:eastAsia="ru-RU"/>
        </w:rPr>
        <w:t xml:space="preserve">году </w:t>
      </w:r>
    </w:p>
    <w:p w:rsidR="00DF21E4" w:rsidRPr="007D6A61" w:rsidRDefault="00DF21E4" w:rsidP="007D6A61">
      <w:pPr>
        <w:spacing w:line="240" w:lineRule="auto"/>
        <w:contextualSpacing/>
        <w:jc w:val="center"/>
        <w:rPr>
          <w:b/>
          <w:bCs/>
          <w:lang w:eastAsia="ru-RU"/>
        </w:rPr>
      </w:pPr>
      <w:r w:rsidRPr="007D6A61">
        <w:rPr>
          <w:b/>
          <w:bCs/>
          <w:lang w:eastAsia="ru-RU"/>
        </w:rPr>
        <w:t xml:space="preserve">в </w:t>
      </w:r>
      <w:r w:rsidR="007D6A61" w:rsidRPr="007D6A61">
        <w:rPr>
          <w:b/>
          <w:bCs/>
          <w:lang w:eastAsia="ru-RU"/>
        </w:rPr>
        <w:t>Сибирское межрегиональное управление Росприроднадзора</w:t>
      </w:r>
      <w:r w:rsidRPr="007D6A61">
        <w:rPr>
          <w:b/>
          <w:bCs/>
          <w:lang w:eastAsia="ru-RU"/>
        </w:rPr>
        <w:t xml:space="preserve"> </w:t>
      </w:r>
    </w:p>
    <w:p w:rsidR="00DF21E4" w:rsidRPr="007D6A61" w:rsidRDefault="00DF21E4" w:rsidP="00DF21E4">
      <w:pPr>
        <w:spacing w:line="240" w:lineRule="auto"/>
        <w:ind w:firstLine="708"/>
        <w:contextualSpacing/>
        <w:jc w:val="right"/>
      </w:pPr>
      <w:r w:rsidRPr="007D6A61">
        <w:t>Таблица  00</w:t>
      </w:r>
    </w:p>
    <w:p w:rsidR="009D011A" w:rsidRPr="00584285" w:rsidRDefault="009D011A" w:rsidP="00DF21E4">
      <w:pPr>
        <w:spacing w:line="240" w:lineRule="auto"/>
        <w:ind w:firstLine="708"/>
        <w:contextualSpacing/>
        <w:jc w:val="right"/>
        <w:rPr>
          <w:color w:val="FF0000"/>
        </w:rPr>
      </w:pPr>
    </w:p>
    <w:tbl>
      <w:tblPr>
        <w:tblW w:w="91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732"/>
      </w:tblGrid>
      <w:tr w:rsidR="007D6A61" w:rsidRPr="00584285" w:rsidTr="007D6A61">
        <w:trPr>
          <w:trHeight w:val="870"/>
        </w:trPr>
        <w:tc>
          <w:tcPr>
            <w:tcW w:w="3417" w:type="dxa"/>
            <w:shd w:val="clear" w:color="auto" w:fill="auto"/>
            <w:hideMark/>
          </w:tcPr>
          <w:p w:rsidR="007D6A61" w:rsidRPr="007D6A61" w:rsidRDefault="007D6A61" w:rsidP="009D01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D6A6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Сибирское межрегиональное управление Росприроднадзора</w:t>
            </w:r>
          </w:p>
        </w:tc>
        <w:tc>
          <w:tcPr>
            <w:tcW w:w="5732" w:type="dxa"/>
            <w:shd w:val="clear" w:color="auto" w:fill="auto"/>
            <w:hideMark/>
          </w:tcPr>
          <w:p w:rsidR="007D6A61" w:rsidRPr="007D6A61" w:rsidRDefault="007D6A61" w:rsidP="009D01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D6A6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Предприятия - объекты жалоб </w:t>
            </w:r>
          </w:p>
        </w:tc>
      </w:tr>
      <w:tr w:rsidR="007D6A61" w:rsidRPr="00584285" w:rsidTr="007D6A61">
        <w:trPr>
          <w:trHeight w:val="796"/>
        </w:trPr>
        <w:tc>
          <w:tcPr>
            <w:tcW w:w="3417" w:type="dxa"/>
            <w:shd w:val="clear" w:color="auto" w:fill="auto"/>
            <w:hideMark/>
          </w:tcPr>
          <w:p w:rsidR="007D6A61" w:rsidRPr="007D6A61" w:rsidRDefault="007D6A61" w:rsidP="009D011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D6A6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Новосибирская область</w:t>
            </w:r>
          </w:p>
        </w:tc>
        <w:tc>
          <w:tcPr>
            <w:tcW w:w="5732" w:type="dxa"/>
            <w:shd w:val="clear" w:color="auto" w:fill="auto"/>
            <w:hideMark/>
          </w:tcPr>
          <w:p w:rsidR="0024668A" w:rsidRPr="005E12EF" w:rsidRDefault="0024668A" w:rsidP="007D6A61">
            <w:pPr>
              <w:spacing w:after="0" w:line="240" w:lineRule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АО «Новосибирский завод искусственного волокна», ОАО "</w:t>
            </w:r>
            <w:proofErr w:type="spellStart"/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Искитимцемент</w:t>
            </w:r>
            <w:proofErr w:type="spellEnd"/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",  </w:t>
            </w:r>
            <w:r w:rsidR="005E12EF"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ЗАО</w:t>
            </w:r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птицефабрика "</w:t>
            </w:r>
            <w:proofErr w:type="spellStart"/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Новобарышевская</w:t>
            </w:r>
            <w:proofErr w:type="spellEnd"/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"</w:t>
            </w:r>
            <w:r w:rsid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="005E12EF"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ООО </w:t>
            </w:r>
            <w:r w:rsidR="00831CB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</w:t>
            </w:r>
            <w:r w:rsidR="005E12EF"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Экология-Новосибирск</w:t>
            </w:r>
            <w:r w:rsidR="00831CB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</w:t>
            </w:r>
            <w:r w:rsidRPr="005E12E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5E12EF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                                                      </w:t>
            </w:r>
          </w:p>
          <w:p w:rsidR="007D6A61" w:rsidRPr="00584285" w:rsidRDefault="007D6A61" w:rsidP="0024668A">
            <w:pPr>
              <w:spacing w:after="0" w:line="240" w:lineRule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6A61" w:rsidRPr="00584285" w:rsidTr="007D6A61">
        <w:trPr>
          <w:trHeight w:val="575"/>
        </w:trPr>
        <w:tc>
          <w:tcPr>
            <w:tcW w:w="3417" w:type="dxa"/>
            <w:shd w:val="clear" w:color="auto" w:fill="auto"/>
            <w:hideMark/>
          </w:tcPr>
          <w:p w:rsidR="007D6A61" w:rsidRPr="0075749B" w:rsidRDefault="007D6A61" w:rsidP="007D6A61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5749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Омская область </w:t>
            </w:r>
          </w:p>
        </w:tc>
        <w:tc>
          <w:tcPr>
            <w:tcW w:w="5732" w:type="dxa"/>
            <w:shd w:val="clear" w:color="auto" w:fill="auto"/>
            <w:hideMark/>
          </w:tcPr>
          <w:p w:rsidR="007D6A61" w:rsidRPr="0075749B" w:rsidRDefault="007D6A61" w:rsidP="00F40F00">
            <w:pPr>
              <w:spacing w:after="240"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ООО «</w:t>
            </w:r>
            <w:proofErr w:type="spellStart"/>
            <w:r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Омсктехуглерод</w:t>
            </w:r>
            <w:proofErr w:type="spellEnd"/>
            <w:r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», </w:t>
            </w:r>
            <w:r w:rsidR="00F40F00"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АО "</w:t>
            </w:r>
            <w:proofErr w:type="spellStart"/>
            <w:r w:rsidR="00F40F00"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Газпромнефть</w:t>
            </w:r>
            <w:proofErr w:type="spellEnd"/>
            <w:r w:rsidR="00F40F00"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-Омский НПЗ", ПАО "Омский каучук", ООО "</w:t>
            </w:r>
            <w:proofErr w:type="spellStart"/>
            <w:r w:rsidR="00F40F00"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Полиом</w:t>
            </w:r>
            <w:proofErr w:type="spellEnd"/>
            <w:r w:rsidR="00F40F00" w:rsidRPr="007574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", АО "ТГК-11" (ТЭЦ-3, ТЭЦ-4), ООО ПК "Химпром", ООО "Астра"</w:t>
            </w:r>
            <w:r w:rsidR="00831CB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ООО «Магнит».</w:t>
            </w:r>
          </w:p>
        </w:tc>
      </w:tr>
      <w:tr w:rsidR="007D6A61" w:rsidRPr="00584285" w:rsidTr="00CC7404">
        <w:trPr>
          <w:trHeight w:val="698"/>
        </w:trPr>
        <w:tc>
          <w:tcPr>
            <w:tcW w:w="3417" w:type="dxa"/>
            <w:shd w:val="clear" w:color="auto" w:fill="auto"/>
            <w:hideMark/>
          </w:tcPr>
          <w:p w:rsidR="007D6A61" w:rsidRPr="00CC7404" w:rsidRDefault="007D6A61" w:rsidP="007D6A61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C740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 xml:space="preserve">Томская область </w:t>
            </w:r>
          </w:p>
        </w:tc>
        <w:tc>
          <w:tcPr>
            <w:tcW w:w="5732" w:type="dxa"/>
            <w:shd w:val="clear" w:color="auto" w:fill="auto"/>
            <w:hideMark/>
          </w:tcPr>
          <w:p w:rsidR="007D6A61" w:rsidRPr="00CC7404" w:rsidRDefault="007D6A61" w:rsidP="009D011A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ООО «Чистый мир», </w:t>
            </w:r>
            <w:r w:rsidR="00CC7404"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ООО «</w:t>
            </w:r>
            <w:proofErr w:type="spellStart"/>
            <w:r w:rsidR="00CC7404"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Томскнефтехим</w:t>
            </w:r>
            <w:proofErr w:type="spellEnd"/>
            <w:r w:rsidR="00CC7404"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», ООО "</w:t>
            </w:r>
            <w:proofErr w:type="spellStart"/>
            <w:r w:rsidR="00CC7404"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Асиновский</w:t>
            </w:r>
            <w:proofErr w:type="spellEnd"/>
            <w:r w:rsidR="00CC7404" w:rsidRPr="00CC740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завод МДФ"</w:t>
            </w:r>
          </w:p>
        </w:tc>
      </w:tr>
    </w:tbl>
    <w:p w:rsidR="000F5A8B" w:rsidRDefault="000F5A8B" w:rsidP="00581F45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CA421E" w:rsidRPr="00584285" w:rsidRDefault="00CA421E" w:rsidP="00CA421E">
      <w:pPr>
        <w:spacing w:after="0" w:line="240" w:lineRule="auto"/>
        <w:ind w:firstLine="708"/>
        <w:jc w:val="center"/>
        <w:rPr>
          <w:rFonts w:cs="Times New Roman"/>
          <w:b/>
          <w:color w:val="FF0000"/>
        </w:rPr>
      </w:pPr>
    </w:p>
    <w:p w:rsidR="00CC7404" w:rsidRPr="00160FAA" w:rsidRDefault="00CC7404" w:rsidP="00CC7404">
      <w:pPr>
        <w:spacing w:line="240" w:lineRule="auto"/>
        <w:ind w:firstLine="720"/>
        <w:contextualSpacing/>
        <w:jc w:val="both"/>
      </w:pPr>
      <w:r w:rsidRPr="00160FAA">
        <w:t xml:space="preserve">По результатам проверок составлялись акты, справки, выдавались предписания. Возбуждено </w:t>
      </w:r>
      <w:r w:rsidRPr="0075749B">
        <w:rPr>
          <w:b/>
        </w:rPr>
        <w:t xml:space="preserve">51 </w:t>
      </w:r>
      <w:r w:rsidRPr="00160FAA">
        <w:t xml:space="preserve">дело об административном правонарушении, наложено штрафов на сумму </w:t>
      </w:r>
      <w:r w:rsidRPr="0075749B">
        <w:rPr>
          <w:b/>
        </w:rPr>
        <w:t>2167 тыс. рублей</w:t>
      </w:r>
      <w:r w:rsidRPr="00160FAA">
        <w:t xml:space="preserve">.  </w:t>
      </w:r>
    </w:p>
    <w:p w:rsidR="00CC7404" w:rsidRDefault="00CC7404" w:rsidP="00CC7404">
      <w:pPr>
        <w:spacing w:line="240" w:lineRule="auto"/>
        <w:ind w:firstLine="720"/>
        <w:contextualSpacing/>
        <w:jc w:val="both"/>
      </w:pPr>
      <w:r w:rsidRPr="00160FAA">
        <w:t xml:space="preserve">Материалы рассмотрения Обращений передавались для принятия мер в органы прокуратуры. </w:t>
      </w:r>
    </w:p>
    <w:p w:rsidR="00C54AAD" w:rsidRPr="0075749B" w:rsidRDefault="00C54AAD" w:rsidP="00CC7404">
      <w:pPr>
        <w:spacing w:line="240" w:lineRule="auto"/>
        <w:ind w:firstLine="720"/>
        <w:contextualSpacing/>
        <w:jc w:val="both"/>
      </w:pPr>
      <w:r w:rsidRPr="0075749B">
        <w:t xml:space="preserve">В </w:t>
      </w:r>
      <w:r w:rsidR="00160FAA" w:rsidRPr="0075749B">
        <w:t>Управлении</w:t>
      </w:r>
      <w:r w:rsidRPr="0075749B">
        <w:t xml:space="preserve"> в основ</w:t>
      </w:r>
      <w:r w:rsidR="00826493" w:rsidRPr="0075749B">
        <w:t xml:space="preserve">у работы с обращениями граждан и организаций </w:t>
      </w:r>
      <w:r w:rsidRPr="0075749B">
        <w:t>заложен подход, обеспечивающий реализацию их прав на обращение в государственные органы и ориентированный не только на предост</w:t>
      </w:r>
      <w:r w:rsidR="00826493" w:rsidRPr="0075749B">
        <w:t>авление им первичной информации</w:t>
      </w:r>
      <w:r w:rsidRPr="0075749B">
        <w:t xml:space="preserve"> по существу сформулированной проблемы, но и на системный анализ этой проблемы, выработку алгоритма её решения и доведения в доступной форме этого алгоритма до граждан, общественных объединений, юридических лиц и индивидуальных предпринимателей, а также оказания им практической помощи на этапах решения проблемы. </w:t>
      </w:r>
    </w:p>
    <w:p w:rsidR="00B01ABB" w:rsidRPr="00584285" w:rsidRDefault="00B01ABB" w:rsidP="00C54AAD">
      <w:pPr>
        <w:spacing w:line="240" w:lineRule="auto"/>
        <w:contextualSpacing/>
        <w:jc w:val="both"/>
        <w:rPr>
          <w:color w:val="FF0000"/>
          <w:sz w:val="28"/>
          <w:szCs w:val="28"/>
          <w:lang w:eastAsia="ru-RU"/>
        </w:rPr>
      </w:pPr>
    </w:p>
    <w:p w:rsidR="00B01ABB" w:rsidRPr="00584285" w:rsidRDefault="00B01ABB" w:rsidP="00C54AAD">
      <w:pPr>
        <w:spacing w:line="240" w:lineRule="auto"/>
        <w:contextualSpacing/>
        <w:jc w:val="both"/>
        <w:rPr>
          <w:color w:val="FF0000"/>
          <w:sz w:val="28"/>
          <w:szCs w:val="28"/>
          <w:lang w:eastAsia="ru-RU"/>
        </w:rPr>
      </w:pPr>
    </w:p>
    <w:p w:rsidR="00590CBA" w:rsidRPr="00584285" w:rsidRDefault="00590CBA" w:rsidP="00462935">
      <w:pPr>
        <w:spacing w:line="240" w:lineRule="auto"/>
        <w:contextualSpacing/>
        <w:jc w:val="both"/>
        <w:rPr>
          <w:color w:val="FF0000"/>
        </w:rPr>
      </w:pPr>
    </w:p>
    <w:sectPr w:rsidR="00590CBA" w:rsidRPr="0058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718"/>
    <w:multiLevelType w:val="hybridMultilevel"/>
    <w:tmpl w:val="A0C2A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6859AB"/>
    <w:multiLevelType w:val="hybridMultilevel"/>
    <w:tmpl w:val="7E70F3FC"/>
    <w:lvl w:ilvl="0" w:tplc="D4C42276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3"/>
    <w:rsid w:val="00007299"/>
    <w:rsid w:val="00037E5F"/>
    <w:rsid w:val="00042535"/>
    <w:rsid w:val="00085145"/>
    <w:rsid w:val="00086DFE"/>
    <w:rsid w:val="000D1560"/>
    <w:rsid w:val="000F5A8B"/>
    <w:rsid w:val="00160FAA"/>
    <w:rsid w:val="0018389F"/>
    <w:rsid w:val="001A75AB"/>
    <w:rsid w:val="001C60A4"/>
    <w:rsid w:val="001F054E"/>
    <w:rsid w:val="00236F36"/>
    <w:rsid w:val="0024668A"/>
    <w:rsid w:val="0025331A"/>
    <w:rsid w:val="002829D8"/>
    <w:rsid w:val="002830A7"/>
    <w:rsid w:val="00293266"/>
    <w:rsid w:val="002B68D8"/>
    <w:rsid w:val="002E0109"/>
    <w:rsid w:val="002F6AF4"/>
    <w:rsid w:val="002F7112"/>
    <w:rsid w:val="003318F7"/>
    <w:rsid w:val="0035279A"/>
    <w:rsid w:val="0041783A"/>
    <w:rsid w:val="00417C49"/>
    <w:rsid w:val="00462935"/>
    <w:rsid w:val="004C2896"/>
    <w:rsid w:val="004E2579"/>
    <w:rsid w:val="004E2F4D"/>
    <w:rsid w:val="004F0325"/>
    <w:rsid w:val="00533FAD"/>
    <w:rsid w:val="00571906"/>
    <w:rsid w:val="00572C90"/>
    <w:rsid w:val="00581F45"/>
    <w:rsid w:val="00584285"/>
    <w:rsid w:val="00590817"/>
    <w:rsid w:val="00590CBA"/>
    <w:rsid w:val="005E12EF"/>
    <w:rsid w:val="0062493D"/>
    <w:rsid w:val="0065679F"/>
    <w:rsid w:val="00663604"/>
    <w:rsid w:val="006D1633"/>
    <w:rsid w:val="006D503B"/>
    <w:rsid w:val="006F37CA"/>
    <w:rsid w:val="00713B23"/>
    <w:rsid w:val="00736AB7"/>
    <w:rsid w:val="0074049A"/>
    <w:rsid w:val="00740983"/>
    <w:rsid w:val="0075749B"/>
    <w:rsid w:val="00772041"/>
    <w:rsid w:val="007D6A61"/>
    <w:rsid w:val="007E2367"/>
    <w:rsid w:val="007E54A1"/>
    <w:rsid w:val="008024BC"/>
    <w:rsid w:val="00826493"/>
    <w:rsid w:val="00831CBD"/>
    <w:rsid w:val="0083447A"/>
    <w:rsid w:val="00884F25"/>
    <w:rsid w:val="008A0C35"/>
    <w:rsid w:val="008A1558"/>
    <w:rsid w:val="008F7824"/>
    <w:rsid w:val="00925BCA"/>
    <w:rsid w:val="00937F85"/>
    <w:rsid w:val="00970B44"/>
    <w:rsid w:val="00995A8D"/>
    <w:rsid w:val="009D005C"/>
    <w:rsid w:val="009D011A"/>
    <w:rsid w:val="009F4653"/>
    <w:rsid w:val="009F6591"/>
    <w:rsid w:val="00A15106"/>
    <w:rsid w:val="00A21D27"/>
    <w:rsid w:val="00A3115F"/>
    <w:rsid w:val="00A610F8"/>
    <w:rsid w:val="00A96DF2"/>
    <w:rsid w:val="00AB67F2"/>
    <w:rsid w:val="00AE4299"/>
    <w:rsid w:val="00B01ABB"/>
    <w:rsid w:val="00B02D30"/>
    <w:rsid w:val="00B60EA8"/>
    <w:rsid w:val="00BF417A"/>
    <w:rsid w:val="00BF70E5"/>
    <w:rsid w:val="00C207D7"/>
    <w:rsid w:val="00C220B4"/>
    <w:rsid w:val="00C54AAD"/>
    <w:rsid w:val="00C62249"/>
    <w:rsid w:val="00CA3C8D"/>
    <w:rsid w:val="00CA421E"/>
    <w:rsid w:val="00CC445E"/>
    <w:rsid w:val="00CC7404"/>
    <w:rsid w:val="00D20AE8"/>
    <w:rsid w:val="00D2115E"/>
    <w:rsid w:val="00D50F74"/>
    <w:rsid w:val="00D91463"/>
    <w:rsid w:val="00D94205"/>
    <w:rsid w:val="00DA204F"/>
    <w:rsid w:val="00DF21E4"/>
    <w:rsid w:val="00E10F98"/>
    <w:rsid w:val="00E259F7"/>
    <w:rsid w:val="00E85863"/>
    <w:rsid w:val="00EC5DD1"/>
    <w:rsid w:val="00ED2D1B"/>
    <w:rsid w:val="00F40F00"/>
    <w:rsid w:val="00F50F91"/>
    <w:rsid w:val="00F5323A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4"/>
    <w:pPr>
      <w:spacing w:after="200" w:line="276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AA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A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nhideWhenUsed/>
    <w:rsid w:val="00C54AAD"/>
    <w:pPr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590CBA"/>
    <w:pPr>
      <w:spacing w:after="0" w:line="240" w:lineRule="auto"/>
    </w:pPr>
  </w:style>
  <w:style w:type="character" w:styleId="a5">
    <w:name w:val="Hyperlink"/>
    <w:rsid w:val="00CA421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A421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styleId="a6">
    <w:name w:val="FollowedHyperlink"/>
    <w:rsid w:val="00CA421E"/>
    <w:rPr>
      <w:color w:val="800080"/>
      <w:u w:val="single"/>
    </w:rPr>
  </w:style>
  <w:style w:type="character" w:styleId="a7">
    <w:name w:val="annotation reference"/>
    <w:semiHidden/>
    <w:rsid w:val="00CA421E"/>
    <w:rPr>
      <w:sz w:val="16"/>
      <w:szCs w:val="16"/>
    </w:rPr>
  </w:style>
  <w:style w:type="paragraph" w:styleId="a8">
    <w:name w:val="annotation text"/>
    <w:basedOn w:val="a"/>
    <w:link w:val="a9"/>
    <w:semiHidden/>
    <w:rsid w:val="00CA421E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0"/>
      <w:sz w:val="20"/>
      <w:szCs w:val="20"/>
      <w:lang w:eastAsia="ar-SA" w:bidi="ar-SA"/>
    </w:rPr>
  </w:style>
  <w:style w:type="character" w:customStyle="1" w:styleId="a9">
    <w:name w:val="Текст примечания Знак"/>
    <w:basedOn w:val="a0"/>
    <w:link w:val="a8"/>
    <w:semiHidden/>
    <w:rsid w:val="00CA421E"/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semiHidden/>
    <w:rsid w:val="00CA421E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CA421E"/>
    <w:rPr>
      <w:rFonts w:ascii="MS Sans Serif" w:eastAsia="Times New Roman" w:hAnsi="MS Sans Serif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semiHidden/>
    <w:rsid w:val="00CA421E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d">
    <w:name w:val="Текст выноски Знак"/>
    <w:basedOn w:val="a0"/>
    <w:link w:val="ac"/>
    <w:semiHidden/>
    <w:rsid w:val="00CA42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A42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CA421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CA421E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CA4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4"/>
    <w:pPr>
      <w:spacing w:after="200" w:line="276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AA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A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nhideWhenUsed/>
    <w:rsid w:val="00C54AAD"/>
    <w:pPr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590CBA"/>
    <w:pPr>
      <w:spacing w:after="0" w:line="240" w:lineRule="auto"/>
    </w:pPr>
  </w:style>
  <w:style w:type="character" w:styleId="a5">
    <w:name w:val="Hyperlink"/>
    <w:rsid w:val="00CA421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A421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styleId="a6">
    <w:name w:val="FollowedHyperlink"/>
    <w:rsid w:val="00CA421E"/>
    <w:rPr>
      <w:color w:val="800080"/>
      <w:u w:val="single"/>
    </w:rPr>
  </w:style>
  <w:style w:type="character" w:styleId="a7">
    <w:name w:val="annotation reference"/>
    <w:semiHidden/>
    <w:rsid w:val="00CA421E"/>
    <w:rPr>
      <w:sz w:val="16"/>
      <w:szCs w:val="16"/>
    </w:rPr>
  </w:style>
  <w:style w:type="paragraph" w:styleId="a8">
    <w:name w:val="annotation text"/>
    <w:basedOn w:val="a"/>
    <w:link w:val="a9"/>
    <w:semiHidden/>
    <w:rsid w:val="00CA421E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0"/>
      <w:sz w:val="20"/>
      <w:szCs w:val="20"/>
      <w:lang w:eastAsia="ar-SA" w:bidi="ar-SA"/>
    </w:rPr>
  </w:style>
  <w:style w:type="character" w:customStyle="1" w:styleId="a9">
    <w:name w:val="Текст примечания Знак"/>
    <w:basedOn w:val="a0"/>
    <w:link w:val="a8"/>
    <w:semiHidden/>
    <w:rsid w:val="00CA421E"/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semiHidden/>
    <w:rsid w:val="00CA421E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CA421E"/>
    <w:rPr>
      <w:rFonts w:ascii="MS Sans Serif" w:eastAsia="Times New Roman" w:hAnsi="MS Sans Serif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semiHidden/>
    <w:rsid w:val="00CA421E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d">
    <w:name w:val="Текст выноски Знак"/>
    <w:basedOn w:val="a0"/>
    <w:link w:val="ac"/>
    <w:semiHidden/>
    <w:rsid w:val="00CA42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A42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CA421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CA421E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CA4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'Динамика по годам'!$A$63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'Динамика по годам'!$B$62:$E$62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'Динамика по годам'!$B$63:$E$63</c:f>
              <c:numCache>
                <c:formatCode>General</c:formatCode>
                <c:ptCount val="4"/>
                <c:pt idx="0">
                  <c:v>107</c:v>
                </c:pt>
                <c:pt idx="1">
                  <c:v>225</c:v>
                </c:pt>
                <c:pt idx="2">
                  <c:v>359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'Динамика по годам'!$A$64</c:f>
              <c:strCache>
                <c:ptCount val="1"/>
                <c:pt idx="0">
                  <c:v>Омская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'Динамика по годам'!$B$62:$E$62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'Динамика по годам'!$B$64:$E$64</c:f>
              <c:numCache>
                <c:formatCode>General</c:formatCode>
                <c:ptCount val="4"/>
                <c:pt idx="0">
                  <c:v>94</c:v>
                </c:pt>
                <c:pt idx="1">
                  <c:v>181</c:v>
                </c:pt>
                <c:pt idx="2">
                  <c:v>517</c:v>
                </c:pt>
                <c:pt idx="3">
                  <c:v>170</c:v>
                </c:pt>
              </c:numCache>
            </c:numRef>
          </c:val>
        </c:ser>
        <c:ser>
          <c:idx val="2"/>
          <c:order val="2"/>
          <c:tx>
            <c:strRef>
              <c:f>'Динамика по годам'!$A$65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'Динамика по годам'!$B$62:$E$62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'Динамика по годам'!$B$65:$E$65</c:f>
              <c:numCache>
                <c:formatCode>General</c:formatCode>
                <c:ptCount val="4"/>
                <c:pt idx="0">
                  <c:v>43</c:v>
                </c:pt>
                <c:pt idx="1">
                  <c:v>76</c:v>
                </c:pt>
                <c:pt idx="2">
                  <c:v>87</c:v>
                </c:pt>
                <c:pt idx="3">
                  <c:v>32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3895808"/>
        <c:axId val="42540352"/>
      </c:barChart>
      <c:catAx>
        <c:axId val="43895808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40352"/>
        <c:crosses val="autoZero"/>
        <c:auto val="1"/>
        <c:lblAlgn val="ctr"/>
        <c:lblOffset val="100"/>
        <c:noMultiLvlLbl val="0"/>
      </c:catAx>
      <c:valAx>
        <c:axId val="425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обращений, шт.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001</cp:lastModifiedBy>
  <cp:revision>2</cp:revision>
  <dcterms:created xsi:type="dcterms:W3CDTF">2020-09-13T16:38:00Z</dcterms:created>
  <dcterms:modified xsi:type="dcterms:W3CDTF">2020-09-13T16:38:00Z</dcterms:modified>
</cp:coreProperties>
</file>