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17.03.2026 по 30.03.2026 Управлением проведен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Обязательный профилактический визит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рамках фе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дерального государственного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экологического контроля (надзора)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АО «Архангельский фанерный завод»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объекту НВОС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«Акционерное общество «Архангельский фанерный завод»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ходе профилактического визита выявлены следующие нарушения обязательных требований: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Программа ПЭК не соответствует установленным требованиям;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Производственный экологический конт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 на объекте НВОС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ведется не </w:t>
        <w:br/>
        <w:t xml:space="preserve">в соответствии с план-графиком, содержащимся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утвержденной программе производственного экологического контроля;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 проведении государственного контроля зафиксированы превышения установленных нормативов выбросов на ИЗАВ 1045 по веществам: Углерод (пигмент чёрный или углеродсодержащий аэрозоль (сажа) в 3.3 раза, взвешенные вещества в 2.7 раза;</w:t>
      </w:r>
      <w:r>
        <w:rPr>
          <w:rFonts w:ascii="Times New Roman" w:hAnsi="Times New Roman" w:cs="Times New Roman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Информация, содержащаяся в представленных  данных учета за 2025 год не соответствует информации в представленных актах приема и передачи отходов за 2025 год и квитанциям в части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количества переданного отхода  «зола от сжигания древесного топлива практически неопасная» и «отходы коры при зачистке оборудования ГТО древесного сырья»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отчете ПЭК за 2025 год содержится недостоверная информация о количестве переданных побочных продуктов производства другим лицам «золы древесной»;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836"/>
        <w:numPr>
          <w:ilvl w:val="0"/>
          <w:numId w:val="1"/>
        </w:numPr>
        <w:contextualSpacing w:val="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нормативах образования отходов и лимитов не учтены отходы, образующиеся в процессе эксплуатации снегоплавильной установки.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Обществу выдано предписание об устранении выявленных нарушений со сроком выполнения до 01.07.2026.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24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3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Body Text Indent"/>
    <w:uiPriority w:val="99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nikitenak.oa</cp:lastModifiedBy>
  <cp:revision>2</cp:revision>
  <dcterms:modified xsi:type="dcterms:W3CDTF">2026-04-06T14:11:08Z</dcterms:modified>
</cp:coreProperties>
</file>