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017"/>
        <w:jc w:val="center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Объявление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17"/>
        <w:jc w:val="center"/>
        <w:spacing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о приеме документов для участия в конкурсе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1017"/>
        <w:jc w:val="center"/>
        <w:spacing w:line="240" w:lineRule="auto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на включение гражданских служащих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 (граждан) в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кадровый резерв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jc w:val="left"/>
        <w:spacing w:after="0" w:afterAutospacing="0" w:line="240" w:lineRule="auto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pStyle w:val="1017"/>
        <w:ind w:firstLine="567"/>
        <w:jc w:val="both"/>
        <w:spacing w:after="0" w:afterAutospacing="0" w:line="240" w:lineRule="auto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Северо-Восточное межрегиональное управление Росприроднадзора объявляет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конкурс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на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включение гражданских служащих (граждан)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 в кадровый резерв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для замещения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старшей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группы должностей федеральной государственной гражданской службы категории «специалисты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»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отдела государственного экологического надзора по Чукотскому автономному округу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(расположение рабочего места Чукотский автономный округ, г. Анадырь).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ind w:firstLine="567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  <w:highlight w:val="none"/>
        </w:rPr>
      </w:r>
    </w:p>
    <w:p>
      <w:pPr>
        <w:ind w:firstLine="567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  <w:t xml:space="preserve">Наименования должностей федеральной гражданской службы, на включение в кадровый резерв для замещения которых объявлен конк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  <w:t xml:space="preserve">урс: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  <w:highlight w:val="none"/>
        </w:rPr>
        <w:t xml:space="preserve">главный специалист-эксперт, ведущий специалист-эксперт отдела государственного экологического надзора по Чукотскому автономному округу Северо-Восточного межрегионального управления Росприроднадзора.</w:t>
      </w: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  <w:highlight w:val="none"/>
        </w:rPr>
      </w:r>
    </w:p>
    <w:p>
      <w:pPr>
        <w:pStyle w:val="1275"/>
        <w:ind w:left="0" w:right="0" w:firstLine="567"/>
        <w:jc w:val="left"/>
        <w:spacing w:after="0" w:afterAutospacing="0" w:line="240" w:lineRule="auto"/>
        <w:rPr>
          <w:rFonts w:ascii="Times New Roman" w:hAnsi="Times New Roman" w:cs="Times New Roman"/>
          <w:b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i w:val="0"/>
          <w:i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 w:val="0"/>
          <w:i w:val="0"/>
          <w:sz w:val="24"/>
          <w:szCs w:val="24"/>
          <w:highlight w:val="none"/>
        </w:rPr>
      </w:r>
    </w:p>
    <w:p>
      <w:pPr>
        <w:pStyle w:val="1275"/>
        <w:ind w:left="0" w:right="0" w:firstLine="567"/>
        <w:jc w:val="left"/>
        <w:spacing w:after="0" w:afterAutospacing="0" w:line="240" w:lineRule="auto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i w:val="0"/>
          <w:iCs w:val="0"/>
          <w:color w:val="auto"/>
          <w:sz w:val="24"/>
          <w:szCs w:val="24"/>
          <w:highlight w:val="none"/>
        </w:rPr>
        <w:t xml:space="preserve">Квалификационные требования: 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highlight w:val="none"/>
        </w:rPr>
      </w:r>
    </w:p>
    <w:p>
      <w:pPr>
        <w:pStyle w:val="1275"/>
        <w:ind w:left="0" w:right="0" w:firstLine="567"/>
        <w:spacing w:after="0" w:afterAutospacing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Наличие  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высшего образования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по следующим специальностям, направлениям подготовки         (к укрупненным группам специальностей и направлений подг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отов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ки): </w:t>
      </w:r>
      <w:r>
        <w:rPr>
          <w:color w:val="000000" w:themeColor="text1"/>
          <w:sz w:val="24"/>
          <w:szCs w:val="24"/>
        </w:rPr>
        <w:t xml:space="preserve">«Юриспруденция», </w:t>
      </w:r>
      <w:bookmarkStart w:id="0" w:name="undefined"/>
      <w:r>
        <w:rPr>
          <w:color w:val="000000" w:themeColor="text1"/>
          <w:sz w:val="24"/>
          <w:szCs w:val="24"/>
        </w:rPr>
        <w:t xml:space="preserve">«Биология», «Государственное и муниципальное управление</w:t>
      </w:r>
      <w:bookmarkEnd w:id="0"/>
      <w:r>
        <w:rPr>
          <w:color w:val="000000" w:themeColor="text1"/>
          <w:sz w:val="24"/>
          <w:szCs w:val="24"/>
        </w:rPr>
        <w:t xml:space="preserve">», «Охрана окружающей среды и рациональ</w:t>
      </w:r>
      <w:r>
        <w:rPr>
          <w:color w:val="000000" w:themeColor="text1"/>
          <w:sz w:val="24"/>
          <w:szCs w:val="24"/>
        </w:rPr>
        <w:t xml:space="preserve">ное использование природных ресурсов», «Экология и природопользование», «Почвоведение», «Лесное дело», «Защита растений», «Лесное хозяйство», «Биотехния», «Ветеринарно-санитарная экспертиза», «Химия», «Водные биоресурсы и аквакультура», «Агроинженерия», «А</w:t>
      </w:r>
      <w:r>
        <w:rPr>
          <w:color w:val="000000" w:themeColor="text1"/>
          <w:sz w:val="24"/>
          <w:szCs w:val="24"/>
        </w:rPr>
        <w:t xml:space="preserve">грохимия и агропочвоведение», «Защита окружающей среды», «Природообустройство и водопользование», «Биоэкология», «Геоэкология», «Агроэкология», «Инженерная защита окружающей среды», «Зоология», «Ботаника», «Биохимия», «Гидрология», «Водные ресурсы и водопо</w:t>
      </w:r>
      <w:r>
        <w:rPr>
          <w:color w:val="000000" w:themeColor="text1"/>
          <w:sz w:val="24"/>
          <w:szCs w:val="24"/>
        </w:rPr>
        <w:t xml:space="preserve">льзование», «Природоохранное обустройство территорий», «Лесоинженерное дело», «Комплексное использование и охрана водных ресурсов», </w:t>
      </w:r>
      <w:bookmarkStart w:id="0" w:name="undefined"/>
      <w:r>
        <w:rPr>
          <w:color w:val="000000" w:themeColor="text1"/>
          <w:sz w:val="24"/>
          <w:szCs w:val="24"/>
        </w:rPr>
        <w:t xml:space="preserve">«Подземная разработка месторождений полезных ископаемых</w:t>
      </w:r>
      <w:bookmarkEnd w:id="0"/>
      <w:r>
        <w:rPr>
          <w:color w:val="000000" w:themeColor="text1"/>
          <w:sz w:val="24"/>
          <w:szCs w:val="24"/>
        </w:rPr>
        <w:t xml:space="preserve">», «География», «Водоснабжение и водоотведение», «Зоотехния», «Ветери</w:t>
      </w:r>
      <w:r>
        <w:rPr>
          <w:color w:val="000000" w:themeColor="text1"/>
          <w:sz w:val="24"/>
          <w:szCs w:val="24"/>
        </w:rPr>
        <w:t xml:space="preserve">нария», </w:t>
      </w:r>
      <w:bookmarkStart w:id="0" w:name="undefined"/>
      <w:r>
        <w:rPr>
          <w:color w:val="000000" w:themeColor="text1"/>
          <w:sz w:val="24"/>
          <w:szCs w:val="24"/>
        </w:rPr>
        <w:t xml:space="preserve">«Экология», </w:t>
      </w:r>
      <w:bookmarkEnd w:id="0"/>
      <w:r>
        <w:rPr>
          <w:color w:val="000000" w:themeColor="text1"/>
          <w:sz w:val="24"/>
          <w:szCs w:val="24"/>
        </w:rPr>
        <w:t xml:space="preserve">«Лесоинженерное дело», «Технология лесозаготовок», «Зоология»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или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 иные специальности и н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аправления подготовки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.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275"/>
        <w:ind w:left="0" w:right="0" w:firstLine="567"/>
        <w:spacing w:after="0" w:afterAutospacing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Наличие стажа гражданской службы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или стажа работы по специ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альности, направлению подготовки – без предъявления требования к стажу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.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highlight w:val="none"/>
        </w:rPr>
        <w:t xml:space="preserve">Наличие базовых знаний: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16"/>
        <w:ind w:left="0" w:right="0" w:firstLine="567"/>
        <w:jc w:val="both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1) государственного языка Российской Федерации (русского языка);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16"/>
        <w:ind w:left="0" w:right="0" w:firstLine="567"/>
        <w:jc w:val="both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2) основ Конституции Российской Федерации, законодательства о гражданской службе, труде и законодательства о противодействии коррупции;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16"/>
        <w:ind w:left="0" w:right="0" w:firstLine="567"/>
        <w:jc w:val="both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3) основ делопроизводства;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16"/>
        <w:ind w:left="0" w:right="0" w:firstLine="567"/>
        <w:jc w:val="both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4) </w:t>
      </w:r>
      <w:bookmarkStart w:id="0" w:name="undefined"/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в области информационно-коммуникационных технологий</w:t>
      </w:r>
      <w:bookmarkEnd w:id="0"/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, включающие в себя: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16"/>
        <w:ind w:left="0" w:right="0" w:firstLine="567"/>
        <w:jc w:val="both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4.1) знание основ информационной безопасности и защиты информации, включая: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15"/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порядок работы со служебной информацией, служебной информацией ограниченного распространения, информацией с ограничительной пометкой «для служебного пользования» и сведениями, составляющими государственную тайну;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15"/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меры по обеспечению безопасности информации при использовании общесистемного и прикладного программного обеспечения, требования к надежности паролей; 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15"/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порядок работы со служебной электронной почтой, а также правила исполь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зования личной электронной почты, служб «мгновенных» сообщений и социальных сетей, в том числе в части наличия дополнительных рисков и угроз, возникающих при использовании личных учетных записей на служебных средствах вычислительной техники (компьютерах); 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15"/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основные признаки электронных сооб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щений, содержащих вредоносные вложения или ссылки на вредоносные сайты в информационно-телекоммуникационной сети «Интернет», включая «фишинговые» письма и спам-рассылки, умение корректно и своевременно реагировать на получение таких электронных сообщений; 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15"/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требования по обеспечению бе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зопасности информации при использовании удаленного доступа к информационным ресурсам государственного органа с помощью информационно-телекоммуникационных сетей общего пользования (включая сеть «Интернет»), в том числе с использованием мобильных устройств; 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15"/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правила и ограничения подключения внешних устройств (флеш-накопители, внешние жесткие диски), в особенности оборудованных приемо-передающей аппаратурой (мобильные телефоны, планшеты, модемы) к служебным средствам вычислительной техники (компьютерам);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299"/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4.2) знание основных положений законодательства о персональных данных, включая: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299"/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понятие персональных данных, принципы и условия их обработки;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299"/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меры по обеспечению безопасности персональных данных при их обработке в информационных системах;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15"/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4.3) знание общих принципов функционирования системы электронного документооборота, включая перечень обязательных сведений о документах, используемых в целях учета и поиска документов в системах электронного документооборота;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15"/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4.4) знание основных положений законодательства об электронной подписи, включая: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15"/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понятие и виды электронных подписей;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15"/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условия признания электронных документов, подписанных электронной подписью, равнозначными документам на бумажном носителе, подписанным собственноручной подписью;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15"/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4.5) знания по применению персонального компьютера.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highlight w:val="none"/>
        </w:rPr>
        <w:t xml:space="preserve">Наличие профессиональных знаний: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ind w:left="0" w:right="0" w:firstLine="567"/>
        <w:jc w:val="both"/>
        <w:rPr>
          <w:color w:val="00b05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1) Кодекса Российской Федерации об административных правонарушениях от 30.12.2001 № 195-ФЗ (в части компетенции Федеральной службы по надзору в сфере природопользования);</w:t>
      </w:r>
      <w:r>
        <w:rPr>
          <w:color w:val="000000" w:themeColor="text1"/>
          <w:sz w:val="24"/>
          <w:szCs w:val="24"/>
        </w:rPr>
      </w:r>
      <w:r>
        <w:rPr>
          <w:color w:val="00b05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b050" w:themeColor="text1"/>
          <w:sz w:val="28"/>
          <w:szCs w:val="28"/>
        </w:rPr>
      </w:pPr>
      <w:r>
        <w:rPr>
          <w:rFonts w:eastAsia="Calibri"/>
          <w:color w:val="000000" w:themeColor="text1"/>
          <w:sz w:val="24"/>
          <w:szCs w:val="24"/>
        </w:rPr>
        <w:t xml:space="preserve">2) Водного кодекса Российской Федерации от 03.06.2006 № 74-ФЗ</w:t>
      </w:r>
      <w:r>
        <w:rPr>
          <w:color w:val="000000" w:themeColor="text1"/>
          <w:sz w:val="24"/>
          <w:szCs w:val="24"/>
        </w:rPr>
        <w:t xml:space="preserve">;</w:t>
      </w:r>
      <w:r>
        <w:rPr>
          <w:color w:val="000000" w:themeColor="text1"/>
          <w:sz w:val="24"/>
          <w:szCs w:val="24"/>
        </w:rPr>
      </w:r>
      <w:r>
        <w:rPr>
          <w:color w:val="00b05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b05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3) Земельного кодекса Российской Федерации от 25.10.2001 № 136-ФЗ;</w:t>
      </w:r>
      <w:r>
        <w:rPr>
          <w:color w:val="000000" w:themeColor="text1"/>
          <w:sz w:val="24"/>
          <w:szCs w:val="24"/>
        </w:rPr>
      </w:r>
      <w:r>
        <w:rPr>
          <w:color w:val="00b05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b05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4) Градостроительного кодекса Российской Федерации от 29.12.2004 № 190-ФЗ;</w:t>
      </w:r>
      <w:r>
        <w:rPr>
          <w:color w:val="000000" w:themeColor="text1"/>
          <w:sz w:val="24"/>
          <w:szCs w:val="24"/>
        </w:rPr>
      </w:r>
      <w:r>
        <w:rPr>
          <w:color w:val="00b050" w:themeColor="text1"/>
          <w:sz w:val="28"/>
          <w:szCs w:val="28"/>
        </w:rPr>
      </w:r>
    </w:p>
    <w:p>
      <w:pPr>
        <w:pStyle w:val="1299"/>
        <w:ind w:left="0" w:right="0" w:firstLine="567"/>
        <w:jc w:val="both"/>
        <w:rPr>
          <w:rFonts w:ascii="Times New Roman" w:hAnsi="Times New Roman" w:cs="Times New Roman"/>
          <w:color w:val="00b05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5) Лесного кодекса Российской Федерации от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04.12.2006 № 200-ФЗ;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b05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b05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6) Федерального закона от 10.01.2002 № 7-ФЗ «Об охране окружающей среды»;</w:t>
      </w:r>
      <w:r>
        <w:rPr>
          <w:color w:val="000000" w:themeColor="text1"/>
          <w:sz w:val="24"/>
          <w:szCs w:val="24"/>
        </w:rPr>
      </w:r>
      <w:r>
        <w:rPr>
          <w:color w:val="00b05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7) Федерального закона от 14.03.1995 № 33-ФЗ «Об особо охраняемых природных территориях»;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8) Федерального закона от 24.04.1995 № 52-ФЗ «О животном мире»;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9) Фед</w:t>
      </w:r>
      <w:r>
        <w:rPr>
          <w:color w:val="000000" w:themeColor="text1"/>
          <w:sz w:val="24"/>
          <w:szCs w:val="24"/>
        </w:rPr>
        <w:t xml:space="preserve">ерального закона от 02.05.2006 № 59-ФЗ «О порядке рассмотрения обращений граждан Российской Федерации»;</w:t>
      </w:r>
      <w:r>
        <w:rPr>
          <w:color w:val="000000" w:themeColor="text1"/>
          <w:sz w:val="24"/>
          <w:szCs w:val="24"/>
        </w:rPr>
      </w:r>
      <w:r>
        <w:rPr>
          <w:color w:val="0070c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10) Федерального закона от 21.12.1994 № 68-ФЗ «О защите населения и территорий от чрезвычайных ситуаций природного и техногенного характера»; 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70c0" w:themeColor="text1"/>
          <w:spacing w:val="4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11) </w:t>
      </w:r>
      <w:r>
        <w:rPr>
          <w:color w:val="000000" w:themeColor="text1"/>
          <w:spacing w:val="4"/>
          <w:sz w:val="24"/>
          <w:szCs w:val="24"/>
        </w:rPr>
        <w:t xml:space="preserve">Федер</w:t>
      </w:r>
      <w:r>
        <w:rPr>
          <w:color w:val="000000" w:themeColor="text1"/>
          <w:spacing w:val="4"/>
          <w:sz w:val="24"/>
          <w:szCs w:val="24"/>
        </w:rPr>
        <w:t xml:space="preserve">ального закона от 27.07.2004 № 79-ФЗ «О государственной гражданской службе Российской Федерации»;</w:t>
      </w:r>
      <w:r>
        <w:rPr>
          <w:color w:val="000000" w:themeColor="text1"/>
          <w:spacing w:val="4"/>
          <w:sz w:val="24"/>
          <w:szCs w:val="24"/>
        </w:rPr>
      </w:r>
      <w:r>
        <w:rPr>
          <w:color w:val="0070c0" w:themeColor="text1"/>
          <w:spacing w:val="4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12) Федерального закона от 24.06.1998 № 89-ФЗ «Об отходах производства и потребления»;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13) Федерального закона от 04.05.1999 № 96-ФЗ «Об охране атмосферного в</w:t>
      </w:r>
      <w:r>
        <w:rPr>
          <w:color w:val="000000" w:themeColor="text1"/>
          <w:sz w:val="24"/>
          <w:szCs w:val="24"/>
        </w:rPr>
        <w:t xml:space="preserve">оздуха»;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316"/>
        <w:ind w:left="0" w:right="0" w:firstLine="567"/>
        <w:jc w:val="both"/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14) Федерального </w:t>
      </w:r>
      <w:hyperlink r:id="rId15" w:tooltip="https://login.consultant.ru/link/?req=doc&amp;base=LAW&amp;n=451852" w:history="1">
        <w:r>
          <w:rPr>
            <w:color w:val="000000" w:themeColor="text1"/>
            <w:sz w:val="24"/>
            <w:szCs w:val="24"/>
          </w:rPr>
          <w:t xml:space="preserve">закона</w:t>
        </w:r>
      </w:hyperlink>
      <w:r>
        <w:rPr>
          <w:color w:val="000000" w:themeColor="text1"/>
          <w:sz w:val="24"/>
          <w:szCs w:val="24"/>
        </w:rPr>
        <w:t xml:space="preserve"> от 04.05.2011 г. № 99-ФЗ «О лицензировании отдельных видов деятельности»;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15) Феде</w:t>
      </w:r>
      <w:r>
        <w:rPr>
          <w:color w:val="000000" w:themeColor="text1"/>
          <w:sz w:val="24"/>
          <w:szCs w:val="24"/>
        </w:rPr>
        <w:t xml:space="preserve">рального закона от 24.07.2002 № 101-ФЗ «Об обороте земель сельскохозяйственного назначения»;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16) Федерального закона от 19.07.1997 № 109-ФЗ «О безопасном обращении с пестицидами и агрохимикатами»; 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17) Федерального закона от 21.07.1997 № 117-ФЗ «О безопасн</w:t>
      </w:r>
      <w:r>
        <w:rPr>
          <w:color w:val="000000" w:themeColor="text1"/>
          <w:sz w:val="24"/>
          <w:szCs w:val="24"/>
        </w:rPr>
        <w:t xml:space="preserve">ости гидротехнических сооружений»; 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316"/>
        <w:ind w:left="0" w:right="0" w:firstLine="567"/>
        <w:jc w:val="both"/>
        <w:spacing w:after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18) Федерального закона от 27.07.2006 № 152-ФЗ «О персональных данных»;</w:t>
      </w:r>
      <w:r>
        <w:rPr>
          <w:color w:val="000000" w:themeColor="text1"/>
          <w:sz w:val="24"/>
          <w:szCs w:val="24"/>
        </w:rPr>
      </w:r>
      <w:r>
        <w:rPr>
          <w:color w:val="0070c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19) Федерального закона от 31.07.1998 № 155-ФЗ «О внутренних морских водах, территориальном море и прилежащей зоне Российской Федерации»; 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288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Федерального </w:t>
      </w:r>
      <w:hyperlink r:id="rId16" w:tooltip="Федеральный закон от 20.12.2004 N 166-ФЗ (ред. от 29.05.2024) &quot;О рыболовстве и сохранении водных биологических ресурсов&quot; (с изм. и доп., вступ. в силу с 01.12.2024) {КонсультантПлюс}" w:history="1"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закона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20.12.2004 № 166-ФЗ «О рыболовстве и сохранении водных биологических ресурсов»;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21) Федерального </w:t>
      </w:r>
      <w:hyperlink r:id="rId17" w:tooltip="https://login.consultant.ru/link/?req=doc&amp;base=LAW&amp;n=464881" w:history="1">
        <w:r>
          <w:rPr>
            <w:color w:val="000000" w:themeColor="text1"/>
            <w:sz w:val="24"/>
            <w:szCs w:val="24"/>
          </w:rPr>
          <w:t xml:space="preserve">закона</w:t>
        </w:r>
      </w:hyperlink>
      <w:r>
        <w:rPr>
          <w:color w:val="000000" w:themeColor="text1"/>
          <w:sz w:val="24"/>
          <w:szCs w:val="24"/>
        </w:rPr>
        <w:t xml:space="preserve"> от 23.11.1995 № 174-ФЗ «Об экологической экспертизе»;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22) Федерального закона от 30.11.1995 № 187-ФЗ «О континентальном шельфе Российской Федерации»;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23) Федерального закона от 17.12.1998 № 191-ФЗ «Об исключительной экономической зоне Российской Фед</w:t>
      </w:r>
      <w:r>
        <w:rPr>
          <w:color w:val="000000" w:themeColor="text1"/>
          <w:sz w:val="24"/>
          <w:szCs w:val="24"/>
        </w:rPr>
        <w:t xml:space="preserve">ерации»; 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24) Федерального закона от 24.07.2009 № 209-ФЗ «Об охоте и о сохранении охотничьих ресурсов и о внесении изменений в отдельные законодательные акты Российской Федерации»;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316"/>
        <w:ind w:left="0" w:right="0" w:firstLine="567"/>
        <w:jc w:val="both"/>
        <w:spacing w:after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25) Федерального закона от 27.07.2010 № 210-ФЗ «Об организации предоставлен</w:t>
      </w:r>
      <w:r>
        <w:rPr>
          <w:color w:val="000000" w:themeColor="text1"/>
          <w:sz w:val="24"/>
          <w:szCs w:val="24"/>
        </w:rPr>
        <w:t xml:space="preserve">ия государственных и муниципальных услуг»; </w:t>
      </w:r>
      <w:r>
        <w:rPr>
          <w:color w:val="000000" w:themeColor="text1"/>
          <w:sz w:val="24"/>
          <w:szCs w:val="24"/>
        </w:rPr>
      </w:r>
      <w:r>
        <w:rPr>
          <w:color w:val="0070c0" w:themeColor="text1"/>
          <w:sz w:val="28"/>
          <w:szCs w:val="28"/>
        </w:rPr>
      </w:r>
    </w:p>
    <w:p>
      <w:pPr>
        <w:pStyle w:val="1316"/>
        <w:ind w:left="0" w:right="0" w:firstLine="567"/>
        <w:jc w:val="both"/>
        <w:spacing w:after="0"/>
        <w:rPr>
          <w:color w:val="00b05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26) Федерального закона от 31.07.2020 № 248-ФЗ «О государственном контроле (надзоре) и муниципальном контроле в Российской Федерации»;</w:t>
      </w:r>
      <w:r>
        <w:rPr>
          <w:color w:val="000000" w:themeColor="text1"/>
          <w:sz w:val="24"/>
          <w:szCs w:val="24"/>
        </w:rPr>
      </w:r>
      <w:r>
        <w:rPr>
          <w:color w:val="00b05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27) Федерального закона от 25.12.2008 № 273-ФЗ «О противодействии коррупции»;</w:t>
      </w:r>
      <w:r>
        <w:rPr>
          <w:color w:val="000000" w:themeColor="text1"/>
          <w:sz w:val="24"/>
          <w:szCs w:val="24"/>
        </w:rPr>
      </w:r>
      <w:r>
        <w:rPr>
          <w:color w:val="0070c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28) Федерального закона от 29.12.2014 № 473-ФЗ «О территориях опережающего социально-экономического развития в Российской Федерации»;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288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29) Федерального </w:t>
      </w:r>
      <w:hyperlink r:id="rId18" w:tooltip="Федеральный закон от 27.12.2018 N 498-ФЗ (ред. от 08.08.2024) &quot;Об ответственном обращении с животными и о внесении изменений в отдельные законодательные акты Российской Федерации&quot; {КонсультантПлюс}" w:history="1"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закона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27.12.2018 № 498-ФЗ «Об ответственном обращении с животными и о внесе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нии в отдельные законодательные акты Российской Федерации»;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30) Постановления Правительства Российской Федерации от 16.04.2021 № 604 «Об утверждении Правил формирования и ведения единого реестра контрольных (надзорных) мероприятий и о внесении изменени</w:t>
      </w:r>
      <w:r>
        <w:rPr>
          <w:color w:val="000000" w:themeColor="text1"/>
          <w:sz w:val="24"/>
          <w:szCs w:val="24"/>
        </w:rPr>
        <w:t xml:space="preserve">я в постановление Правительства Российской Федерации от 28 апреля 2015 г. № 415»;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31) Постановления Правительства Российской Федерации от 31.10.2013 № 978 «Об утверждении перечня особо ценных диких животных, водных биологических ресурсов, растений и гр</w:t>
      </w:r>
      <w:r>
        <w:rPr>
          <w:color w:val="000000" w:themeColor="text1"/>
          <w:sz w:val="24"/>
          <w:szCs w:val="24"/>
        </w:rPr>
        <w:t xml:space="preserve">ибов, принадлежащих к видам, занесенным в Красную книгу Российской Федерации и (или) охраняемым международными договорами Российской Федерации, для целей статей 226.1, 258.1 и 260.1 Уголовного кодекса Российской Федерации»;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32) Постановления Правительства </w:t>
      </w:r>
      <w:r>
        <w:rPr>
          <w:color w:val="000000" w:themeColor="text1"/>
          <w:sz w:val="24"/>
          <w:szCs w:val="24"/>
        </w:rPr>
        <w:t xml:space="preserve">Российской Федерации от 30.06.2021 № 1065 «О федеральном государственном охотничьем контроле (надзоре)»;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33) Постановления Правительства Российской Федерации от 30.06.2021 № 1081 «О федеральном государственном земельном контроле (надзоре)»;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34) Пос</w:t>
      </w:r>
      <w:r>
        <w:rPr>
          <w:color w:val="000000" w:themeColor="text1"/>
          <w:sz w:val="24"/>
          <w:szCs w:val="24"/>
        </w:rPr>
        <w:t xml:space="preserve">тановления Правительства Российской Федерации от 30.06.2021 № 1089 «О федеральном государственном контроле (надзоре) в области обращения с животными»;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35) Постановления Правительства Российской Федерации от 30.06.2021 № 1090 «О федеральном государс</w:t>
      </w:r>
      <w:r>
        <w:rPr>
          <w:color w:val="000000" w:themeColor="text1"/>
          <w:sz w:val="24"/>
          <w:szCs w:val="24"/>
        </w:rPr>
        <w:t xml:space="preserve">твенном контроле (надзоре) в области охраны и использования, особо охраняемых природных территорий»;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36) Постановления Правительства Российской Федерации от 30.06.2021 № 1094 «О федеральном государственном контроле (надзоре) в области охраны, воспроизв</w:t>
      </w:r>
      <w:r>
        <w:rPr>
          <w:color w:val="000000" w:themeColor="text1"/>
          <w:sz w:val="24"/>
          <w:szCs w:val="24"/>
        </w:rPr>
        <w:t xml:space="preserve">одства и использования объектов животного мира и среды их обитания»;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37) Постановления Правительства Российской Федерации от 30.06.2021 № 1096 «О федеральном государственном экологическом контроле (надзоре)»;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38) Постановления Правительства Российской </w:t>
      </w:r>
      <w:r>
        <w:rPr>
          <w:color w:val="000000" w:themeColor="text1"/>
          <w:sz w:val="24"/>
          <w:szCs w:val="24"/>
        </w:rPr>
        <w:t xml:space="preserve">Федерации от 30.06.2021 № 1098 «О федеральном государственном лесном контроле (надзоре)»;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315"/>
        <w:ind w:left="0" w:right="0" w:firstLine="567"/>
        <w:jc w:val="both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39) Постановления Правительства Российской Федерации от 31.10.2024 № 1459 «Об утверждении Правил установления границ водоохранных зон и границ прибрежных защи</w:t>
      </w:r>
      <w:r>
        <w:rPr>
          <w:color w:val="000000" w:themeColor="text1"/>
          <w:sz w:val="24"/>
          <w:szCs w:val="24"/>
        </w:rPr>
        <w:t xml:space="preserve">тных полос водных объектов»;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316"/>
        <w:ind w:left="0" w:right="0" w:firstLine="567"/>
        <w:jc w:val="both"/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40) Постановления Правительства Российской Федерации от 31.12.2020 № 2398 «Об утверждении критериев отнесения объектов, оказывающих негативное воздействие на окружающую среду, к объектам I, II, III и IV категорий»;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288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41) П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риказа Федеральной службы по надзору в сфере природопользования от 13.09.2022 № 401 «Об утверждении М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етодических рекомендаций по осуществлению мониторинга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ведения органами исполнительной власти субъектов Российской Федерации региональных государственных ре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естров объектов, оказывающих негативное воздействие на окружающую среду»;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</w:rPr>
      </w:r>
    </w:p>
    <w:p>
      <w:pPr>
        <w:pStyle w:val="1316"/>
        <w:ind w:left="0" w:right="0" w:firstLine="567"/>
        <w:jc w:val="both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42) иные акты законодательства Российской Федерации, акты Президента Российской Федерации и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Правительства Российской Федерации, нормативные правовые акты Минприроды России, нормативные и иные правовые акты Росприроднадзора и других государственных органов, регулирующие вопросы, связанные с областью и видом профессиональной служебной деятельности.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highlight w:val="none"/>
        </w:rPr>
        <w:t xml:space="preserve">Наличие базовых умений: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16"/>
        <w:ind w:left="0" w:right="0" w:firstLine="567"/>
        <w:jc w:val="both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1) общие умения: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16"/>
        <w:ind w:left="0" w:right="0" w:firstLine="567"/>
        <w:jc w:val="both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мыслить системно (стратегически);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16"/>
        <w:ind w:left="0" w:right="0" w:firstLine="567"/>
        <w:jc w:val="both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планировать, рационально использовать служебное время и достигать результата;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16"/>
        <w:ind w:left="0" w:right="0" w:firstLine="567"/>
        <w:jc w:val="both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коммуникативные умения;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16"/>
        <w:ind w:left="0" w:right="0" w:firstLine="567"/>
        <w:jc w:val="both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управлять изменениями;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16"/>
        <w:ind w:left="0" w:right="0" w:firstLine="567"/>
        <w:jc w:val="both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2) в области информационно-коммуникационных технологий, включая умения по применению персонального компьютера: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15"/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оперативно осуществлять поиск необходимой информации, в том числе с использованием информационно-телекоммуникационной сети «Интернет»;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15"/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работать со справочными нормативно-правовыми базами, а также государственной системой правовой информации «Официальный интернет-портал правовой информации» (</w:t>
      </w:r>
      <w:hyperlink r:id="rId19" w:tooltip="&lt;div class=&quot;doc www&quot;&gt;&lt;span class=&quot;aligner&quot;&gt;&lt;div class=&quot;icon listDocWWW-16&quot;&gt;&lt;/div&gt;&lt;/span&gt;pravo.gov.ru&lt;/div&gt;" w:history="1">
        <w:r>
          <w:rPr>
            <w:rStyle w:val="999"/>
            <w:rFonts w:ascii="Times New Roman" w:hAnsi="Times New Roman" w:eastAsia="Times New Roman" w:cs="Times New Roman"/>
            <w:color w:val="auto"/>
            <w:sz w:val="24"/>
            <w:szCs w:val="24"/>
            <w:highlight w:val="none"/>
            <w:u w:val="none"/>
          </w:rPr>
          <w:t xml:space="preserve">pravo.gov.ru</w:t>
        </w:r>
      </w:hyperlink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); 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15"/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создавать, отправлять и получать электронные сообщения с помощью служебной электронной почты или иных ведомственных систем обмена электронными сообщениями, включая работу с вложениями; 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15"/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работать с текстовыми документами, электронными таблицами и презентациями, включая их создание, редактирование и форматирование, сохранение и печать; 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15"/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работать с общими сетевыми ресурсами (сетевыми дисками, папками). 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highlight w:val="none"/>
        </w:rPr>
        <w:t xml:space="preserve">Наличие профессиональных умений: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288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1) практическое применение нормативно-правовых актов в области охраны окружающей среды;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88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2) работа с федеральными информационными ресурсами и информационными системами в сфере охраны окружающей среды;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88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3) работа со статистическими и отчетными данными;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88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4) про</w:t>
      </w:r>
      <w:r>
        <w:rPr>
          <w:rFonts w:ascii="Times New Roman" w:hAnsi="Times New Roman" w:cs="Times New Roman"/>
          <w:sz w:val="24"/>
          <w:szCs w:val="24"/>
        </w:rPr>
        <w:t xml:space="preserve">водить сравнительный анализ параметров состояния охраны окружающей среды;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88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5) проводить комплексный анализ состояния охраны окружающей среды;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88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6) применять методы комплексной географической оценки состояния охраны окружающей среды;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88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7) применять общие и специ</w:t>
      </w:r>
      <w:r>
        <w:rPr>
          <w:rFonts w:ascii="Times New Roman" w:hAnsi="Times New Roman" w:cs="Times New Roman"/>
          <w:sz w:val="24"/>
          <w:szCs w:val="24"/>
        </w:rPr>
        <w:t xml:space="preserve">ализированные методы географических исследований для оценки состояния охраны окружающей среды;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88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8) оценивать полноту и корректность географической информации, используемой в работах и проектах в сфере охраны окружающей среды;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88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9) выявлять факторы географичес</w:t>
      </w:r>
      <w:r>
        <w:rPr>
          <w:rFonts w:ascii="Times New Roman" w:hAnsi="Times New Roman" w:cs="Times New Roman"/>
          <w:sz w:val="24"/>
          <w:szCs w:val="24"/>
        </w:rPr>
        <w:t xml:space="preserve">кой направленности, значимые для обоснования предложений по совершенствованию проектов и работ в сфере охраны окружающей среды;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88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10) применять стандартное программное обеспечение для подготовки документов по результатам комплексной географической оценки сод</w:t>
      </w:r>
      <w:r>
        <w:rPr>
          <w:rFonts w:ascii="Times New Roman" w:hAnsi="Times New Roman" w:cs="Times New Roman"/>
          <w:sz w:val="24"/>
          <w:szCs w:val="24"/>
        </w:rPr>
        <w:t xml:space="preserve">ержания работ и проектов в сфере охраны окружающей среды;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88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11) применять методы географического районирования для систематизации информации об охраняемых компонентах природы;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288"/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12) применять специализированное программное обеспечение для визуализации результа</w:t>
      </w:r>
      <w:r>
        <w:rPr>
          <w:rFonts w:ascii="Times New Roman" w:hAnsi="Times New Roman" w:cs="Times New Roman"/>
          <w:sz w:val="24"/>
          <w:szCs w:val="24"/>
        </w:rPr>
        <w:t xml:space="preserve">тов комплексной диагностики состояния охраняемых природных компонентов и территориальных систем;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13) применять стандартное программное обеспечение для извлечения необходимой географической информации о состоянии охраняемых объектов (территорий, акваторий, ландшафтов) и явлений исследуемого региона по данным дистанционного зондирования Земли.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315"/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none"/>
        </w:rPr>
        <w:t xml:space="preserve">Должностные обязанности: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pStyle w:val="1303"/>
        <w:numPr>
          <w:ilvl w:val="0"/>
          <w:numId w:val="49"/>
        </w:num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в соответствии с возложенными на </w:t>
      </w:r>
      <w:r>
        <w:rPr>
          <w:color w:val="000000" w:themeColor="text1"/>
          <w:sz w:val="24"/>
          <w:szCs w:val="24"/>
        </w:rPr>
        <w:t xml:space="preserve">Отдел</w:t>
      </w:r>
      <w:r>
        <w:rPr>
          <w:color w:val="000000" w:themeColor="text1"/>
          <w:sz w:val="24"/>
          <w:szCs w:val="24"/>
        </w:rPr>
        <w:t xml:space="preserve"> задачами осуществлять на территор</w:t>
      </w:r>
      <w:r>
        <w:rPr>
          <w:color w:val="000000" w:themeColor="text1"/>
          <w:sz w:val="24"/>
          <w:szCs w:val="24"/>
        </w:rPr>
        <w:t xml:space="preserve">ии </w:t>
      </w:r>
      <w:r>
        <w:rPr>
          <w:color w:val="000000" w:themeColor="text1"/>
          <w:sz w:val="24"/>
          <w:szCs w:val="24"/>
        </w:rPr>
        <w:t xml:space="preserve">Чукотского автономного округа</w:t>
      </w:r>
      <w:r>
        <w:rPr>
          <w:color w:val="000000" w:themeColor="text1"/>
          <w:sz w:val="24"/>
          <w:szCs w:val="24"/>
        </w:rPr>
        <w:t xml:space="preserve"> следующие виды контроля (надзора):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303"/>
        <w:numPr>
          <w:ilvl w:val="1"/>
          <w:numId w:val="50"/>
        </w:num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федеральный государственный экологический контроль (надзор);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303"/>
        <w:numPr>
          <w:ilvl w:val="1"/>
          <w:numId w:val="50"/>
        </w:num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федеральный государственный земельный контроль (надзор);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303"/>
        <w:numPr>
          <w:ilvl w:val="1"/>
          <w:numId w:val="50"/>
        </w:num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ф</w:t>
      </w:r>
      <w:r>
        <w:rPr>
          <w:color w:val="000000" w:themeColor="text1"/>
          <w:sz w:val="24"/>
          <w:szCs w:val="24"/>
        </w:rPr>
        <w:t xml:space="preserve">едеральный государственный лесной контроль (надзор) на землях особо охраняемых природных территорий федерального значения;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303"/>
        <w:numPr>
          <w:ilvl w:val="1"/>
          <w:numId w:val="50"/>
        </w:num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федеральный государственный контроль (надзор) в области охраны, воспроизводства и использования объектов животного мира и среды их об</w:t>
      </w:r>
      <w:r>
        <w:rPr>
          <w:color w:val="000000" w:themeColor="text1"/>
          <w:sz w:val="24"/>
          <w:szCs w:val="24"/>
        </w:rPr>
        <w:t xml:space="preserve">итания на особо охраняемых природных территориях федерального значения, которые не находятся под управлением федеральных государственных бюджетных учреждений;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303"/>
        <w:numPr>
          <w:ilvl w:val="1"/>
          <w:numId w:val="50"/>
        </w:num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федеральный государственный контроль (надзор) в области охраны и использования особо охраняемых п</w:t>
      </w:r>
      <w:r>
        <w:rPr>
          <w:color w:val="000000" w:themeColor="text1"/>
          <w:sz w:val="24"/>
          <w:szCs w:val="24"/>
        </w:rPr>
        <w:t xml:space="preserve">риродных территорий на особо охраняемых природных территориях федерального значения и в границах их охранных зон, которые не находятся под управлением федеральных государственных бюджетных учреждений;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303"/>
        <w:numPr>
          <w:ilvl w:val="1"/>
          <w:numId w:val="50"/>
        </w:num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федеральный государственный охотничий контроль (надзор)</w:t>
      </w:r>
      <w:r>
        <w:rPr>
          <w:color w:val="000000" w:themeColor="text1"/>
          <w:sz w:val="24"/>
          <w:szCs w:val="24"/>
        </w:rPr>
        <w:t xml:space="preserve"> на особо охраняемых природных территориях федерального значения и в границах их охранных зон, управление которыми не осуществляется федеральными государственными бюджетными учреждениями;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303"/>
        <w:numPr>
          <w:ilvl w:val="1"/>
          <w:numId w:val="50"/>
        </w:num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федеральный государственный контроль (надзор) в области обращения с </w:t>
      </w:r>
      <w:r>
        <w:rPr>
          <w:color w:val="000000" w:themeColor="text1"/>
          <w:sz w:val="24"/>
          <w:szCs w:val="24"/>
        </w:rPr>
        <w:t xml:space="preserve">животными, за исключением обращения со служебными животными, в части соблюдения требований к содержанию и использованию диких животных, содержащихся или используемых в условиях неволи, в том числе принадлежащих к видам, занесенным в Красную книгу Российско</w:t>
      </w:r>
      <w:r>
        <w:rPr>
          <w:color w:val="000000" w:themeColor="text1"/>
          <w:sz w:val="24"/>
          <w:szCs w:val="24"/>
        </w:rPr>
        <w:t xml:space="preserve">й Федерации и (или) охраняемым международными договорами Российской Федерации (за исключением соблюдения требований к содержанию и использованию таких животных в культурно-зрелищных целях);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310"/>
        <w:ind w:left="0" w:right="0" w:firstLine="567"/>
        <w:jc w:val="both"/>
        <w:spacing w:before="0" w:after="0" w:line="240" w:lineRule="auto"/>
        <w:shd w:val="clear" w:color="auto" w:fill="auto"/>
        <w:rPr>
          <w:color w:val="000000" w:themeColor="text1"/>
        </w:rPr>
      </w:pPr>
      <w:r>
        <w:rPr>
          <w:color w:val="000000" w:themeColor="text1"/>
          <w:sz w:val="24"/>
          <w:szCs w:val="24"/>
        </w:rPr>
        <w:t xml:space="preserve">18) осуществлять контроль за эффективностью и качеством осуществле</w:t>
      </w:r>
      <w:r>
        <w:rPr>
          <w:color w:val="000000" w:themeColor="text1"/>
          <w:sz w:val="24"/>
          <w:szCs w:val="24"/>
        </w:rPr>
        <w:t xml:space="preserve">ния органами государственной власти </w:t>
      </w:r>
      <w:r>
        <w:rPr>
          <w:color w:val="000000" w:themeColor="text1"/>
          <w:sz w:val="24"/>
          <w:szCs w:val="24"/>
        </w:rPr>
        <w:t xml:space="preserve">Чукотского автономного округа</w:t>
      </w:r>
      <w:r>
        <w:rPr>
          <w:color w:val="000000" w:themeColor="text1"/>
          <w:sz w:val="24"/>
          <w:szCs w:val="24"/>
        </w:rPr>
        <w:t xml:space="preserve"> переданных полномочий Российской Федерации в области водных отношений, в области охраны и использования объектов животного мира, не отнесенных к водным биологическим ресурсам, в области охот</w:t>
      </w:r>
      <w:r>
        <w:rPr>
          <w:color w:val="000000" w:themeColor="text1"/>
          <w:sz w:val="24"/>
          <w:szCs w:val="24"/>
        </w:rPr>
        <w:t xml:space="preserve">ы и сохранения охотничьих ресурсов, с правом направления обязательных для исполнения предписаний об устранении выявленных</w:t>
      </w:r>
      <w:r>
        <w:rPr>
          <w:color w:val="000000" w:themeColor="text1"/>
          <w:sz w:val="24"/>
          <w:szCs w:val="24"/>
          <w:lang w:bidi="ru-RU"/>
        </w:rPr>
        <w:t xml:space="preserve"> нарушений и представлений о привлечении к дисциплинарной ответственности, в том числе об освобождении от занимаемой должности, должнос</w:t>
      </w:r>
      <w:r>
        <w:rPr>
          <w:color w:val="000000" w:themeColor="text1"/>
          <w:sz w:val="24"/>
          <w:szCs w:val="24"/>
          <w:lang w:bidi="ru-RU"/>
        </w:rPr>
        <w:t xml:space="preserve">тных лиц, ответственных за неисполнение или ненадлежащее исполнение переданных полномочий;</w:t>
      </w:r>
      <w:r>
        <w:rPr>
          <w:color w:val="000000" w:themeColor="text1"/>
          <w:sz w:val="24"/>
          <w:szCs w:val="24"/>
          <w:lang w:bidi="ru-RU"/>
        </w:rPr>
      </w:r>
      <w:r>
        <w:rPr>
          <w:color w:val="000000" w:themeColor="text1"/>
        </w:rPr>
      </w:r>
    </w:p>
    <w:p>
      <w:pPr>
        <w:pStyle w:val="1310"/>
        <w:ind w:left="0" w:right="0" w:firstLine="567"/>
        <w:jc w:val="both"/>
        <w:spacing w:before="0" w:after="0" w:line="240" w:lineRule="auto"/>
        <w:shd w:val="clear" w:color="auto" w:fill="auto"/>
        <w:rPr>
          <w:color w:val="000000" w:themeColor="text1"/>
          <w:sz w:val="28"/>
          <w:szCs w:val="28"/>
        </w:rPr>
      </w:pPr>
      <w:r>
        <w:rPr>
          <w:rStyle w:val="1266"/>
          <w:color w:val="000000" w:themeColor="text1"/>
          <w:sz w:val="24"/>
          <w:szCs w:val="24"/>
        </w:rPr>
        <w:t xml:space="preserve">19) о</w:t>
      </w:r>
      <w:r>
        <w:rPr>
          <w:rStyle w:val="1260"/>
          <w:color w:val="000000" w:themeColor="text1"/>
          <w:sz w:val="24"/>
          <w:szCs w:val="24"/>
        </w:rPr>
        <w:t xml:space="preserve">существлять прием от юридических лиц и индивидуальных предпринимателей отчетов об организации и о результатах осуществления </w:t>
      </w:r>
      <w:r>
        <w:rPr>
          <w:rStyle w:val="1260"/>
          <w:color w:val="000000" w:themeColor="text1"/>
          <w:sz w:val="24"/>
          <w:szCs w:val="24"/>
        </w:rPr>
        <w:t xml:space="preserve">производственного экологического кон</w:t>
      </w:r>
      <w:r>
        <w:rPr>
          <w:rStyle w:val="1260"/>
          <w:color w:val="000000" w:themeColor="text1"/>
          <w:sz w:val="24"/>
          <w:szCs w:val="24"/>
        </w:rPr>
        <w:t xml:space="preserve">троля;</w:t>
      </w:r>
      <w:r>
        <w:rPr>
          <w:rStyle w:val="1260"/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316"/>
        <w:ind w:left="0" w:right="0" w:firstLine="567"/>
        <w:jc w:val="both"/>
        <w:spacing w:after="0"/>
        <w:rPr>
          <w:color w:val="000000" w:themeColor="text1"/>
          <w:sz w:val="28"/>
          <w:szCs w:val="28"/>
        </w:rPr>
      </w:pPr>
      <w:r>
        <w:rPr>
          <w:rStyle w:val="1266"/>
          <w:color w:val="000000" w:themeColor="text1"/>
          <w:sz w:val="24"/>
          <w:szCs w:val="24"/>
        </w:rPr>
        <w:t xml:space="preserve">20) п</w:t>
      </w:r>
      <w:r>
        <w:rPr>
          <w:color w:val="000000" w:themeColor="text1"/>
          <w:sz w:val="24"/>
          <w:szCs w:val="24"/>
        </w:rPr>
        <w:t xml:space="preserve">о поручению центрального аппарата Росприроднадзора принимать участие в подготовке для представления в центральный аппарат Росприроднадзора предложений о возможности согласования: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rStyle w:val="1266"/>
          <w:color w:val="000000" w:themeColor="text1"/>
          <w:sz w:val="24"/>
          <w:szCs w:val="24"/>
        </w:rPr>
        <w:t xml:space="preserve">20.</w:t>
      </w:r>
      <w:r>
        <w:rPr>
          <w:color w:val="000000" w:themeColor="text1"/>
          <w:sz w:val="24"/>
          <w:szCs w:val="24"/>
        </w:rPr>
        <w:t xml:space="preserve">1) решений о выдаче либо об отказе в выдаче разрешений на стро</w:t>
      </w:r>
      <w:r>
        <w:rPr>
          <w:color w:val="000000" w:themeColor="text1"/>
          <w:sz w:val="24"/>
          <w:szCs w:val="24"/>
        </w:rPr>
        <w:t xml:space="preserve">ительство, реконструкцию, проведение изыскательских работ для проектирования и ликвидацию сухопутных линий связи либо отдельных сооружений и средств связи в случаях, когда линии связи пересекают государственную границу Российской Федерации, размещаются на </w:t>
      </w:r>
      <w:r>
        <w:rPr>
          <w:color w:val="000000" w:themeColor="text1"/>
          <w:sz w:val="24"/>
          <w:szCs w:val="24"/>
        </w:rPr>
        <w:t xml:space="preserve">приграничной территории;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rStyle w:val="1266"/>
          <w:color w:val="000000" w:themeColor="text1"/>
          <w:sz w:val="24"/>
          <w:szCs w:val="24"/>
        </w:rPr>
        <w:t xml:space="preserve">20</w:t>
      </w:r>
      <w:r>
        <w:rPr>
          <w:color w:val="000000" w:themeColor="text1"/>
          <w:sz w:val="24"/>
          <w:szCs w:val="24"/>
        </w:rPr>
        <w:t xml:space="preserve">.2) проектов округов санитарной охраны лечебно-оздоровительных местностей и курортов федерального значения, а также заданий заказчика на разработку таких проектов;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rStyle w:val="1266"/>
          <w:color w:val="000000" w:themeColor="text1"/>
          <w:sz w:val="24"/>
          <w:szCs w:val="24"/>
        </w:rPr>
        <w:t xml:space="preserve">21)</w:t>
      </w:r>
      <w:r>
        <w:rPr>
          <w:color w:val="000000" w:themeColor="text1"/>
          <w:sz w:val="24"/>
          <w:szCs w:val="24"/>
        </w:rPr>
        <w:t xml:space="preserve"> рассматривать для согласования Управлением проекты планов про</w:t>
      </w:r>
      <w:r>
        <w:rPr>
          <w:color w:val="000000" w:themeColor="text1"/>
          <w:sz w:val="24"/>
          <w:szCs w:val="24"/>
        </w:rPr>
        <w:t xml:space="preserve">ведения плановых контрольных (надзорных) мероприятий на очередной календарный год в рамках муниципального земельного контроля;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rStyle w:val="1266"/>
          <w:color w:val="000000" w:themeColor="text1"/>
          <w:sz w:val="24"/>
          <w:szCs w:val="24"/>
        </w:rPr>
        <w:t xml:space="preserve">22)</w:t>
      </w:r>
      <w:r>
        <w:rPr>
          <w:color w:val="000000" w:themeColor="text1"/>
          <w:sz w:val="24"/>
          <w:szCs w:val="24"/>
        </w:rPr>
        <w:t xml:space="preserve"> п</w:t>
      </w:r>
      <w:r>
        <w:rPr>
          <w:rStyle w:val="1260"/>
          <w:color w:val="000000" w:themeColor="text1"/>
          <w:sz w:val="24"/>
          <w:szCs w:val="24"/>
        </w:rPr>
        <w:t xml:space="preserve">ринимать уведомления об утверждении проектов рекультивации земель, проектов консервации земель, уведомления о завершении раб</w:t>
      </w:r>
      <w:r>
        <w:rPr>
          <w:rStyle w:val="1260"/>
          <w:color w:val="000000" w:themeColor="text1"/>
          <w:sz w:val="24"/>
          <w:szCs w:val="24"/>
        </w:rPr>
        <w:t xml:space="preserve">от по рекультивации земель, </w:t>
      </w:r>
      <w:r>
        <w:rPr>
          <w:color w:val="000000" w:themeColor="text1"/>
          <w:sz w:val="24"/>
          <w:szCs w:val="24"/>
        </w:rPr>
        <w:t xml:space="preserve">за исключением земель сельскохозяйственного назначения, оборот которых регулируется Федеральным законом от 24.07.2002   № 101-ФЗ «Об обороте земель сельскохозяйственного назначения»;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298"/>
        <w:ind w:left="0" w:right="0" w:firstLine="567"/>
        <w:spacing w:line="240" w:lineRule="auto"/>
        <w:widowControl/>
        <w:rPr>
          <w:color w:val="000000" w:themeColor="text1"/>
          <w:sz w:val="28"/>
          <w:szCs w:val="28"/>
        </w:rPr>
      </w:pPr>
      <w:r>
        <w:rPr>
          <w:rStyle w:val="1260"/>
          <w:color w:val="000000" w:themeColor="text1"/>
          <w:sz w:val="24"/>
          <w:szCs w:val="24"/>
        </w:rPr>
        <w:t xml:space="preserve">23) осуществлять рассмотрение для согласовани</w:t>
      </w:r>
      <w:r>
        <w:rPr>
          <w:rStyle w:val="1260"/>
          <w:color w:val="000000" w:themeColor="text1"/>
          <w:sz w:val="24"/>
          <w:szCs w:val="24"/>
        </w:rPr>
        <w:t xml:space="preserve">я Управлением: </w:t>
      </w:r>
      <w:r>
        <w:rPr>
          <w:rStyle w:val="1260"/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310"/>
        <w:ind w:left="0" w:right="0" w:firstLine="567"/>
        <w:jc w:val="both"/>
        <w:spacing w:before="0" w:after="0" w:line="240" w:lineRule="auto"/>
        <w:shd w:val="clear" w:color="auto" w:fill="auto"/>
        <w:rPr>
          <w:color w:val="000000" w:themeColor="text1"/>
          <w:sz w:val="24"/>
          <w:szCs w:val="24"/>
        </w:rPr>
      </w:pPr>
      <w:r>
        <w:rPr>
          <w:rStyle w:val="1266"/>
          <w:color w:val="000000" w:themeColor="text1"/>
          <w:sz w:val="24"/>
          <w:szCs w:val="24"/>
        </w:rPr>
        <w:t xml:space="preserve">23</w:t>
      </w:r>
      <w:r>
        <w:rPr>
          <w:color w:val="000000" w:themeColor="text1"/>
          <w:sz w:val="24"/>
          <w:szCs w:val="24"/>
        </w:rPr>
        <w:t xml:space="preserve">.1) перечня мероприятий по предупреждению или снижению возможного ущерба окружающей среде, а также по компенсации возможного ущерба, представляемого для </w:t>
      </w:r>
      <w:r>
        <w:rPr>
          <w:color w:val="000000" w:themeColor="text1"/>
          <w:sz w:val="24"/>
          <w:szCs w:val="24"/>
        </w:rPr>
        <w:t xml:space="preserve">получения разрешения на строительство, реконструкцию, проведение изыскательских работ для проектирования и ликвидации линий связи, в случаях, когда линии связи пересекают Государственную границу Российской Федерации, размещаются на приграничной территории;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298"/>
        <w:ind w:left="0" w:right="0" w:firstLine="567"/>
        <w:spacing w:line="240" w:lineRule="auto"/>
        <w:widowControl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23.2) границ охранных зон для гидроэнергетических объектов в акваториях водных объектов, включающих, в том числе прилегающие к гидроэнергетическим объектам участки водных объектов в верхних и нижних бьефах гидроузлов, на участках береговой полосы (в том ч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исле на участках примыкания гидроэнергетическим объектам), участках поймы;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23.3) заявлений органов исполнительной власти субъектов Российской Федерации об определении границ зон затопления, подтопления;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24) подготавливать для направления Управлением в цент</w:t>
      </w:r>
      <w:r>
        <w:rPr>
          <w:color w:val="000000" w:themeColor="text1"/>
          <w:sz w:val="24"/>
          <w:szCs w:val="24"/>
        </w:rPr>
        <w:t xml:space="preserve">ральный аппарат Росприроднадзора мотивированные заключения о возможности согласования: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316"/>
        <w:numPr>
          <w:ilvl w:val="1"/>
          <w:numId w:val="51"/>
        </w:numPr>
        <w:ind w:left="0" w:right="0" w:firstLine="567"/>
        <w:jc w:val="both"/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проектов разрешений на создание искусственных земельных участков, создаваемых на водных объектах, находящихся в федеральной собственности, или их частях;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316"/>
        <w:ind w:left="0" w:right="0" w:firstLine="567"/>
        <w:jc w:val="both"/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24.2) </w:t>
      </w:r>
      <w:r>
        <w:rPr>
          <w:color w:val="000000" w:themeColor="text1"/>
          <w:sz w:val="24"/>
          <w:szCs w:val="24"/>
        </w:rPr>
        <w:t xml:space="preserve">проектов правил использования для каждого из водохранилищ, включенных в перечень водохранилищ, утвержденный распоряжением Правительства Российской Федерации от 14.02.2009 № 197-р;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298"/>
        <w:ind w:left="0" w:right="0" w:firstLine="567"/>
        <w:spacing w:line="240" w:lineRule="auto"/>
        <w:widowControl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25) подготавливать для направления Управлением в центральный аппарат Росприр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однадзора сведения для предоставления в государственный водный реестр;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pStyle w:val="1298"/>
        <w:ind w:left="0" w:right="0" w:firstLine="567"/>
        <w:spacing w:line="240" w:lineRule="auto"/>
        <w:widowControl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26) принимать участие в разработке схем комплексного использования и охраны водных объектов, а также участие в разработке целевых показателей качества воды в водных объектах;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27) подготавливать</w:t>
      </w:r>
      <w:r>
        <w:rPr>
          <w:color w:val="000000" w:themeColor="text1"/>
          <w:sz w:val="24"/>
          <w:szCs w:val="24"/>
        </w:rPr>
        <w:t xml:space="preserve"> для представления Управлением в центральный аппарат Росприроднадзора мотивированных заключений о возможности: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27.1) выдачи разрешений на добычу объектов животного и растительного мира, включая водные биологические ресурсы, занесённ</w:t>
      </w:r>
      <w:r>
        <w:rPr>
          <w:color w:val="000000" w:themeColor="text1"/>
          <w:sz w:val="24"/>
          <w:szCs w:val="24"/>
        </w:rPr>
        <w:t xml:space="preserve">ых в Красную книгу Российской Федерации, а также объектов животного мира, находящихся на особо охраняемых природных территориях федерального значения;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310"/>
        <w:ind w:left="0" w:right="0" w:firstLine="567"/>
        <w:jc w:val="both"/>
        <w:spacing w:before="0" w:after="0" w:line="240" w:lineRule="auto"/>
        <w:shd w:val="clear" w:color="auto" w:fill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27.2) осуществления пользования видами животных в целях получения разрешений (распорядительных лицензий) </w:t>
      </w:r>
      <w:r>
        <w:rPr>
          <w:color w:val="000000" w:themeColor="text1"/>
          <w:sz w:val="24"/>
          <w:szCs w:val="24"/>
        </w:rPr>
        <w:t xml:space="preserve">на оборот диких животных, принадлежащих к видам, занесенным в Красную книгу Российской Федерации;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27.3) согласования установления органами государственной власти Чукотского автономного округа ограничений пользования животным миром, за исключением ограничен</w:t>
      </w:r>
      <w:r>
        <w:rPr>
          <w:color w:val="000000" w:themeColor="text1"/>
          <w:sz w:val="24"/>
          <w:szCs w:val="24"/>
        </w:rPr>
        <w:t xml:space="preserve">ий охоты и рыболовства, ограничений пользования животным миром на особо охраняемых природных территориях федерального значения, а также на иных землях в случаях, предусмотренных федеральными законами;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28) рассматривать для согласования Управлением заявлени</w:t>
      </w:r>
      <w:r>
        <w:rPr>
          <w:color w:val="000000" w:themeColor="text1"/>
          <w:sz w:val="24"/>
          <w:szCs w:val="24"/>
        </w:rPr>
        <w:t xml:space="preserve">я о выдаче лицензий на экспорт и (или) импорт товаров, а также оформлять</w:t>
      </w:r>
      <w:r>
        <w:rPr>
          <w:color w:val="000000" w:themeColor="text1"/>
          <w:sz w:val="24"/>
          <w:szCs w:val="24"/>
        </w:rPr>
        <w:t xml:space="preserve"> другие разрешительные документы в случае применения в отношении товаров запретов или ограничений в торговле с третьими странами на ввоз или вывоз государствами – членами Таможенного с</w:t>
      </w:r>
      <w:r>
        <w:rPr>
          <w:color w:val="000000" w:themeColor="text1"/>
          <w:sz w:val="24"/>
          <w:szCs w:val="24"/>
        </w:rPr>
        <w:t xml:space="preserve">оюза для морских и прочих водорослей;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29) осуществлять охрану водных биологических ресурсов, занесенных в Красную книгу Российской Федерации, за исключением водных биологических ресурсов, находящихся на особо охраняемых природных территориях федерального з</w:t>
      </w:r>
      <w:r>
        <w:rPr>
          <w:color w:val="000000" w:themeColor="text1"/>
          <w:sz w:val="24"/>
          <w:szCs w:val="24"/>
        </w:rPr>
        <w:t xml:space="preserve">начения;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30) участвовать в </w:t>
      </w:r>
      <w:r>
        <w:rPr>
          <w:color w:val="000000" w:themeColor="text1"/>
          <w:sz w:val="24"/>
          <w:szCs w:val="24"/>
        </w:rPr>
        <w:t xml:space="preserve">координации деятельности</w:t>
      </w:r>
      <w:r>
        <w:rPr>
          <w:color w:val="000000" w:themeColor="text1"/>
          <w:sz w:val="24"/>
          <w:szCs w:val="24"/>
        </w:rPr>
        <w:t xml:space="preserve"> органов государственной власти </w:t>
      </w:r>
      <w:r>
        <w:rPr>
          <w:color w:val="000000" w:themeColor="text1"/>
          <w:sz w:val="24"/>
          <w:szCs w:val="24"/>
        </w:rPr>
        <w:t xml:space="preserve">Чукотского автономного округа</w:t>
      </w:r>
      <w:r>
        <w:rPr>
          <w:color w:val="000000" w:themeColor="text1"/>
          <w:sz w:val="24"/>
          <w:szCs w:val="24"/>
        </w:rPr>
        <w:t xml:space="preserve"> в области охраны и использования животного мира в пределах своей компетенции;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31) выдавать заключения органа, осуществляющего федеральный государственный </w:t>
      </w:r>
      <w:r>
        <w:rPr>
          <w:color w:val="000000" w:themeColor="text1"/>
          <w:sz w:val="24"/>
          <w:szCs w:val="24"/>
        </w:rPr>
        <w:t xml:space="preserve">экологический контроль (надзор), в отношении объекта капитального строительства;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32) осуществлять в пределах своей компетенции производство по делам об административных правонарушениях;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33) производить расчет размера вреда, причинённого окружающей среде и </w:t>
      </w:r>
      <w:r>
        <w:rPr>
          <w:color w:val="000000" w:themeColor="text1"/>
          <w:sz w:val="24"/>
          <w:szCs w:val="24"/>
        </w:rPr>
        <w:t xml:space="preserve">ее компонентам вследствие нарушений обязательных требований в соответствии с утвержденными таксами и методиками в пределах компетенции Отдела;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4"/>
          <w:szCs w:val="24"/>
        </w:rPr>
        <w:t xml:space="preserve">34)</w:t>
      </w:r>
      <w:r>
        <w:rPr>
          <w:color w:val="000000" w:themeColor="text1"/>
          <w:sz w:val="24"/>
          <w:szCs w:val="24"/>
        </w:rPr>
        <w:t xml:space="preserve"> направлять через Управление в судебные инстанции, органы прокуратуры Российской Федерации, органы внутренних </w:t>
      </w:r>
      <w:r>
        <w:rPr>
          <w:color w:val="000000" w:themeColor="text1"/>
          <w:sz w:val="24"/>
          <w:szCs w:val="24"/>
        </w:rPr>
        <w:t xml:space="preserve">дел Российской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</w:r>
      <w:bookmarkStart w:id="0" w:name="undefined"/>
      <w:r>
        <w:rPr>
          <w:color w:val="000000" w:themeColor="text1"/>
          <w:sz w:val="24"/>
          <w:szCs w:val="24"/>
        </w:rPr>
      </w:r>
      <w:bookmarkEnd w:id="0"/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Федерации и иные государственные органы материалы о выявленных в результате мероприятий по контролю нарушениях для рассмотрения по подведомственности;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316"/>
        <w:ind w:left="0" w:right="0" w:firstLine="567"/>
        <w:jc w:val="both"/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35) осуществлять взаимодействие с федеральными государственными бюджетными учреждениями, п</w:t>
      </w:r>
      <w:r>
        <w:rPr>
          <w:color w:val="000000" w:themeColor="text1"/>
          <w:sz w:val="24"/>
          <w:szCs w:val="24"/>
        </w:rPr>
        <w:t xml:space="preserve">одведомственными Росприроднадзору, при осуществлении согласованных действий по реализации государственных функций, выполнению государственных работ, оказанию государственных услуг;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288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36) осуществлять работу, проводить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инструктаж с общественными инспекторами п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охране окружающей среды, общественными инспекторами в области обращения с животными;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316"/>
        <w:ind w:left="0" w:right="0" w:firstLine="567"/>
        <w:jc w:val="both"/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37) осуществлять обработку персональных данных, доступ к персональным данным в связи с исполнением установленных положением об Отделе полномочий;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38) осуществлять ра</w:t>
      </w:r>
      <w:r>
        <w:rPr>
          <w:color w:val="000000" w:themeColor="text1"/>
          <w:sz w:val="24"/>
          <w:szCs w:val="24"/>
        </w:rPr>
        <w:t xml:space="preserve">ссмотрение жалоб, заявлений, возражений контролируемых лиц, поступающих в подсистему досудебного обжалования государственной информационной системы «Типовое облачное решение по автоматизации контрольной (надзорной) деятельности», относящихся к компетенции </w:t>
      </w:r>
      <w:r>
        <w:rPr>
          <w:color w:val="000000" w:themeColor="text1"/>
          <w:sz w:val="24"/>
          <w:szCs w:val="24"/>
        </w:rPr>
        <w:t xml:space="preserve">Отдела</w:t>
      </w:r>
      <w:r>
        <w:rPr>
          <w:color w:val="000000" w:themeColor="text1"/>
          <w:sz w:val="24"/>
          <w:szCs w:val="24"/>
        </w:rPr>
        <w:t xml:space="preserve">, и рассмотрение соответствующих жалоб, заявлений, возражений, включающее в себя рассмотрение материалов, принятие решений по ходатайствам, подготовку проектов решений;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39) осуществлять выездную оценку соблюдения соискателем лицензии, лицензиатом лиц</w:t>
      </w:r>
      <w:r>
        <w:rPr>
          <w:color w:val="000000" w:themeColor="text1"/>
          <w:sz w:val="24"/>
          <w:szCs w:val="24"/>
        </w:rPr>
        <w:t xml:space="preserve">ензионных требований в рамках федерального государственного экологического контроля (надзора) в форме: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оценки соответствия соискателя лицензии, лицензиата лицензионным требованиям, проводимой в отношении соискателя лицензии, представившего заявление о пред</w:t>
      </w:r>
      <w:r>
        <w:rPr>
          <w:color w:val="000000" w:themeColor="text1"/>
          <w:sz w:val="24"/>
          <w:szCs w:val="24"/>
        </w:rPr>
        <w:t xml:space="preserve">оставлении лицензии; лицензиата, представившего заявление о внесении изменений в реестр лицензий;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316"/>
        <w:ind w:left="0" w:right="0" w:firstLine="567"/>
        <w:jc w:val="both"/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периодического подтверждения соответствия лицензиата лицензионным требованиям.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316"/>
        <w:ind w:left="0" w:right="0" w:firstLine="567"/>
        <w:jc w:val="both"/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40) принимать участие в выполнении работ по формированию официальной статистиче</w:t>
      </w:r>
      <w:r>
        <w:rPr>
          <w:color w:val="000000" w:themeColor="text1"/>
          <w:sz w:val="24"/>
          <w:szCs w:val="24"/>
        </w:rPr>
        <w:t xml:space="preserve">ской информации (осуществлять прием от юридических лиц и индивидуальных предпринимателей годовой </w:t>
      </w:r>
      <w:hyperlink r:id="rId20" w:tooltip="consultantplus://offline/ref=D7D4E010A74DE32FEA27D5D76F03992C42FEC5F9B33C376127393296BC5EFD1EB06F7BF4EC297D15F4B8BA467E8ECC4AFE0426810D9469770FNBA" w:history="1">
        <w:r>
          <w:rPr>
            <w:color w:val="000000" w:themeColor="text1"/>
            <w:sz w:val="24"/>
            <w:szCs w:val="24"/>
          </w:rPr>
          <w:t xml:space="preserve">форм</w:t>
        </w:r>
      </w:hyperlink>
      <w:r>
        <w:rPr>
          <w:color w:val="000000" w:themeColor="text1"/>
          <w:sz w:val="24"/>
          <w:szCs w:val="24"/>
        </w:rPr>
        <w:t xml:space="preserve">ы федерального статистического наблюдения   № 2-ТП (рекультивация) «Сведения о рекультивации зем</w:t>
      </w:r>
      <w:r>
        <w:rPr>
          <w:color w:val="000000" w:themeColor="text1"/>
          <w:sz w:val="24"/>
          <w:szCs w:val="24"/>
        </w:rPr>
        <w:t xml:space="preserve">ель, снятии и использовании плодородного слоя почвы»);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41) участвовать в формировании Перечней объектов федерального государственного экологического, земельного контроля (надзора), отнесенных к определенной категории риска, поднадзорных Управлению и распол</w:t>
      </w:r>
      <w:r>
        <w:rPr>
          <w:color w:val="000000" w:themeColor="text1"/>
          <w:sz w:val="24"/>
          <w:szCs w:val="24"/>
        </w:rPr>
        <w:t xml:space="preserve">оженных на территории </w:t>
      </w:r>
      <w:r>
        <w:rPr>
          <w:color w:val="000000" w:themeColor="text1"/>
          <w:sz w:val="24"/>
          <w:szCs w:val="24"/>
        </w:rPr>
        <w:t xml:space="preserve">Чукотского автономного округа</w:t>
      </w:r>
      <w:r>
        <w:rPr>
          <w:color w:val="000000" w:themeColor="text1"/>
          <w:sz w:val="24"/>
          <w:szCs w:val="24"/>
        </w:rPr>
        <w:t xml:space="preserve">, а также в систематической актуализации Перечней и размещении актуализированной информации об указанных объектах в подсистеме «Перечень объектов контроля» Кабинета сотрудника ведомства Росприроднадзора;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42) участвовать в отнесении объектов федерального государственного экологического, земельного контроля (надзора), поднадзорных </w:t>
      </w:r>
      <w:r>
        <w:rPr>
          <w:color w:val="000000" w:themeColor="text1"/>
          <w:spacing w:val="5"/>
          <w:sz w:val="24"/>
          <w:szCs w:val="24"/>
        </w:rPr>
        <w:t xml:space="preserve">Управлению и расположенных </w:t>
      </w:r>
      <w:r>
        <w:rPr>
          <w:color w:val="000000" w:themeColor="text1"/>
          <w:sz w:val="24"/>
          <w:szCs w:val="24"/>
        </w:rPr>
        <w:t xml:space="preserve">на территории Чукотского автономного округа, </w:t>
      </w:r>
      <w:r>
        <w:rPr>
          <w:color w:val="000000" w:themeColor="text1"/>
          <w:spacing w:val="5"/>
          <w:sz w:val="24"/>
          <w:szCs w:val="24"/>
        </w:rPr>
        <w:t xml:space="preserve">к определенной </w:t>
      </w:r>
      <w:r>
        <w:rPr>
          <w:color w:val="000000" w:themeColor="text1"/>
          <w:spacing w:val="5"/>
          <w:sz w:val="24"/>
          <w:szCs w:val="24"/>
        </w:rPr>
        <w:t xml:space="preserve">категории риска, а также </w:t>
      </w:r>
      <w:r>
        <w:rPr>
          <w:color w:val="000000" w:themeColor="text1"/>
          <w:sz w:val="24"/>
          <w:szCs w:val="24"/>
        </w:rPr>
        <w:t xml:space="preserve">в систематической</w:t>
      </w:r>
      <w:r>
        <w:rPr>
          <w:color w:val="000000" w:themeColor="text1"/>
          <w:sz w:val="24"/>
          <w:szCs w:val="24"/>
        </w:rPr>
        <w:t xml:space="preserve"> актуализации категории риска указанных объектов;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hd w:val="clear" w:color="auto" w:fill="ffff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43) участвовать в обеспечении работы функциональной подсистемы федерального государственного экологического надзора Единой государственной системы предупреждения и ликвидации чрезвычайных ситуаций;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44) расс</w:t>
      </w:r>
      <w:r>
        <w:rPr>
          <w:color w:val="000000" w:themeColor="text1"/>
          <w:sz w:val="24"/>
          <w:szCs w:val="24"/>
        </w:rPr>
        <w:t xml:space="preserve">матривать проектную документацию, предусмотренную </w:t>
      </w:r>
      <w:hyperlink r:id="rId21" w:tooltip="https://login.consultant.ru/link/?req=doc&amp;base=LAW&amp;n=471078" w:history="1">
        <w:r>
          <w:rPr>
            <w:color w:val="000000" w:themeColor="text1"/>
            <w:sz w:val="24"/>
            <w:szCs w:val="24"/>
          </w:rPr>
          <w:t xml:space="preserve">Законом</w:t>
        </w:r>
      </w:hyperlink>
      <w:r>
        <w:rPr>
          <w:color w:val="000000" w:themeColor="text1"/>
          <w:sz w:val="24"/>
          <w:szCs w:val="24"/>
        </w:rPr>
        <w:t xml:space="preserve"> Российской Федерации «О недрах», в части технических и те</w:t>
      </w:r>
      <w:r>
        <w:rPr>
          <w:color w:val="000000" w:themeColor="text1"/>
          <w:sz w:val="24"/>
          <w:szCs w:val="24"/>
        </w:rPr>
        <w:t xml:space="preserve">хнологических решений по обеспечению требований в области охраны окружающей среды;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45) участвовать в формировании </w:t>
      </w:r>
      <w:r>
        <w:rPr>
          <w:color w:val="000000" w:themeColor="text1"/>
          <w:sz w:val="24"/>
          <w:szCs w:val="24"/>
        </w:rPr>
        <w:t xml:space="preserve">проекта ежегодного плана проведения конт</w:t>
      </w:r>
      <w:r>
        <w:rPr>
          <w:color w:val="000000" w:themeColor="text1"/>
          <w:sz w:val="24"/>
          <w:szCs w:val="24"/>
        </w:rPr>
        <w:t xml:space="preserve">рольных (надзорных) мероприятий, </w:t>
      </w:r>
      <w:r>
        <w:rPr>
          <w:color w:val="000000" w:themeColor="text1"/>
          <w:sz w:val="24"/>
          <w:szCs w:val="24"/>
        </w:rPr>
        <w:t xml:space="preserve">планов профилактических мероприятий по направлениям государственного экологического, земельного контроля (надзора), включаемых в программу про</w:t>
      </w:r>
      <w:r>
        <w:rPr>
          <w:color w:val="000000" w:themeColor="text1"/>
          <w:sz w:val="24"/>
          <w:szCs w:val="24"/>
        </w:rPr>
        <w:t xml:space="preserve">филактики рисков причинения вреда, утвержденную Росприроднадзором.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303"/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Специали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сты, отнесенные к старшей группе должностей, одновременно по должности являются государственными инспекторами Российской Федерации в области охраны окружающей среды Северо-Восточного межрегионального управления Росприроднадзора.</w:t>
      </w: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ind w:left="0" w:right="0" w:firstLine="567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Основные обязанност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,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</w:t>
      </w:r>
      <w:bookmarkStart w:id="0" w:name="undefined"/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  <w:bookmarkEnd w:id="0"/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также ограничения, запреты и требования к служебному поведению, установлены статьями 15-18, 20, 20.1, 20.2, 20.3 Федерального закона от 27.07.2004 № 79-ФЗ «О государственной гражданской службе Российской Федерации».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Права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гражданского служащего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установлены статьей 14 Федерального закона от 07.07.2004 № 79-ФЗ «О государственной гражданской службе Российской Федерации».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pStyle w:val="1017"/>
        <w:ind w:left="0" w:right="0" w:firstLine="567"/>
        <w:jc w:val="both"/>
        <w:spacing w:after="0" w:afterAutospacing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Ответственность: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pacing w:val="-7"/>
          <w:sz w:val="24"/>
          <w:szCs w:val="24"/>
          <w:highlight w:val="none"/>
        </w:rPr>
        <w:t xml:space="preserve">за</w:t>
      </w: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 xml:space="preserve"> неисполнение или ненадлежащее исполнение должностных обязанностей гражданский служащий может быть привлечен к ответственности в соответствии с законодательством Российской Федерации.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left="0" w:right="0" w:firstLine="567"/>
        <w:jc w:val="both"/>
        <w:spacing w:after="0" w:afterAutospacing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  <w:t xml:space="preserve">Показатели эффективности и результативности профессиональной служебной деятельности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оцениваются по следующим показателям: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выполняемый объем работы и интенсивность труда, способность сохранять высокую работоспособность в сложных условиях, соблюдение служебной дисциплины;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своевременность и оперативнос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ть выполнения поручений; качество выполненной работы (подготовка документов в соответствии с установленными требованиями, полное и логичное изложение материала, юридически грамотное составление документа, отсутствие стилистических и грамматических ошибок);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профессиональная компетентность (знание законодательных и иных нормативных правовых актов, широта профессионального кругозора, умение работать с документами);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умение рационально использовать рабочее время, расставлять приоритеты;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творческий подход к решению поставленных задач, активность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и инициатива в освоении новых компьютерных и информационных технологий, способность быстро адаптироваться к новым условиям и требованиям;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осознание ответственности за последствия своих действий, принимаемых решений.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left="0" w:right="0" w:firstLine="567"/>
        <w:jc w:val="both"/>
        <w:spacing w:after="0" w:afterAutospacing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1017"/>
        <w:ind w:left="0" w:right="0" w:firstLine="567"/>
        <w:jc w:val="both"/>
        <w:spacing w:after="0" w:afterAutospacing="0" w:line="240" w:lineRule="auto"/>
        <w:rPr>
          <w:rFonts w:ascii="Times New Roman" w:hAnsi="Times New Roman" w:cs="Times New Roman"/>
          <w:i w:val="0"/>
          <w:iCs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i w:val="0"/>
          <w:iCs w:val="0"/>
          <w:sz w:val="24"/>
          <w:szCs w:val="24"/>
          <w:highlight w:val="none"/>
        </w:rPr>
        <w:t xml:space="preserve">Условия прохождения гражданской службы</w:t>
      </w:r>
      <w:r>
        <w:rPr>
          <w:rFonts w:ascii="Times New Roman" w:hAnsi="Times New Roman" w:eastAsia="Times New Roman" w:cs="Times New Roman"/>
          <w:b/>
          <w:i w:val="0"/>
          <w:iCs w:val="0"/>
          <w:sz w:val="24"/>
          <w:szCs w:val="24"/>
          <w:highlight w:val="none"/>
        </w:rPr>
        <w:t xml:space="preserve">:</w:t>
      </w:r>
      <w:r>
        <w:rPr>
          <w:rFonts w:ascii="Times New Roman" w:hAnsi="Times New Roman" w:cs="Times New Roman"/>
          <w:i w:val="0"/>
          <w:i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i w:val="0"/>
          <w:iCs w:val="0"/>
          <w:sz w:val="24"/>
          <w:szCs w:val="24"/>
          <w:highlight w:val="none"/>
        </w:rPr>
      </w:r>
    </w:p>
    <w:p>
      <w:pPr>
        <w:pStyle w:val="1303"/>
        <w:numPr>
          <w:ilvl w:val="0"/>
          <w:numId w:val="19"/>
        </w:numPr>
        <w:ind w:left="0" w:right="0" w:firstLine="567"/>
        <w:jc w:val="both"/>
        <w:spacing w:after="0" w:afterAutospacing="0" w:line="240" w:lineRule="auto"/>
        <w:rPr>
          <w:rFonts w:ascii="Times New Roman" w:hAnsi="Times New Roman" w:cs="Times New Roman"/>
          <w:b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Примерный размер денежного содержания (оплаты труда):</w:t>
      </w:r>
      <w:r>
        <w:rPr>
          <w:rFonts w:ascii="Times New Roman" w:hAnsi="Times New Roman" w:eastAsia="Times New Roman" w:cs="Times New Roman"/>
          <w:b/>
          <w:i/>
          <w:color w:val="auto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от 81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  <w:lang w:val="ru-RU"/>
        </w:rPr>
        <w:t xml:space="preserve"> 300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 руб. до 134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  <w:lang w:val="ru-RU"/>
        </w:rPr>
        <w:t xml:space="preserve"> 600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 руб.</w:t>
      </w:r>
      <w:r>
        <w:rPr>
          <w:rFonts w:ascii="Times New Roman" w:hAnsi="Times New Roman" w:cs="Times New Roman"/>
          <w:b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 w:val="0"/>
          <w:i w:val="0"/>
          <w:sz w:val="24"/>
          <w:szCs w:val="24"/>
          <w:highlight w:val="none"/>
        </w:rPr>
      </w:r>
    </w:p>
    <w:p>
      <w:pPr>
        <w:pStyle w:val="1303"/>
        <w:numPr>
          <w:ilvl w:val="0"/>
          <w:numId w:val="19"/>
        </w:numPr>
        <w:ind w:left="0" w:firstLine="567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Ежегодный оплачиваемый отпуск гражданского служащего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(работника)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: от 57 календарных дней до 67 календарных дней.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</w:p>
    <w:p>
      <w:pPr>
        <w:pStyle w:val="1303"/>
        <w:numPr>
          <w:ilvl w:val="0"/>
          <w:numId w:val="46"/>
        </w:numPr>
        <w:ind w:left="0" w:firstLine="567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Оплата стоимости проезда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к месту использования отпуска: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один раз в два года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</w:p>
    <w:p>
      <w:pPr>
        <w:pStyle w:val="1303"/>
        <w:numPr>
          <w:ilvl w:val="0"/>
          <w:numId w:val="19"/>
        </w:numPr>
        <w:ind w:left="0" w:firstLine="567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Служебное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 (рабочее) время: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5-ти дневная служебная (рабочая) неделя, с 9.00 до 18.00 для мужчин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с 9.00 до 17.30 (в пятницу в 16.00) для женщин. Обед с 13.00 до 14.00. Выходные – суббота и воскресенье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303"/>
        <w:numPr>
          <w:ilvl w:val="0"/>
          <w:numId w:val="19"/>
        </w:numPr>
        <w:ind w:left="0" w:firstLine="567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Нормированность рабочего дня: ненормированный.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303"/>
        <w:numPr>
          <w:ilvl w:val="0"/>
          <w:numId w:val="19"/>
        </w:numPr>
        <w:ind w:left="0" w:firstLine="567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Командировки: 30 % служебного времени.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303"/>
        <w:numPr>
          <w:ilvl w:val="0"/>
          <w:numId w:val="19"/>
        </w:numPr>
        <w:ind w:left="0" w:firstLine="567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Тип служебного контракта (трудового договора): бессрочный.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303"/>
        <w:numPr>
          <w:ilvl w:val="0"/>
          <w:numId w:val="19"/>
        </w:numPr>
        <w:ind w:left="0" w:right="0"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Гарантии, предоставляемые государственному служащему / социальный пак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: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соответствии с действующим законодательством Российской Федерации, предусмотренные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Трудовым кодексом Российской Федерации,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Федеральным законом от 27.07.2004 № 79-ФЗ «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 государственной гражданской службе Российской Федерации», Постановлением Правительства Российской Федерации от 15.02.2025 № 164 </w:t>
      </w:r>
      <w:r>
        <w:rPr>
          <w:rFonts w:ascii="Times New Roman" w:hAnsi="Times New Roman" w:eastAsia="Times New Roman" w:cs="Times New Roman"/>
          <w:bCs/>
          <w:color w:val="22272f"/>
          <w:sz w:val="24"/>
          <w:szCs w:val="24"/>
          <w:shd w:val="clear" w:color="auto" w:fill="ffffff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Об утверждении Правил компенсации расходов на оплату стоимости проезда и провоза багажа к месту использования отпуска и обрат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но для лиц, работающих в федеральных государственных органах, государственных внебюджетных фондах Российской Федерации, федеральных государственных учреждениях, расположенных в районах Крайнего Севера и приравненных к ним местностях, и членов их семей</w:t>
      </w:r>
      <w:r>
        <w:rPr>
          <w:rFonts w:ascii="Times New Roman" w:hAnsi="Times New Roman" w:eastAsia="Times New Roman" w:cs="Times New Roman"/>
          <w:bCs/>
          <w:color w:val="22272f"/>
          <w:sz w:val="24"/>
          <w:szCs w:val="24"/>
          <w:shd w:val="clear" w:color="auto" w:fill="ffffff"/>
        </w:rPr>
        <w:t xml:space="preserve">»,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коном Российской Федерации от 19.02.1993  № 4520-1 «О государственных гарантиях и компенсациях для лиц, работающих и проживающих в районах Крайнего Севера и приравненных к ним местностях»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303"/>
        <w:numPr>
          <w:ilvl w:val="0"/>
          <w:numId w:val="19"/>
        </w:numPr>
        <w:ind w:left="0" w:firstLine="567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</w:rPr>
        <w:t xml:space="preserve">Аттестация гражданского служащего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: один раз в три года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303"/>
        <w:numPr>
          <w:ilvl w:val="0"/>
          <w:numId w:val="19"/>
        </w:numPr>
        <w:ind w:left="0" w:right="0"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</w:rPr>
        <w:t xml:space="preserve">Профессиональное развитие гражданского служащего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: в течение всего периода прохождения гражданской службы.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b0b0b"/>
          <w:sz w:val="24"/>
          <w:szCs w:val="24"/>
          <w:highlight w:val="none"/>
        </w:rPr>
        <w:t xml:space="preserve">С подробными условиями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прохождения федеральной гражданской служб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b0b0b"/>
          <w:sz w:val="24"/>
          <w:szCs w:val="24"/>
          <w:highlight w:val="none"/>
        </w:rPr>
        <w:t xml:space="preserve">можн</w:t>
      </w:r>
      <w:r>
        <w:rPr>
          <w:rFonts w:ascii="Times New Roman" w:hAnsi="Times New Roman" w:eastAsia="Times New Roman" w:cs="Times New Roman"/>
          <w:color w:val="0b0b0b"/>
          <w:sz w:val="24"/>
          <w:szCs w:val="24"/>
          <w:highlight w:val="none"/>
        </w:rPr>
        <w:t xml:space="preserve">о ознакомиться на сайте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Северо-Восточного межрегионального управления Росприроднадзора</w:t>
      </w:r>
      <w:r>
        <w:rPr>
          <w:rFonts w:ascii="Times New Roman" w:hAnsi="Times New Roman" w:eastAsia="Times New Roman" w:cs="Times New Roman"/>
          <w:color w:val="0b0b0b"/>
          <w:sz w:val="24"/>
          <w:szCs w:val="24"/>
          <w:highlight w:val="none"/>
        </w:rPr>
        <w:t xml:space="preserve"> в разделе «Кадровое обеспечение – Порядок поступления и требования к кандидатам» </w:t>
      </w:r>
      <w:hyperlink r:id="rId22" w:tooltip="https://rpn.gov.ru/regions/49/hr/order-requirement/" w:history="1">
        <w:r>
          <w:rPr>
            <w:rStyle w:val="999"/>
            <w:rFonts w:ascii="Times New Roman" w:hAnsi="Times New Roman" w:eastAsia="Times New Roman" w:cs="Times New Roman"/>
            <w:sz w:val="24"/>
            <w:szCs w:val="24"/>
            <w:highlight w:val="none"/>
          </w:rPr>
          <w:t xml:space="preserve">https://rpn.gov.ru/regions/49/hr/order-requirement/</w:t>
        </w:r>
      </w:hyperlink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567"/>
        <w:jc w:val="both"/>
        <w:spacing w:after="0" w:afterAutospacing="0" w:line="240" w:lineRule="auto"/>
        <w:rPr>
          <w:rFonts w:ascii="Times New Roman" w:hAnsi="Times New Roman" w:cs="Times New Roman"/>
          <w:b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i w:val="0"/>
          <w:i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 w:val="0"/>
          <w:i w:val="0"/>
          <w:sz w:val="24"/>
          <w:szCs w:val="24"/>
          <w:highlight w:val="none"/>
        </w:rPr>
      </w:r>
    </w:p>
    <w:p>
      <w:pPr>
        <w:pStyle w:val="1017"/>
        <w:ind w:firstLine="567"/>
        <w:jc w:val="both"/>
        <w:spacing w:after="0" w:afterAutospacing="0" w:line="240" w:lineRule="auto"/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i w:val="0"/>
          <w:iCs w:val="0"/>
          <w:sz w:val="24"/>
          <w:szCs w:val="24"/>
          <w:highlight w:val="none"/>
        </w:rPr>
        <w:t xml:space="preserve">Место,  время и  сроки  приема документов:</w:t>
      </w: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highlight w:val="none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Документы для участия в конкурс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представл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яются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  <w:t xml:space="preserve">с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  <w:t xml:space="preserve">1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3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05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.20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26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 по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02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06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.20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26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(включительно)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   в отдел правового, кадрового обеспечения, профилактики коррупционных и иных правонарушений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Северо-Восточного межрегионального управления Росприроднадзора (685000,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г. Магадан,                 ул. Пролетарская, д. 11, этаж 4, кабинет 408)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л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ично, посредством направления по почте или                   в электронном виде </w:t>
      </w:r>
      <w:r>
        <w:rPr>
          <w:rFonts w:ascii="Times New Roman" w:hAnsi="Times New Roman" w:eastAsia="Times New Roman" w:cs="Times New Roman"/>
          <w:sz w:val="24"/>
        </w:rPr>
        <w:t xml:space="preserve">с использованием «</w:t>
      </w:r>
      <w:r>
        <w:rPr>
          <w:rFonts w:ascii="Times New Roman" w:hAnsi="Times New Roman" w:eastAsia="Times New Roman" w:cs="Times New Roman"/>
          <w:sz w:val="24"/>
        </w:rPr>
        <w:t xml:space="preserve">Единой информационной системы управления кадровым составом государственной гражданской службы Российской Федерации»</w:t>
      </w:r>
      <w:r>
        <w:rPr>
          <w:rFonts w:ascii="Times New Roman" w:hAnsi="Times New Roman" w:eastAsia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Документы принимаются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 понедельника по четверг с 9-00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до 17-30, в пятницу с 9-0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0 до 1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-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00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обед с 13-00 од 14-00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1316"/>
        <w:ind w:left="0" w:right="0" w:firstLine="567"/>
        <w:jc w:val="left"/>
        <w:spacing w:after="0" w:afterAutospacing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Телефон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для справок 8 (4132) 62-1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-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85,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добавочный 4913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7 или 49136.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0"/>
        <w:jc w:val="center"/>
        <w:spacing w:before="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Гражданин Российской Федерации, изъявивший желание участвовать в конкурсе, представляет: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1288"/>
        <w:numPr>
          <w:ilvl w:val="0"/>
          <w:numId w:val="28"/>
        </w:numPr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личное заявление;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288"/>
        <w:numPr>
          <w:ilvl w:val="0"/>
          <w:numId w:val="28"/>
        </w:numPr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согласие на обработку персональных данных;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88"/>
        <w:numPr>
          <w:ilvl w:val="0"/>
          <w:numId w:val="28"/>
        </w:numPr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анкету по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форме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, утвержденной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Указом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Президента Российской Федерации от 10.10.2024       № 870,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заполненную с применением СПО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 «</w:t>
      </w:r>
      <w:r>
        <w:rPr>
          <w:rFonts w:ascii="Times New Roman" w:hAnsi="Times New Roman" w:eastAsia="Times New Roman" w:cs="Times New Roman"/>
          <w:iCs/>
          <w:color w:val="000000"/>
          <w:sz w:val="24"/>
          <w:szCs w:val="24"/>
        </w:rPr>
        <w:t xml:space="preserve">Анкета ГС (МС)», размещенного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«Интернет» в свободном доступе</w:t>
      </w:r>
      <w:r>
        <w:rPr>
          <w:rFonts w:ascii="Times New Roman" w:hAnsi="Times New Roman" w:eastAsia="Times New Roman" w:cs="Times New Roman"/>
          <w:iCs/>
          <w:color w:val="000000"/>
          <w:sz w:val="24"/>
          <w:szCs w:val="24"/>
        </w:rPr>
        <w:t xml:space="preserve"> </w:t>
      </w:r>
      <w:r>
        <w:rPr>
          <w:rStyle w:val="999"/>
          <w:rFonts w:ascii="Times New Roman" w:hAnsi="Times New Roman" w:eastAsia="Times New Roman" w:cs="Times New Roman"/>
          <w:iCs/>
          <w:sz w:val="24"/>
          <w:szCs w:val="24"/>
        </w:rPr>
        <w:fldChar w:fldCharType="begin"/>
      </w:r>
      <w:r>
        <w:rPr>
          <w:rStyle w:val="999"/>
          <w:rFonts w:ascii="Times New Roman" w:hAnsi="Times New Roman" w:eastAsia="Times New Roman" w:cs="Times New Roman"/>
          <w:iCs/>
          <w:sz w:val="24"/>
          <w:szCs w:val="24"/>
        </w:rPr>
        <w:instrText xml:space="preserve"> HYPERLINK "https://gossluzhba.gov.ru/spo/knowledge-base" \o "https://gossluzhba.gov.ru/spo/knowledge-base" </w:instrText>
      </w:r>
      <w:r>
        <w:rPr>
          <w:rStyle w:val="999"/>
          <w:rFonts w:ascii="Times New Roman" w:hAnsi="Times New Roman" w:eastAsia="Times New Roman" w:cs="Times New Roman"/>
          <w:iCs/>
          <w:sz w:val="24"/>
          <w:szCs w:val="24"/>
        </w:rPr>
        <w:fldChar w:fldCharType="separate"/>
      </w:r>
      <w:r>
        <w:rPr>
          <w:rStyle w:val="999"/>
          <w:rFonts w:ascii="Times New Roman" w:hAnsi="Times New Roman" w:eastAsia="Times New Roman" w:cs="Times New Roman"/>
          <w:iCs/>
          <w:sz w:val="24"/>
          <w:szCs w:val="24"/>
        </w:rPr>
        <w:t xml:space="preserve">https://gossluzhba.gov.ru/spo/knowledge-base</w:t>
      </w:r>
      <w:r>
        <w:rPr>
          <w:rStyle w:val="999"/>
          <w:rFonts w:ascii="Times New Roman" w:hAnsi="Times New Roman" w:eastAsia="Times New Roman" w:cs="Times New Roman"/>
          <w:iCs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288"/>
        <w:numPr>
          <w:ilvl w:val="0"/>
          <w:numId w:val="28"/>
        </w:numPr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копию паспорта или заменяющего его документа;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303"/>
        <w:numPr>
          <w:ilvl w:val="0"/>
          <w:numId w:val="28"/>
        </w:num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копию трудовой книжки,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заверенную нотариально или кадровой службой по месту службы (работы)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ную (трудовую) деятельность гражданина (за исключением случаев, когда служебная (трудовая) деятельность осуществляется впервые);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1303"/>
        <w:numPr>
          <w:ilvl w:val="0"/>
          <w:numId w:val="28"/>
        </w:num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color w:val="auto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копии документов об образовании и (или) о квалификации, а также по желанию гражданина копии документов о присвоении ученой степени, ученого звания,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заверенные нотариально или кадровой</w:t>
      </w: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</w:rPr>
        <w:t xml:space="preserve"> службой по месту службы (работы)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;</w:t>
      </w: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pStyle w:val="1303"/>
        <w:numPr>
          <w:ilvl w:val="0"/>
          <w:numId w:val="28"/>
        </w:num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4"/>
          <w:szCs w:val="24"/>
          <w:u w:val="none"/>
        </w:rPr>
        <w:t xml:space="preserve">документ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об отсутствии у гражданина заболевания, препятствующего поступлению на гражданскую службу или ее прохождению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аключение медицинской организации о наличии (отсутствии) заболевания, препятствующего поступлению на государственную гражданскую службу Российской Федерации и муниципальную службу или ее прохождению, по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форме № 001-ГС/у, утвержденная приказом Министерства здравоохранения Российской Федерации от 14.04.2025              № 201н)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b0b0b"/>
          <w:sz w:val="24"/>
          <w:szCs w:val="24"/>
        </w:rPr>
        <w:t xml:space="preserve">С формами документов можно ознакомиться на сайте Северо-Восточного межрегионального управления Росприроднадзора в разделе «Кадровое обеспечение – Порядок поступления и требования к кандидатам» </w:t>
      </w:r>
      <w:hyperlink r:id="rId23" w:tooltip="https://rpn.gov.ru/regions/49/hr/order-requirement/" w:history="1">
        <w:r>
          <w:rPr>
            <w:rStyle w:val="999"/>
            <w:rFonts w:ascii="Times New Roman" w:hAnsi="Times New Roman" w:eastAsia="Times New Roman" w:cs="Times New Roman"/>
            <w:sz w:val="24"/>
            <w:szCs w:val="24"/>
          </w:rPr>
          <w:t xml:space="preserve">https://rpn.gov.ru/regions/49/hr/order-requirement/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left="0" w:right="0" w:firstLine="0"/>
        <w:jc w:val="center"/>
        <w:spacing w:before="0"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Гражданский служащий, замещающий должность государственной гражданской службы в ином государственном органе, изъявивший желание участвовать в конкурсе, представляет: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</w:rPr>
      </w:r>
    </w:p>
    <w:p>
      <w:pPr>
        <w:pStyle w:val="1288"/>
        <w:numPr>
          <w:ilvl w:val="0"/>
          <w:numId w:val="38"/>
        </w:numPr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заявление на имя Руководителя;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288"/>
        <w:numPr>
          <w:ilvl w:val="0"/>
          <w:numId w:val="38"/>
        </w:numPr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согласие на обработку персональных данных;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88"/>
        <w:numPr>
          <w:ilvl w:val="0"/>
          <w:numId w:val="38"/>
        </w:numPr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анкету по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форме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, утвержденной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Указом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Президента Российской Федерации от 10.10.2024       № 870,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заполненную с применением СПО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 «</w:t>
      </w:r>
      <w:r>
        <w:rPr>
          <w:rFonts w:ascii="Times New Roman" w:hAnsi="Times New Roman" w:eastAsia="Times New Roman" w:cs="Times New Roman"/>
          <w:iCs/>
          <w:color w:val="000000"/>
          <w:sz w:val="24"/>
          <w:szCs w:val="24"/>
        </w:rPr>
        <w:t xml:space="preserve">Анкета ГС (МС)», размещенного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«Интернет» в свободном доступе</w:t>
      </w:r>
      <w:r>
        <w:rPr>
          <w:rFonts w:ascii="Times New Roman" w:hAnsi="Times New Roman" w:eastAsia="Times New Roman" w:cs="Times New Roman"/>
          <w:iCs/>
          <w:color w:val="000000"/>
          <w:sz w:val="24"/>
          <w:szCs w:val="24"/>
        </w:rPr>
        <w:t xml:space="preserve"> </w:t>
      </w:r>
      <w:r>
        <w:rPr>
          <w:rStyle w:val="999"/>
          <w:rFonts w:ascii="Times New Roman" w:hAnsi="Times New Roman" w:eastAsia="Times New Roman" w:cs="Times New Roman"/>
          <w:iCs/>
          <w:sz w:val="24"/>
          <w:szCs w:val="24"/>
        </w:rPr>
        <w:fldChar w:fldCharType="begin"/>
      </w:r>
      <w:r>
        <w:rPr>
          <w:rStyle w:val="999"/>
          <w:rFonts w:ascii="Times New Roman" w:hAnsi="Times New Roman" w:eastAsia="Times New Roman" w:cs="Times New Roman"/>
          <w:iCs/>
          <w:sz w:val="24"/>
          <w:szCs w:val="24"/>
        </w:rPr>
        <w:instrText xml:space="preserve"> HYPERLINK "https://gossluzhba.gov.ru/spo/knowledge-base" \o "https://gossluzhba.gov.ru/spo/knowledge-base" </w:instrText>
      </w:r>
      <w:r>
        <w:rPr>
          <w:rStyle w:val="999"/>
          <w:rFonts w:ascii="Times New Roman" w:hAnsi="Times New Roman" w:eastAsia="Times New Roman" w:cs="Times New Roman"/>
          <w:iCs/>
          <w:sz w:val="24"/>
          <w:szCs w:val="24"/>
        </w:rPr>
        <w:fldChar w:fldCharType="separate"/>
      </w:r>
      <w:r>
        <w:rPr>
          <w:rStyle w:val="999"/>
          <w:rFonts w:ascii="Times New Roman" w:hAnsi="Times New Roman" w:eastAsia="Times New Roman" w:cs="Times New Roman"/>
          <w:iCs/>
          <w:sz w:val="24"/>
          <w:szCs w:val="24"/>
        </w:rPr>
        <w:t xml:space="preserve">https://gossluzhba.gov.ru/spo/knowledge-base</w:t>
      </w:r>
      <w:r>
        <w:rPr>
          <w:rStyle w:val="999"/>
          <w:rFonts w:ascii="Times New Roman" w:hAnsi="Times New Roman" w:eastAsia="Times New Roman" w:cs="Times New Roman"/>
          <w:iCs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288"/>
        <w:ind w:left="0" w:right="0" w:firstLine="0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0" w:name="undefined"/>
      <w:r>
        <w:rPr>
          <w:rFonts w:ascii="Times New Roman" w:hAnsi="Times New Roman" w:eastAsia="Times New Roman" w:cs="Times New Roman"/>
          <w:sz w:val="24"/>
          <w:szCs w:val="24"/>
        </w:rPr>
      </w:r>
      <w:bookmarkEnd w:id="0"/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Гражданский служащий Управления, изъявивший желание участвовать в конкурсе, подает: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88"/>
        <w:numPr>
          <w:ilvl w:val="0"/>
          <w:numId w:val="42"/>
        </w:numPr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заявление на имя Руководителя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  <w:r>
        <w:rPr>
          <w:rFonts w:ascii="Times New Roman" w:hAnsi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none"/>
        </w:rPr>
      </w:r>
    </w:p>
    <w:p>
      <w:pPr>
        <w:ind w:firstLine="567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017"/>
        <w:ind w:firstLine="567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i w:val="0"/>
          <w:iCs w:val="0"/>
          <w:sz w:val="24"/>
          <w:szCs w:val="24"/>
          <w:highlight w:val="none"/>
        </w:rPr>
        <w:t xml:space="preserve">Предполагаемая дата проведения конкурса: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26 июня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 20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26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 г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ind w:left="0" w:right="0" w:firstLine="567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i w:val="0"/>
          <w:iCs w:val="0"/>
          <w:sz w:val="24"/>
          <w:szCs w:val="24"/>
          <w:highlight w:val="none"/>
        </w:rPr>
        <w:t xml:space="preserve">Место проведения конкурса: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Северо-Восточное межрегиональное управление Росприроднадзора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(г. Магадан, ул. Пролетарская, д. 11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017"/>
        <w:ind w:firstLine="567"/>
        <w:jc w:val="both"/>
        <w:spacing w:after="0" w:afterAutospacing="0" w:line="240" w:lineRule="auto"/>
        <w:rPr>
          <w:rFonts w:ascii="Times New Roman" w:hAnsi="Times New Roman" w:cs="Times New Roman"/>
          <w:b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i w:val="0"/>
          <w:iCs w:val="0"/>
          <w:sz w:val="24"/>
          <w:szCs w:val="24"/>
          <w:highlight w:val="none"/>
        </w:rPr>
        <w:t xml:space="preserve">Порядок проведения конкурса:</w:t>
      </w:r>
      <w:r>
        <w:rPr>
          <w:rFonts w:ascii="Times New Roman" w:hAnsi="Times New Roman" w:cs="Times New Roman"/>
          <w:b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 w:val="0"/>
          <w:i w:val="0"/>
          <w:sz w:val="24"/>
          <w:szCs w:val="24"/>
          <w:highlight w:val="none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spacing w:val="-4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Cs/>
          <w:spacing w:val="-4"/>
          <w:sz w:val="24"/>
          <w:szCs w:val="24"/>
        </w:rPr>
        <w:t xml:space="preserve">Конкурс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на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включение гражданских служащих (граждан)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в кадровый резерв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Cs/>
          <w:spacing w:val="-4"/>
          <w:sz w:val="24"/>
          <w:szCs w:val="24"/>
        </w:rPr>
        <w:t xml:space="preserve">проводится в соответствии с:</w:t>
      </w:r>
      <w:r>
        <w:rPr>
          <w:rFonts w:ascii="Times New Roman" w:hAnsi="Times New Roman" w:cs="Times New Roman"/>
          <w:spacing w:val="-4"/>
          <w:sz w:val="24"/>
          <w:szCs w:val="24"/>
        </w:rPr>
      </w:r>
      <w:r>
        <w:rPr>
          <w:rFonts w:ascii="Times New Roman" w:hAnsi="Times New Roman" w:cs="Times New Roman"/>
          <w:spacing w:val="-4"/>
          <w:sz w:val="24"/>
          <w:szCs w:val="24"/>
        </w:rPr>
      </w:r>
    </w:p>
    <w:p>
      <w:pPr>
        <w:pStyle w:val="1303"/>
        <w:numPr>
          <w:ilvl w:val="0"/>
          <w:numId w:val="44"/>
        </w:num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Федеральным законом от 27.07.2004 № 79-ФЗ «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 государственной гражданской службе Российской Федерации»;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303"/>
        <w:numPr>
          <w:ilvl w:val="0"/>
          <w:numId w:val="44"/>
        </w:numPr>
        <w:ind w:left="0"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pacing w:val="-4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Положением о кадровом резерве федерального государственного орга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на, кадровом резерве органа публичной власти федеральной территории, утвержденным Указом Президента Российской Федерации от 01.03.2017 № 96;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303"/>
        <w:numPr>
          <w:ilvl w:val="0"/>
          <w:numId w:val="44"/>
        </w:numPr>
        <w:ind w:left="0"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Единой методикой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в, утвержденной Постановлением Правительства Российской Федерации от 31.03.2018 № 397; 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303"/>
        <w:numPr>
          <w:ilvl w:val="0"/>
          <w:numId w:val="44"/>
        </w:numPr>
        <w:ind w:left="0"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Положением о кадровом резерве Федеральной службы по надзору в сфере природопользования, утвержденным Приказом Федеральной службы по надзору в сфере природопользования от 20.06.2018 № 216</w:t>
      </w:r>
      <w:r>
        <w:rPr>
          <w:rFonts w:ascii="Times New Roman" w:hAnsi="Times New Roman" w:eastAsia="Times New Roman" w:cs="Times New Roman"/>
          <w:bCs/>
          <w:spacing w:val="-4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17"/>
        <w:ind w:firstLine="567"/>
        <w:jc w:val="both"/>
        <w:spacing w:line="240" w:lineRule="auto"/>
        <w:rPr>
          <w:rFonts w:ascii="Times New Roman" w:hAnsi="Times New Roman" w:cs="Times New Roman"/>
          <w:spacing w:val="-4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Cs/>
          <w:spacing w:val="-4"/>
          <w:sz w:val="24"/>
          <w:szCs w:val="24"/>
          <w:highlight w:val="none"/>
        </w:rPr>
        <w:t xml:space="preserve">Конкурс проводится в два этапа. </w:t>
      </w:r>
      <w:r>
        <w:rPr>
          <w:rFonts w:ascii="Times New Roman" w:hAnsi="Times New Roman" w:cs="Times New Roman"/>
          <w:spacing w:val="-4"/>
          <w:sz w:val="24"/>
          <w:szCs w:val="24"/>
          <w:highlight w:val="none"/>
        </w:rPr>
      </w:r>
      <w:r>
        <w:rPr>
          <w:rFonts w:ascii="Times New Roman" w:hAnsi="Times New Roman" w:cs="Times New Roman"/>
          <w:spacing w:val="-4"/>
          <w:sz w:val="24"/>
          <w:szCs w:val="24"/>
          <w:highlight w:val="none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Cs/>
          <w:spacing w:val="-4"/>
          <w:sz w:val="24"/>
          <w:szCs w:val="24"/>
          <w:highlight w:val="none"/>
        </w:rPr>
        <w:t xml:space="preserve">На первом этапе 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none"/>
        </w:rPr>
        <w:t xml:space="preserve">на официальном сайте Северо-Восточного межрегионального управления Росприроднадзора 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размещается объявление о приеме документов для участия в конкурсе.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017"/>
        <w:contextualSpacing/>
        <w:ind w:firstLine="567"/>
        <w:jc w:val="both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Документы в течение 21 календарного дня со дня размещения объявления об их приеме представляют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ся в Управление гражданином (гражданским служащим) лично, посредством направления по почте или в электронном виде с использованием государственной информационной системы в области государственной службы в информационно-телекоммуникационной сети «Интернет».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Style w:val="1017"/>
        <w:contextualSpacing/>
        <w:ind w:firstLine="567"/>
        <w:jc w:val="both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Порядок представления документов в электронном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виде установлен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 Постановлением Правительства Российской Федерации от 05.03.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2018 № 227 «Правила представления документов в электронном виде кандидатом для участия в конкурсах на замещение вакантной должности государственной гражданской службы Российской Федерации и включение в кадровый резерв федерального государственного органа».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Гражданин (гражданский служащий) не допускается к участию в конкурсе: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а) в связи с его несоответствием квалификационным требованиям к уровню профессионального образования, стажу гражданской службы или работы по специальности, направлению подготовки;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б) в связи с его несоответствием квалификационным требованиям к специальности, направлению подготовки (укрупненным группам специальностей и направлений подготовки), к квалификации, полученной по результатам освоения дополнительной профессиональной программ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ы профессиональной переподготовки (в случае если квалификационными требованиями для замещения вакантной должности гражданской службы предусмотрены такие требования);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в) в связи с ограничениями, связанными с поступлением на гражданскую службу и ее прохождением и установленными законодательством Российской Федерации о государственной гражданской службе.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Второй этап конкурса проводится не позднее чем через 30 календарных дней после дня завершения приема документов для участия в конкурсе.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е позднее чем за 15 календарных дней до даты проведения конкурса размещается на  официальном сайте 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none"/>
        </w:rPr>
        <w:t xml:space="preserve">Северо-Восточного межрегионального управления Росприроднадзора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 информация о дате, месте и времени его пров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едения, список кандидатов и направляется кандидатам соответствующие сообщения.</w:t>
      </w:r>
      <w:r>
        <w:rPr>
          <w:rFonts w:ascii="Times New Roman" w:hAnsi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none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На втором этапе конкурса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конкурсная комиссия оценивает кандидатов на основании документов, представленных ими, а также на основе конкурсных процедур с использованием не противоречащих федеральным законам и другим нормативным правовым актам Российской Федера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ции методов оценки профессионального уровня, профессиональных и личностных качеств кандидатов по вопросам, связанным с выполнением дол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жностных обязанностей.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Сообщения о результатах конкурса в 7-дневный срок со дня его завершения направляются кандидатам.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left="0" w:right="0" w:firstLine="567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Документы гражданских служащих (граждан), не допущенных к участию в конкурсе, и кандидатов, которым было отказано во включении в кадровый резерв, могут быть возвращены им по письменному заявлению в течение трех лет со дня завершения конкурса.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17"/>
        <w:ind w:firstLine="567"/>
        <w:jc w:val="both"/>
        <w:spacing w:after="0" w:afterAutospacing="0" w:line="240" w:lineRule="auto"/>
        <w:rPr>
          <w:rFonts w:ascii="Times New Roman" w:hAnsi="Times New Roman" w:cs="Times New Roman"/>
          <w:b/>
          <w:i w:val="0"/>
          <w:iCs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i w:val="0"/>
          <w:iCs w:val="0"/>
          <w:sz w:val="24"/>
          <w:szCs w:val="24"/>
          <w:highlight w:val="none"/>
        </w:rPr>
        <w:t xml:space="preserve">Сведения о методах оценки:</w:t>
      </w:r>
      <w:r>
        <w:rPr>
          <w:rFonts w:ascii="Times New Roman" w:hAnsi="Times New Roman" w:cs="Times New Roman"/>
          <w:b/>
          <w:i w:val="0"/>
          <w:i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i w:val="0"/>
          <w:iCs w:val="0"/>
          <w:sz w:val="24"/>
          <w:szCs w:val="24"/>
          <w:highlight w:val="none"/>
        </w:rPr>
      </w:r>
    </w:p>
    <w:p>
      <w:pPr>
        <w:pStyle w:val="1288"/>
        <w:ind w:firstLine="540"/>
        <w:jc w:val="both"/>
        <w:spacing w:before="0" w:before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1.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Т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естирование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для оценки уровня владения государственным языком Российской Федерации (русским языком), знаниями основ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Конституции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Российской Федерации, законодательства Российской Федерации о гражданской службе и о противодействии коррупции, зн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аниями и умениями в сфере информационно-коммуникационных технологий и для оценки знаний и умений по вопросам профессиональной служебной деятельности исходя из области и вида профессиональной служебной деятельности по вакантной должности гражданской службы.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88"/>
        <w:ind w:firstLine="540"/>
        <w:jc w:val="both"/>
        <w:spacing w:before="0" w:before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 тестировании используется единый перечень вопросов.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88"/>
        <w:ind w:firstLine="540"/>
        <w:jc w:val="both"/>
        <w:spacing w:before="0" w:before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Тест содержит 40 вопросов, на каждый вопрос теста может быть только один верный вариант ответа.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88"/>
        <w:ind w:firstLine="540"/>
        <w:jc w:val="both"/>
        <w:spacing w:before="0" w:before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Первая часть теста состоит из общих вопросов (для оценки уровня владения русским языком, знаниями основ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Конституции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законодательства о государственной гражданской службе и о противодействии коррупции, знаниями и умениями в сфере информационно-коммуникационных технологий).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88"/>
        <w:ind w:firstLine="540"/>
        <w:jc w:val="both"/>
        <w:spacing w:before="0" w:before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Вторая часть теста состоит из специальных вопросов.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88"/>
        <w:ind w:firstLine="540"/>
        <w:jc w:val="both"/>
        <w:spacing w:before="0" w:before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Кандидатам предоставляется одно и то же время (от 40 до 60 минут) для прохождения тестирования.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88"/>
        <w:ind w:firstLine="540"/>
        <w:jc w:val="both"/>
        <w:spacing w:before="0" w:before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Подведение результатов тестирования основывается на количестве правильных ответов.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88"/>
        <w:ind w:firstLine="540"/>
        <w:jc w:val="both"/>
        <w:spacing w:before="0" w:before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Тест содержит в себе 5 разделов по 7 вопросов. Раздел, содержащий тестовые вопросы на знание государственного языка Российской Федерации - русского языка, включает 5 вопросов.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left="0" w:right="0" w:firstLine="540"/>
        <w:jc w:val="both"/>
        <w:spacing w:before="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Прохождение тестирования считается успешным при количестве правильных ответов не менее 70%.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  <w:highlight w:val="cyan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cyan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Пройти предварительный квалификаци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онный тест вне рамок конкурса для самостоятельной оценки своего профессионального уровня можно на сайте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Министерства труда и социальной защиты Российской Федерации по ссылке </w:t>
      </w:r>
      <w:hyperlink r:id="rId24" w:tooltip="https://mintrud.gov.ru/testing/default/view/4" w:history="1">
        <w:r>
          <w:rPr>
            <w:rStyle w:val="1317"/>
            <w:rFonts w:ascii="Times New Roman" w:hAnsi="Times New Roman" w:eastAsia="Times New Roman" w:cs="Times New Roman"/>
            <w:sz w:val="24"/>
            <w:szCs w:val="24"/>
          </w:rPr>
          <w:t xml:space="preserve">https://mintrud.gov.ru/testing/default/view/4</w:t>
        </w:r>
      </w:hyperlink>
      <w:r>
        <w:rPr>
          <w:rFonts w:ascii="Times New Roman" w:hAnsi="Times New Roman" w:cs="Times New Roman"/>
          <w:sz w:val="24"/>
          <w:szCs w:val="24"/>
          <w:highlight w:val="cyan"/>
        </w:rPr>
      </w:r>
      <w:r>
        <w:rPr>
          <w:rFonts w:ascii="Times New Roman" w:hAnsi="Times New Roman" w:cs="Times New Roman"/>
          <w:sz w:val="24"/>
          <w:szCs w:val="24"/>
          <w:highlight w:val="cyan"/>
        </w:rPr>
      </w:r>
    </w:p>
    <w:p>
      <w:pPr>
        <w:pStyle w:val="1288"/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2.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ндивиду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альное соб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еседование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проводится в форме свободной беседы с кандидатом по теме его будущей профессиональной служебной деятельности, в ходе которой члены конкурсной комиссии задают кандидату вопросы, направленные на оценку профессионального уровня кандидата.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17"/>
        <w:ind w:firstLine="567"/>
        <w:jc w:val="both"/>
        <w:spacing w:line="240" w:lineRule="auto"/>
        <w:widowControl w:val="off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567"/>
        <w:jc w:val="both"/>
        <w:spacing w:line="240" w:lineRule="auto"/>
        <w:widowControl w:val="off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567"/>
        <w:jc w:val="both"/>
        <w:spacing w:line="240" w:lineRule="auto"/>
        <w:widowControl w:val="off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656" w:right="567" w:bottom="422" w:left="709" w:header="258" w:footer="192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Segoe UI">
    <w:panose1 w:val="020B0503020204020204"/>
  </w:font>
  <w:font w:name="Calibri">
    <w:panose1 w:val="020F0502020204030204"/>
  </w:font>
  <w:font w:name="Sylfaen">
    <w:panose1 w:val="02040502050405020303"/>
  </w:font>
  <w:font w:name="Symbol">
    <w:panose1 w:val="05010000000000000000"/>
  </w:font>
  <w:font w:name="Courier New">
    <w:panose1 w:val="02070309020205020404"/>
  </w:font>
  <w:font w:name="Wingdings">
    <w:panose1 w:val="05010000000000000000"/>
  </w:font>
  <w:font w:name="Microsoft YaHei">
    <w:panose1 w:val="020B0503020204020204"/>
  </w:font>
  <w:font w:name="Times New Roman">
    <w:panose1 w:val="020206030504050203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7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7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7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283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524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000" cy="146050"/>
              <wp:effectExtent l="0" t="0" r="0" b="0"/>
              <wp:wrapSquare wrapText="bothSides"/>
              <wp:docPr id="1" name="_x0000_s20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270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283"/>
                          </w:pPr>
                          <w:r/>
                          <w:r/>
                        </w:p>
                        <w:p>
                          <w:pPr>
                            <w:pStyle w:val="1017"/>
                          </w:pPr>
                          <w:r/>
                          <w:r/>
                        </w:p>
                      </w:txbxContent>
                    </wps:txbx>
                    <wps:bodyPr wrap="square" lIns="36000" tIns="36000" rIns="36000" bIns="36000" upright="1"/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524288;o:allowoverlap:true;o:allowincell:true;mso-position-horizontal-relative:margin;mso-position-horizontal:center;mso-position-vertical-relative:text;margin-top:0.05pt;mso-position-vertical:absolute;width:10.00pt;height:11.50pt;mso-wrap-distance-left:0.00pt;mso-wrap-distance-top:0.00pt;mso-wrap-distance-right:0.00pt;mso-wrap-distance-bottom:0.00pt;visibility:visible;" fillcolor="#FFFFFF" stroked="f">
              <v:fill opacity="100f"/>
              <w10:wrap type="square"/>
              <v:textbox inset="0,0,0,0">
                <w:txbxContent>
                  <w:p>
                    <w:pPr>
                      <w:pStyle w:val="1283"/>
                    </w:pPr>
                    <w:r/>
                    <w:r/>
                  </w:p>
                  <w:p>
                    <w:pPr>
                      <w:pStyle w:val="1017"/>
                    </w:pPr>
                    <w:r/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7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1018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</w:lvl>
    <w:lvl w:ilvl="1">
      <w:start w:val="1"/>
      <w:numFmt w:val="decimal"/>
      <w:pStyle w:val="1019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</w:lvl>
    <w:lvl w:ilvl="2">
      <w:start w:val="1"/>
      <w:numFmt w:val="decimal"/>
      <w:pStyle w:val="1020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pStyle w:val="1021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</w:lvl>
    <w:lvl w:ilvl="4">
      <w:start w:val="1"/>
      <w:numFmt w:val="decimal"/>
      <w:pStyle w:val="1022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</w:lvl>
    <w:lvl w:ilvl="5">
      <w:start w:val="1"/>
      <w:numFmt w:val="decimal"/>
      <w:pStyle w:val="1023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</w:lvl>
    <w:lvl w:ilvl="6">
      <w:start w:val="1"/>
      <w:numFmt w:val="decimal"/>
      <w:pStyle w:val="1024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</w:lvl>
    <w:lvl w:ilvl="7">
      <w:start w:val="1"/>
      <w:numFmt w:val="decimal"/>
      <w:pStyle w:val="1025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pStyle w:val="1026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</w:lvl>
  </w:abstractNum>
  <w:abstractNum w:abstractNumId="1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675" w:hanging="675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1">
      <w:start w:val="3"/>
      <w:numFmt w:val="decimal"/>
      <w:isLgl w:val="false"/>
      <w:suff w:val="tab"/>
      <w:lvlText w:val="%1.%2."/>
      <w:lvlJc w:val="left"/>
      <w:pPr>
        <w:ind w:left="1074" w:hanging="72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2">
      <w:start w:val="9"/>
      <w:numFmt w:val="decimal"/>
      <w:isLgl w:val="false"/>
      <w:suff w:val="tab"/>
      <w:lvlText w:val="%1.%2.%3."/>
      <w:lvlJc w:val="left"/>
      <w:pPr>
        <w:ind w:left="3273" w:hanging="72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142" w:hanging="108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10" w:hanging="144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24" w:hanging="180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78" w:hanging="180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92" w:hanging="216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</w:abstractNum>
  <w:abstractNum w:abstractNumId="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4613" w:hanging="360"/>
        <w:tabs>
          <w:tab w:val="num" w:pos="0" w:leader="none"/>
        </w:tabs>
      </w:pPr>
      <w:rPr>
        <w:b/>
        <w:i w:val="0"/>
        <w:sz w:val="22"/>
        <w:szCs w:val="22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825" w:hanging="825"/>
        <w:tabs>
          <w:tab w:val="num" w:pos="0" w:leader="none"/>
        </w:tabs>
      </w:pPr>
      <w:rPr>
        <w:sz w:val="22"/>
        <w:szCs w:val="22"/>
      </w:rPr>
    </w:lvl>
    <w:lvl w:ilvl="1">
      <w:start w:val="3"/>
      <w:numFmt w:val="decimal"/>
      <w:isLgl w:val="false"/>
      <w:suff w:val="tab"/>
      <w:lvlText w:val="%1.%2."/>
      <w:lvlJc w:val="left"/>
      <w:pPr>
        <w:ind w:left="1162" w:hanging="825"/>
        <w:tabs>
          <w:tab w:val="num" w:pos="0" w:leader="none"/>
        </w:tabs>
      </w:pPr>
      <w:rPr>
        <w:sz w:val="22"/>
        <w:szCs w:val="22"/>
      </w:rPr>
    </w:lvl>
    <w:lvl w:ilvl="2">
      <w:start w:val="18"/>
      <w:numFmt w:val="decimal"/>
      <w:isLgl w:val="false"/>
      <w:suff w:val="tab"/>
      <w:lvlText w:val="%1.%2.%3."/>
      <w:lvlJc w:val="left"/>
      <w:pPr>
        <w:ind w:left="1499" w:hanging="825"/>
        <w:tabs>
          <w:tab w:val="num" w:pos="0" w:leader="none"/>
        </w:tabs>
      </w:pPr>
      <w:rPr>
        <w:sz w:val="22"/>
        <w:szCs w:val="22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091" w:hanging="1080"/>
        <w:tabs>
          <w:tab w:val="num" w:pos="0" w:leader="none"/>
        </w:tabs>
      </w:pPr>
      <w:rPr>
        <w:sz w:val="22"/>
        <w:szCs w:val="22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28" w:hanging="1080"/>
        <w:tabs>
          <w:tab w:val="num" w:pos="0" w:leader="none"/>
        </w:tabs>
      </w:pPr>
      <w:rPr>
        <w:sz w:val="22"/>
        <w:szCs w:val="22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125" w:hanging="1440"/>
        <w:tabs>
          <w:tab w:val="num" w:pos="0" w:leader="none"/>
        </w:tabs>
      </w:pPr>
      <w:rPr>
        <w:sz w:val="22"/>
        <w:szCs w:val="22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822" w:hanging="1800"/>
        <w:tabs>
          <w:tab w:val="num" w:pos="0" w:leader="none"/>
        </w:tabs>
      </w:pPr>
      <w:rPr>
        <w:sz w:val="22"/>
        <w:szCs w:val="22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159" w:hanging="1800"/>
        <w:tabs>
          <w:tab w:val="num" w:pos="0" w:leader="none"/>
        </w:tabs>
      </w:pPr>
      <w:rPr>
        <w:sz w:val="22"/>
        <w:szCs w:val="22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856" w:hanging="2160"/>
        <w:tabs>
          <w:tab w:val="num" w:pos="0" w:leader="none"/>
        </w:tabs>
      </w:pPr>
      <w:rPr>
        <w:sz w:val="22"/>
        <w:szCs w:val="22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70" w:hanging="360"/>
        <w:tabs>
          <w:tab w:val="num" w:pos="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540" w:hanging="540"/>
        <w:tabs>
          <w:tab w:val="num" w:pos="0" w:leader="none"/>
        </w:tabs>
      </w:pPr>
      <w:rPr>
        <w:sz w:val="22"/>
        <w:szCs w:val="22"/>
      </w:rPr>
    </w:lvl>
    <w:lvl w:ilvl="1">
      <w:start w:val="3"/>
      <w:numFmt w:val="decimal"/>
      <w:isLgl w:val="false"/>
      <w:suff w:val="tab"/>
      <w:lvlText w:val="%1.%2."/>
      <w:lvlJc w:val="left"/>
      <w:pPr>
        <w:ind w:left="547" w:hanging="540"/>
        <w:tabs>
          <w:tab w:val="num" w:pos="0" w:leader="none"/>
        </w:tabs>
      </w:pPr>
      <w:rPr>
        <w:sz w:val="22"/>
        <w:szCs w:val="22"/>
      </w:rPr>
    </w:lvl>
    <w:lvl w:ilvl="2">
      <w:start w:val="9"/>
      <w:numFmt w:val="decimal"/>
      <w:isLgl w:val="false"/>
      <w:suff w:val="tab"/>
      <w:lvlText w:val="%1.%2.%3."/>
      <w:lvlJc w:val="left"/>
      <w:pPr>
        <w:ind w:left="734" w:hanging="720"/>
        <w:tabs>
          <w:tab w:val="num" w:pos="0" w:leader="none"/>
        </w:tabs>
      </w:pPr>
      <w:rPr>
        <w:sz w:val="22"/>
        <w:szCs w:val="22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41" w:hanging="720"/>
        <w:tabs>
          <w:tab w:val="num" w:pos="0" w:leader="none"/>
        </w:tabs>
      </w:pPr>
      <w:rPr>
        <w:sz w:val="22"/>
        <w:szCs w:val="22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108" w:hanging="1080"/>
        <w:tabs>
          <w:tab w:val="num" w:pos="0" w:leader="none"/>
        </w:tabs>
      </w:pPr>
      <w:rPr>
        <w:sz w:val="22"/>
        <w:szCs w:val="22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115" w:hanging="1080"/>
        <w:tabs>
          <w:tab w:val="num" w:pos="0" w:leader="none"/>
        </w:tabs>
      </w:pPr>
      <w:rPr>
        <w:sz w:val="22"/>
        <w:szCs w:val="22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82" w:hanging="1440"/>
        <w:tabs>
          <w:tab w:val="num" w:pos="0" w:leader="none"/>
        </w:tabs>
      </w:pPr>
      <w:rPr>
        <w:sz w:val="22"/>
        <w:szCs w:val="22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89" w:hanging="1440"/>
        <w:tabs>
          <w:tab w:val="num" w:pos="0" w:leader="none"/>
        </w:tabs>
      </w:pPr>
      <w:rPr>
        <w:sz w:val="22"/>
        <w:szCs w:val="22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56" w:hanging="1800"/>
        <w:tabs>
          <w:tab w:val="num" w:pos="0" w:leader="none"/>
        </w:tabs>
      </w:pPr>
      <w:rPr>
        <w:sz w:val="22"/>
        <w:szCs w:val="22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  <w:rPr>
        <w:b/>
        <w:i w:val="0"/>
        <w:sz w:val="22"/>
        <w:szCs w:val="22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pStyle w:val="1296"/>
      <w:isLgl w:val="false"/>
      <w:suff w:val="tab"/>
      <w:lvlText w:val=""/>
      <w:lvlJc w:val="left"/>
      <w:pPr>
        <w:ind w:left="283" w:hanging="283"/>
        <w:tabs>
          <w:tab w:val="num" w:pos="283" w:leader="none"/>
        </w:tabs>
      </w:pPr>
      <w:rPr>
        <w:rFonts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675" w:hanging="675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1">
      <w:start w:val="3"/>
      <w:numFmt w:val="decimal"/>
      <w:isLgl w:val="false"/>
      <w:suff w:val="tab"/>
      <w:lvlText w:val="%1.%2."/>
      <w:lvlJc w:val="left"/>
      <w:pPr>
        <w:ind w:left="1074" w:hanging="72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2">
      <w:start w:val="9"/>
      <w:numFmt w:val="decimal"/>
      <w:isLgl w:val="false"/>
      <w:suff w:val="tab"/>
      <w:lvlText w:val="%1.%2.%3."/>
      <w:lvlJc w:val="left"/>
      <w:pPr>
        <w:ind w:left="3273" w:hanging="72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142" w:hanging="108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10" w:hanging="144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24" w:hanging="180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78" w:hanging="180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92" w:hanging="216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</w:abstractNum>
  <w:abstractNum w:abstractNumId="9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675" w:hanging="675"/>
      </w:pPr>
    </w:lvl>
    <w:lvl w:ilvl="1">
      <w:start w:val="3"/>
      <w:numFmt w:val="decimal"/>
      <w:isLgl w:val="false"/>
      <w:suff w:val="tab"/>
      <w:lvlText w:val="%1.%2."/>
      <w:lvlJc w:val="left"/>
      <w:pPr>
        <w:ind w:left="1074" w:hanging="720"/>
      </w:pPr>
    </w:lvl>
    <w:lvl w:ilvl="2">
      <w:start w:val="9"/>
      <w:numFmt w:val="decimal"/>
      <w:isLgl w:val="false"/>
      <w:suff w:val="tab"/>
      <w:lvlText w:val="%1.%2.%3."/>
      <w:lvlJc w:val="left"/>
      <w:pPr>
        <w:ind w:left="142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142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21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92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78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92" w:hanging="216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70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9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1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3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5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7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9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1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30" w:hanging="180"/>
      </w:pPr>
    </w:lvl>
  </w:abstractNum>
  <w:abstractNum w:abstractNumId="11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810" w:hanging="810"/>
      </w:pPr>
      <w:rPr>
        <w:rFonts w:cs="Times New Roman"/>
      </w:rPr>
    </w:lvl>
    <w:lvl w:ilvl="1">
      <w:start w:val="3"/>
      <w:numFmt w:val="decimal"/>
      <w:isLgl w:val="false"/>
      <w:suff w:val="tab"/>
      <w:lvlText w:val="%1.%2."/>
      <w:lvlJc w:val="left"/>
      <w:pPr>
        <w:ind w:left="1165" w:hanging="810"/>
      </w:pPr>
      <w:rPr>
        <w:rFonts w:cs="Times New Roman"/>
      </w:rPr>
    </w:lvl>
    <w:lvl w:ilvl="2">
      <w:start w:val="20"/>
      <w:numFmt w:val="decimal"/>
      <w:isLgl w:val="false"/>
      <w:suff w:val="tab"/>
      <w:lvlText w:val="%1.%2.%3."/>
      <w:lvlJc w:val="left"/>
      <w:pPr>
        <w:ind w:left="1520" w:hanging="810"/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145" w:hanging="1080"/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0" w:hanging="1080"/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15" w:hanging="1440"/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30" w:hanging="1800"/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85" w:hanging="1800"/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000" w:hanging="2160"/>
      </w:pPr>
      <w:rPr>
        <w:rFonts w:cs="Times New Roman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decimal"/>
      <w:isLgl w:val="false"/>
      <w:suff w:val="tab"/>
      <w:lvlText w:val="%1.%2)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decimal"/>
      <w:isLgl w:val="false"/>
      <w:suff w:val="tab"/>
      <w:lvlText w:val="%1.%2)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276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276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276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276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4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276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46">
    <w:multiLevelType w:val="hybridMultilevel"/>
    <w:lvl w:ilvl="0">
      <w:start w:val="17"/>
      <w:numFmt w:val="decimal"/>
      <w:isLgl w:val="false"/>
      <w:suff w:val="tab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isLgl w:val="false"/>
      <w:suff w:val="tab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)%3.%4.%5.%6.%7.%8.%9."/>
      <w:lvlJc w:val="left"/>
      <w:pPr>
        <w:ind w:left="7832" w:hanging="2160"/>
      </w:pPr>
      <w:rPr>
        <w:rFonts w:hint="default"/>
      </w:rPr>
    </w:lvl>
  </w:abstractNum>
  <w:abstractNum w:abstractNumId="47">
    <w:multiLevelType w:val="hybridMultilevel"/>
    <w:lvl w:ilvl="0">
      <w:start w:val="17"/>
      <w:numFmt w:val="decimal"/>
      <w:isLgl w:val="false"/>
      <w:suff w:val="tab"/>
      <w:lvlText w:val="%1."/>
      <w:lvlJc w:val="left"/>
      <w:pPr>
        <w:ind w:left="585" w:hanging="585"/>
      </w:pPr>
      <w:rPr>
        <w:rFonts w:hint="default"/>
      </w:rPr>
    </w:lvl>
    <w:lvl w:ilvl="1">
      <w:start w:val="7"/>
      <w:numFmt w:val="decimal"/>
      <w:isLgl w:val="false"/>
      <w:suff w:val="tab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)%3.%4.%5.%6.%7.%8.%9."/>
      <w:lvlJc w:val="left"/>
      <w:pPr>
        <w:ind w:left="7832" w:hanging="2160"/>
      </w:pPr>
      <w:rPr>
        <w:rFonts w:hint="default"/>
      </w:rPr>
    </w:lvl>
  </w:abstractNum>
  <w:abstractNum w:abstractNumId="48">
    <w:multiLevelType w:val="hybridMultilevel"/>
    <w:lvl w:ilvl="0">
      <w:start w:val="17"/>
      <w:numFmt w:val="decimal"/>
      <w:isLgl w:val="false"/>
      <w:suff w:val="tab"/>
      <w:lvlText w:val="%1)"/>
      <w:lvlJc w:val="left"/>
      <w:pPr>
        <w:ind w:left="1099" w:hanging="390"/>
      </w:pPr>
      <w:rPr>
        <w:rFonts w:hint="default"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9">
    <w:multiLevelType w:val="hybridMultilevel"/>
    <w:lvl w:ilvl="0">
      <w:start w:val="17"/>
      <w:numFmt w:val="decimal"/>
      <w:isLgl w:val="false"/>
      <w:suff w:val="tab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isLgl w:val="false"/>
      <w:suff w:val="tab"/>
      <w:lvlText w:val="%1.%2)"/>
      <w:lvlJc w:val="left"/>
      <w:pPr>
        <w:ind w:left="1429" w:hanging="720"/>
      </w:pPr>
      <w:rPr>
        <w:rFonts w:hint="default"/>
        <w:sz w:val="24"/>
      </w:rPr>
    </w:lvl>
    <w:lvl w:ilvl="2">
      <w:start w:val="1"/>
      <w:numFmt w:val="decimal"/>
      <w:isLgl w:val="false"/>
      <w:suff w:val="tab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)%3.%4.%5.%6.%7.%8.%9."/>
      <w:lvlJc w:val="left"/>
      <w:pPr>
        <w:ind w:left="7832" w:hanging="2160"/>
      </w:pPr>
      <w:rPr>
        <w:rFonts w:hint="default"/>
      </w:rPr>
    </w:lvl>
  </w:abstractNum>
  <w:abstractNum w:abstractNumId="50">
    <w:multiLevelType w:val="hybridMultilevel"/>
    <w:lvl w:ilvl="0">
      <w:start w:val="24"/>
      <w:numFmt w:val="decimal"/>
      <w:isLgl w:val="false"/>
      <w:suff w:val="tab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isLgl w:val="false"/>
      <w:suff w:val="tab"/>
      <w:lvlText w:val="%1.%2)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)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)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)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)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)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)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)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40">
    <w:name w:val="Heading 1"/>
    <w:basedOn w:val="1017"/>
    <w:next w:val="1017"/>
    <w:link w:val="84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841">
    <w:name w:val="Heading 1 Char"/>
    <w:link w:val="840"/>
    <w:uiPriority w:val="9"/>
    <w:rPr>
      <w:rFonts w:ascii="Arial" w:hAnsi="Arial" w:eastAsia="Arial" w:cs="Arial"/>
      <w:sz w:val="40"/>
      <w:szCs w:val="40"/>
    </w:rPr>
  </w:style>
  <w:style w:type="paragraph" w:styleId="842">
    <w:name w:val="Heading 2"/>
    <w:basedOn w:val="1017"/>
    <w:next w:val="1017"/>
    <w:link w:val="84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843">
    <w:name w:val="Heading 2 Char"/>
    <w:link w:val="842"/>
    <w:uiPriority w:val="9"/>
    <w:rPr>
      <w:rFonts w:ascii="Arial" w:hAnsi="Arial" w:eastAsia="Arial" w:cs="Arial"/>
      <w:sz w:val="34"/>
    </w:rPr>
  </w:style>
  <w:style w:type="paragraph" w:styleId="844">
    <w:name w:val="Heading 3"/>
    <w:basedOn w:val="1017"/>
    <w:next w:val="1017"/>
    <w:link w:val="84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845">
    <w:name w:val="Heading 3 Char"/>
    <w:link w:val="844"/>
    <w:uiPriority w:val="9"/>
    <w:rPr>
      <w:rFonts w:ascii="Arial" w:hAnsi="Arial" w:eastAsia="Arial" w:cs="Arial"/>
      <w:sz w:val="30"/>
      <w:szCs w:val="30"/>
    </w:rPr>
  </w:style>
  <w:style w:type="paragraph" w:styleId="846">
    <w:name w:val="Heading 4"/>
    <w:basedOn w:val="1017"/>
    <w:next w:val="1017"/>
    <w:link w:val="84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47">
    <w:name w:val="Heading 4 Char"/>
    <w:link w:val="846"/>
    <w:uiPriority w:val="9"/>
    <w:rPr>
      <w:rFonts w:ascii="Arial" w:hAnsi="Arial" w:eastAsia="Arial" w:cs="Arial"/>
      <w:b/>
      <w:bCs/>
      <w:sz w:val="26"/>
      <w:szCs w:val="26"/>
    </w:rPr>
  </w:style>
  <w:style w:type="paragraph" w:styleId="848">
    <w:name w:val="Heading 5"/>
    <w:basedOn w:val="1017"/>
    <w:next w:val="1017"/>
    <w:link w:val="84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49">
    <w:name w:val="Heading 5 Char"/>
    <w:link w:val="848"/>
    <w:uiPriority w:val="9"/>
    <w:rPr>
      <w:rFonts w:ascii="Arial" w:hAnsi="Arial" w:eastAsia="Arial" w:cs="Arial"/>
      <w:b/>
      <w:bCs/>
      <w:sz w:val="24"/>
      <w:szCs w:val="24"/>
    </w:rPr>
  </w:style>
  <w:style w:type="paragraph" w:styleId="850">
    <w:name w:val="Heading 6"/>
    <w:basedOn w:val="1017"/>
    <w:next w:val="1017"/>
    <w:link w:val="85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51">
    <w:name w:val="Heading 6 Char"/>
    <w:link w:val="850"/>
    <w:uiPriority w:val="9"/>
    <w:rPr>
      <w:rFonts w:ascii="Arial" w:hAnsi="Arial" w:eastAsia="Arial" w:cs="Arial"/>
      <w:b/>
      <w:bCs/>
      <w:sz w:val="22"/>
      <w:szCs w:val="22"/>
    </w:rPr>
  </w:style>
  <w:style w:type="paragraph" w:styleId="852">
    <w:name w:val="Heading 7"/>
    <w:basedOn w:val="1017"/>
    <w:next w:val="1017"/>
    <w:link w:val="85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53">
    <w:name w:val="Heading 7 Char"/>
    <w:link w:val="85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854">
    <w:name w:val="Heading 8"/>
    <w:basedOn w:val="1017"/>
    <w:next w:val="1017"/>
    <w:link w:val="85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55">
    <w:name w:val="Heading 8 Char"/>
    <w:link w:val="854"/>
    <w:uiPriority w:val="9"/>
    <w:rPr>
      <w:rFonts w:ascii="Arial" w:hAnsi="Arial" w:eastAsia="Arial" w:cs="Arial"/>
      <w:i/>
      <w:iCs/>
      <w:sz w:val="22"/>
      <w:szCs w:val="22"/>
    </w:rPr>
  </w:style>
  <w:style w:type="paragraph" w:styleId="856">
    <w:name w:val="Heading 9"/>
    <w:basedOn w:val="1017"/>
    <w:next w:val="1017"/>
    <w:link w:val="85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57">
    <w:name w:val="Heading 9 Char"/>
    <w:link w:val="856"/>
    <w:uiPriority w:val="9"/>
    <w:rPr>
      <w:rFonts w:ascii="Arial" w:hAnsi="Arial" w:eastAsia="Arial" w:cs="Arial"/>
      <w:i/>
      <w:iCs/>
      <w:sz w:val="21"/>
      <w:szCs w:val="21"/>
    </w:rPr>
  </w:style>
  <w:style w:type="paragraph" w:styleId="858">
    <w:name w:val="No Spacing"/>
    <w:uiPriority w:val="1"/>
    <w:qFormat/>
    <w:pPr>
      <w:spacing w:before="0" w:after="0" w:line="240" w:lineRule="auto"/>
    </w:pPr>
  </w:style>
  <w:style w:type="paragraph" w:styleId="859">
    <w:name w:val="Title"/>
    <w:basedOn w:val="1017"/>
    <w:next w:val="1017"/>
    <w:link w:val="86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60">
    <w:name w:val="Title Char"/>
    <w:link w:val="859"/>
    <w:uiPriority w:val="10"/>
    <w:rPr>
      <w:sz w:val="48"/>
      <w:szCs w:val="48"/>
    </w:rPr>
  </w:style>
  <w:style w:type="paragraph" w:styleId="861">
    <w:name w:val="Subtitle"/>
    <w:basedOn w:val="1017"/>
    <w:next w:val="1017"/>
    <w:link w:val="862"/>
    <w:uiPriority w:val="11"/>
    <w:qFormat/>
    <w:pPr>
      <w:spacing w:before="200" w:after="200"/>
    </w:pPr>
    <w:rPr>
      <w:sz w:val="24"/>
      <w:szCs w:val="24"/>
    </w:rPr>
  </w:style>
  <w:style w:type="character" w:styleId="862">
    <w:name w:val="Subtitle Char"/>
    <w:link w:val="861"/>
    <w:uiPriority w:val="11"/>
    <w:rPr>
      <w:sz w:val="24"/>
      <w:szCs w:val="24"/>
    </w:rPr>
  </w:style>
  <w:style w:type="paragraph" w:styleId="863">
    <w:name w:val="Quote"/>
    <w:basedOn w:val="1017"/>
    <w:next w:val="1017"/>
    <w:link w:val="864"/>
    <w:uiPriority w:val="29"/>
    <w:qFormat/>
    <w:pPr>
      <w:ind w:left="720" w:right="720"/>
    </w:pPr>
    <w:rPr>
      <w:i/>
    </w:rPr>
  </w:style>
  <w:style w:type="character" w:styleId="864">
    <w:name w:val="Quote Char"/>
    <w:link w:val="863"/>
    <w:uiPriority w:val="29"/>
    <w:rPr>
      <w:i/>
    </w:rPr>
  </w:style>
  <w:style w:type="paragraph" w:styleId="865">
    <w:name w:val="Intense Quote"/>
    <w:basedOn w:val="1017"/>
    <w:next w:val="1017"/>
    <w:link w:val="86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66">
    <w:name w:val="Intense Quote Char"/>
    <w:link w:val="865"/>
    <w:uiPriority w:val="30"/>
    <w:rPr>
      <w:i/>
    </w:rPr>
  </w:style>
  <w:style w:type="paragraph" w:styleId="867">
    <w:name w:val="Header"/>
    <w:basedOn w:val="1017"/>
    <w:link w:val="86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68">
    <w:name w:val="Header Char"/>
    <w:link w:val="867"/>
    <w:uiPriority w:val="99"/>
  </w:style>
  <w:style w:type="paragraph" w:styleId="869">
    <w:name w:val="Footer"/>
    <w:basedOn w:val="1017"/>
    <w:link w:val="87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70">
    <w:name w:val="Footer Char"/>
    <w:link w:val="869"/>
    <w:uiPriority w:val="99"/>
  </w:style>
  <w:style w:type="paragraph" w:styleId="871">
    <w:name w:val="Caption"/>
    <w:basedOn w:val="1017"/>
    <w:next w:val="1017"/>
    <w:link w:val="87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72">
    <w:name w:val="Caption Char"/>
    <w:link w:val="871"/>
    <w:uiPriority w:val="35"/>
    <w:rPr>
      <w:b/>
      <w:bCs/>
      <w:color w:val="4f81bd" w:themeColor="accent1"/>
      <w:sz w:val="18"/>
      <w:szCs w:val="18"/>
    </w:rPr>
  </w:style>
  <w:style w:type="table" w:styleId="873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4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5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76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77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78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80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5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6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7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8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9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0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1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02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903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904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905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906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907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908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09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910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911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912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913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14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15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6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7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8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19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20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21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22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3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4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5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6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7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8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9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0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1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2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3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4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5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6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937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938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939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940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941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942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943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4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5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6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7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8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9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0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1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2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3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4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5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6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7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58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59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60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61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62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63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64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65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66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67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68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69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70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71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72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73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74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75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76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77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78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79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80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81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82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83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84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85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86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87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88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89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90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91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92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93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94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95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96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97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98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99">
    <w:name w:val="Hyperlink"/>
    <w:uiPriority w:val="99"/>
    <w:unhideWhenUsed/>
    <w:rPr>
      <w:color w:val="0000ff" w:themeColor="hyperlink"/>
      <w:u w:val="single"/>
    </w:rPr>
  </w:style>
  <w:style w:type="paragraph" w:styleId="1000">
    <w:name w:val="footnote text"/>
    <w:basedOn w:val="1017"/>
    <w:link w:val="1001"/>
    <w:uiPriority w:val="99"/>
    <w:semiHidden/>
    <w:unhideWhenUsed/>
    <w:pPr>
      <w:spacing w:after="40" w:line="240" w:lineRule="auto"/>
    </w:pPr>
    <w:rPr>
      <w:sz w:val="18"/>
    </w:rPr>
  </w:style>
  <w:style w:type="character" w:styleId="1001">
    <w:name w:val="Footnote Text Char"/>
    <w:link w:val="1000"/>
    <w:uiPriority w:val="99"/>
    <w:rPr>
      <w:sz w:val="18"/>
    </w:rPr>
  </w:style>
  <w:style w:type="character" w:styleId="1002">
    <w:name w:val="footnote reference"/>
    <w:uiPriority w:val="99"/>
    <w:unhideWhenUsed/>
    <w:rPr>
      <w:vertAlign w:val="superscript"/>
    </w:rPr>
  </w:style>
  <w:style w:type="paragraph" w:styleId="1003">
    <w:name w:val="endnote text"/>
    <w:basedOn w:val="1017"/>
    <w:link w:val="1004"/>
    <w:uiPriority w:val="99"/>
    <w:semiHidden/>
    <w:unhideWhenUsed/>
    <w:pPr>
      <w:spacing w:after="0" w:line="240" w:lineRule="auto"/>
    </w:pPr>
    <w:rPr>
      <w:sz w:val="20"/>
    </w:rPr>
  </w:style>
  <w:style w:type="character" w:styleId="1004">
    <w:name w:val="Endnote Text Char"/>
    <w:link w:val="1003"/>
    <w:uiPriority w:val="99"/>
    <w:rPr>
      <w:sz w:val="20"/>
    </w:rPr>
  </w:style>
  <w:style w:type="character" w:styleId="1005">
    <w:name w:val="endnote reference"/>
    <w:uiPriority w:val="99"/>
    <w:semiHidden/>
    <w:unhideWhenUsed/>
    <w:rPr>
      <w:vertAlign w:val="superscript"/>
    </w:rPr>
  </w:style>
  <w:style w:type="paragraph" w:styleId="1006">
    <w:name w:val="toc 1"/>
    <w:basedOn w:val="1017"/>
    <w:next w:val="1017"/>
    <w:uiPriority w:val="39"/>
    <w:unhideWhenUsed/>
    <w:pPr>
      <w:ind w:left="0" w:right="0" w:firstLine="0"/>
      <w:spacing w:after="57"/>
    </w:pPr>
  </w:style>
  <w:style w:type="paragraph" w:styleId="1007">
    <w:name w:val="toc 2"/>
    <w:basedOn w:val="1017"/>
    <w:next w:val="1017"/>
    <w:uiPriority w:val="39"/>
    <w:unhideWhenUsed/>
    <w:pPr>
      <w:ind w:left="283" w:right="0" w:firstLine="0"/>
      <w:spacing w:after="57"/>
    </w:pPr>
  </w:style>
  <w:style w:type="paragraph" w:styleId="1008">
    <w:name w:val="toc 3"/>
    <w:basedOn w:val="1017"/>
    <w:next w:val="1017"/>
    <w:uiPriority w:val="39"/>
    <w:unhideWhenUsed/>
    <w:pPr>
      <w:ind w:left="567" w:right="0" w:firstLine="0"/>
      <w:spacing w:after="57"/>
    </w:pPr>
  </w:style>
  <w:style w:type="paragraph" w:styleId="1009">
    <w:name w:val="toc 4"/>
    <w:basedOn w:val="1017"/>
    <w:next w:val="1017"/>
    <w:uiPriority w:val="39"/>
    <w:unhideWhenUsed/>
    <w:pPr>
      <w:ind w:left="850" w:right="0" w:firstLine="0"/>
      <w:spacing w:after="57"/>
    </w:pPr>
  </w:style>
  <w:style w:type="paragraph" w:styleId="1010">
    <w:name w:val="toc 5"/>
    <w:basedOn w:val="1017"/>
    <w:next w:val="1017"/>
    <w:uiPriority w:val="39"/>
    <w:unhideWhenUsed/>
    <w:pPr>
      <w:ind w:left="1134" w:right="0" w:firstLine="0"/>
      <w:spacing w:after="57"/>
    </w:pPr>
  </w:style>
  <w:style w:type="paragraph" w:styleId="1011">
    <w:name w:val="toc 6"/>
    <w:basedOn w:val="1017"/>
    <w:next w:val="1017"/>
    <w:uiPriority w:val="39"/>
    <w:unhideWhenUsed/>
    <w:pPr>
      <w:ind w:left="1417" w:right="0" w:firstLine="0"/>
      <w:spacing w:after="57"/>
    </w:pPr>
  </w:style>
  <w:style w:type="paragraph" w:styleId="1012">
    <w:name w:val="toc 7"/>
    <w:basedOn w:val="1017"/>
    <w:next w:val="1017"/>
    <w:uiPriority w:val="39"/>
    <w:unhideWhenUsed/>
    <w:pPr>
      <w:ind w:left="1701" w:right="0" w:firstLine="0"/>
      <w:spacing w:after="57"/>
    </w:pPr>
  </w:style>
  <w:style w:type="paragraph" w:styleId="1013">
    <w:name w:val="toc 8"/>
    <w:basedOn w:val="1017"/>
    <w:next w:val="1017"/>
    <w:uiPriority w:val="39"/>
    <w:unhideWhenUsed/>
    <w:pPr>
      <w:ind w:left="1984" w:right="0" w:firstLine="0"/>
      <w:spacing w:after="57"/>
    </w:pPr>
  </w:style>
  <w:style w:type="paragraph" w:styleId="1014">
    <w:name w:val="toc 9"/>
    <w:basedOn w:val="1017"/>
    <w:next w:val="1017"/>
    <w:uiPriority w:val="39"/>
    <w:unhideWhenUsed/>
    <w:pPr>
      <w:ind w:left="2268" w:right="0" w:firstLine="0"/>
      <w:spacing w:after="57"/>
    </w:pPr>
  </w:style>
  <w:style w:type="paragraph" w:styleId="1015">
    <w:name w:val="TOC Heading"/>
    <w:uiPriority w:val="39"/>
    <w:unhideWhenUsed/>
  </w:style>
  <w:style w:type="paragraph" w:styleId="1016">
    <w:name w:val="table of figures"/>
    <w:basedOn w:val="1017"/>
    <w:next w:val="1017"/>
    <w:uiPriority w:val="99"/>
    <w:unhideWhenUsed/>
    <w:pPr>
      <w:spacing w:after="0" w:afterAutospacing="0"/>
    </w:pPr>
  </w:style>
  <w:style w:type="paragraph" w:styleId="1017" w:default="1">
    <w:name w:val="Normal"/>
    <w:next w:val="1017"/>
    <w:link w:val="1017"/>
    <w:qFormat/>
    <w:rPr>
      <w:lang w:val="ru-RU" w:eastAsia="ar-SA" w:bidi="ar-SA"/>
    </w:rPr>
  </w:style>
  <w:style w:type="paragraph" w:styleId="1018">
    <w:name w:val="Заголовок 1"/>
    <w:basedOn w:val="1017"/>
    <w:next w:val="1017"/>
    <w:link w:val="1017"/>
    <w:qFormat/>
    <w:pPr>
      <w:numPr>
        <w:ilvl w:val="0"/>
        <w:numId w:val="1"/>
      </w:numPr>
      <w:jc w:val="both"/>
      <w:keepNext/>
      <w:outlineLvl w:val="0"/>
    </w:pPr>
    <w:rPr>
      <w:sz w:val="26"/>
    </w:rPr>
  </w:style>
  <w:style w:type="paragraph" w:styleId="1019">
    <w:name w:val="Заголовок 2"/>
    <w:basedOn w:val="1017"/>
    <w:next w:val="1017"/>
    <w:link w:val="1017"/>
    <w:qFormat/>
    <w:pPr>
      <w:numPr>
        <w:ilvl w:val="1"/>
        <w:numId w:val="1"/>
      </w:numPr>
      <w:jc w:val="both"/>
      <w:keepNext/>
      <w:outlineLvl w:val="1"/>
    </w:pPr>
    <w:rPr>
      <w:sz w:val="24"/>
    </w:rPr>
  </w:style>
  <w:style w:type="paragraph" w:styleId="1020">
    <w:name w:val="Заголовок 3"/>
    <w:basedOn w:val="1017"/>
    <w:next w:val="1017"/>
    <w:link w:val="1017"/>
    <w:qFormat/>
    <w:pPr>
      <w:numPr>
        <w:ilvl w:val="2"/>
        <w:numId w:val="1"/>
      </w:numPr>
      <w:jc w:val="center"/>
      <w:keepNext/>
      <w:outlineLvl w:val="2"/>
    </w:pPr>
    <w:rPr>
      <w:b/>
      <w:sz w:val="22"/>
    </w:rPr>
  </w:style>
  <w:style w:type="paragraph" w:styleId="1021">
    <w:name w:val="Заголовок 4"/>
    <w:basedOn w:val="1017"/>
    <w:next w:val="1017"/>
    <w:link w:val="1017"/>
    <w:qFormat/>
    <w:pPr>
      <w:numPr>
        <w:ilvl w:val="3"/>
        <w:numId w:val="1"/>
      </w:numPr>
      <w:jc w:val="center"/>
      <w:keepNext/>
      <w:outlineLvl w:val="3"/>
    </w:pPr>
    <w:rPr>
      <w:b/>
    </w:rPr>
  </w:style>
  <w:style w:type="paragraph" w:styleId="1022">
    <w:name w:val="Заголовок 5"/>
    <w:basedOn w:val="1017"/>
    <w:next w:val="1017"/>
    <w:link w:val="1017"/>
    <w:qFormat/>
    <w:pPr>
      <w:numPr>
        <w:ilvl w:val="4"/>
        <w:numId w:val="1"/>
      </w:numPr>
      <w:jc w:val="both"/>
      <w:keepNext/>
      <w:outlineLvl w:val="4"/>
    </w:pPr>
    <w:rPr>
      <w:b/>
    </w:rPr>
  </w:style>
  <w:style w:type="paragraph" w:styleId="1023">
    <w:name w:val="Заголовок 6"/>
    <w:basedOn w:val="1017"/>
    <w:next w:val="1017"/>
    <w:link w:val="1017"/>
    <w:qFormat/>
    <w:pPr>
      <w:numPr>
        <w:ilvl w:val="5"/>
        <w:numId w:val="1"/>
      </w:numPr>
      <w:jc w:val="center"/>
      <w:keepNext/>
      <w:outlineLvl w:val="5"/>
    </w:pPr>
    <w:rPr>
      <w:b/>
      <w:sz w:val="24"/>
    </w:rPr>
  </w:style>
  <w:style w:type="paragraph" w:styleId="1024">
    <w:name w:val="Заголовок 7"/>
    <w:basedOn w:val="1017"/>
    <w:next w:val="1017"/>
    <w:link w:val="1017"/>
    <w:qFormat/>
    <w:pPr>
      <w:numPr>
        <w:ilvl w:val="6"/>
        <w:numId w:val="1"/>
      </w:numPr>
      <w:keepNext/>
      <w:outlineLvl w:val="6"/>
    </w:pPr>
    <w:rPr>
      <w:sz w:val="24"/>
    </w:rPr>
  </w:style>
  <w:style w:type="paragraph" w:styleId="1025">
    <w:name w:val="Заголовок 8"/>
    <w:basedOn w:val="1017"/>
    <w:next w:val="1017"/>
    <w:link w:val="1017"/>
    <w:qFormat/>
    <w:pPr>
      <w:numPr>
        <w:ilvl w:val="7"/>
        <w:numId w:val="1"/>
      </w:numPr>
      <w:jc w:val="both"/>
      <w:keepNext/>
      <w:outlineLvl w:val="7"/>
    </w:pPr>
    <w:rPr>
      <w:sz w:val="28"/>
    </w:rPr>
  </w:style>
  <w:style w:type="paragraph" w:styleId="1026">
    <w:name w:val="Заголовок 9"/>
    <w:basedOn w:val="1017"/>
    <w:next w:val="1017"/>
    <w:link w:val="1017"/>
    <w:qFormat/>
    <w:pPr>
      <w:numPr>
        <w:ilvl w:val="8"/>
        <w:numId w:val="1"/>
      </w:numPr>
      <w:jc w:val="center"/>
      <w:keepNext/>
      <w:outlineLvl w:val="8"/>
    </w:pPr>
    <w:rPr>
      <w:sz w:val="28"/>
    </w:rPr>
  </w:style>
  <w:style w:type="character" w:styleId="1027">
    <w:name w:val="Основной шрифт абзаца"/>
    <w:next w:val="1027"/>
    <w:link w:val="1017"/>
    <w:uiPriority w:val="1"/>
    <w:semiHidden/>
    <w:unhideWhenUsed/>
  </w:style>
  <w:style w:type="table" w:styleId="1028">
    <w:name w:val="Обычная таблица"/>
    <w:next w:val="1028"/>
    <w:link w:val="1017"/>
    <w:uiPriority w:val="99"/>
    <w:semiHidden/>
    <w:unhideWhenUsed/>
    <w:tblPr/>
  </w:style>
  <w:style w:type="numbering" w:styleId="1029">
    <w:name w:val="Нет списка"/>
    <w:next w:val="1029"/>
    <w:link w:val="1017"/>
    <w:uiPriority w:val="99"/>
    <w:semiHidden/>
    <w:unhideWhenUsed/>
  </w:style>
  <w:style w:type="character" w:styleId="1030">
    <w:name w:val="WW8Num1z0"/>
    <w:next w:val="1030"/>
    <w:link w:val="1017"/>
    <w:rPr>
      <w:rFonts w:ascii="Times New Roman" w:hAnsi="Times New Roman" w:cs="Times New Roman"/>
      <w:sz w:val="22"/>
      <w:szCs w:val="22"/>
    </w:rPr>
  </w:style>
  <w:style w:type="character" w:styleId="1031">
    <w:name w:val="WW8Num2z0"/>
    <w:next w:val="1031"/>
    <w:link w:val="1017"/>
    <w:rPr>
      <w:b/>
      <w:i w:val="0"/>
      <w:sz w:val="22"/>
      <w:szCs w:val="22"/>
    </w:rPr>
  </w:style>
  <w:style w:type="character" w:styleId="1032">
    <w:name w:val="WW8Num2z1"/>
    <w:next w:val="1032"/>
    <w:link w:val="1017"/>
  </w:style>
  <w:style w:type="character" w:styleId="1033">
    <w:name w:val="WW8Num2z2"/>
    <w:next w:val="1033"/>
    <w:link w:val="1017"/>
  </w:style>
  <w:style w:type="character" w:styleId="1034">
    <w:name w:val="WW8Num2z3"/>
    <w:next w:val="1034"/>
    <w:link w:val="1017"/>
  </w:style>
  <w:style w:type="character" w:styleId="1035">
    <w:name w:val="WW8Num2z4"/>
    <w:next w:val="1035"/>
    <w:link w:val="1017"/>
  </w:style>
  <w:style w:type="character" w:styleId="1036">
    <w:name w:val="WW8Num2z5"/>
    <w:next w:val="1036"/>
    <w:link w:val="1017"/>
  </w:style>
  <w:style w:type="character" w:styleId="1037">
    <w:name w:val="WW8Num2z6"/>
    <w:next w:val="1037"/>
    <w:link w:val="1017"/>
  </w:style>
  <w:style w:type="character" w:styleId="1038">
    <w:name w:val="WW8Num2z7"/>
    <w:next w:val="1038"/>
    <w:link w:val="1017"/>
  </w:style>
  <w:style w:type="character" w:styleId="1039">
    <w:name w:val="WW8Num2z8"/>
    <w:next w:val="1039"/>
    <w:link w:val="1017"/>
  </w:style>
  <w:style w:type="character" w:styleId="1040">
    <w:name w:val="WW8Num3z0"/>
    <w:next w:val="1040"/>
    <w:link w:val="1017"/>
  </w:style>
  <w:style w:type="character" w:styleId="1041">
    <w:name w:val="WW8Num3z1"/>
    <w:next w:val="1041"/>
    <w:link w:val="1017"/>
  </w:style>
  <w:style w:type="character" w:styleId="1042">
    <w:name w:val="WW8Num3z2"/>
    <w:next w:val="1042"/>
    <w:link w:val="1017"/>
  </w:style>
  <w:style w:type="character" w:styleId="1043">
    <w:name w:val="WW8Num3z3"/>
    <w:next w:val="1043"/>
    <w:link w:val="1017"/>
  </w:style>
  <w:style w:type="character" w:styleId="1044">
    <w:name w:val="WW8Num3z4"/>
    <w:next w:val="1044"/>
    <w:link w:val="1017"/>
  </w:style>
  <w:style w:type="character" w:styleId="1045">
    <w:name w:val="WW8Num3z5"/>
    <w:next w:val="1045"/>
    <w:link w:val="1017"/>
  </w:style>
  <w:style w:type="character" w:styleId="1046">
    <w:name w:val="WW8Num3z6"/>
    <w:next w:val="1046"/>
    <w:link w:val="1017"/>
  </w:style>
  <w:style w:type="character" w:styleId="1047">
    <w:name w:val="WW8Num3z7"/>
    <w:next w:val="1047"/>
    <w:link w:val="1017"/>
  </w:style>
  <w:style w:type="character" w:styleId="1048">
    <w:name w:val="WW8Num3z8"/>
    <w:next w:val="1048"/>
    <w:link w:val="1017"/>
  </w:style>
  <w:style w:type="character" w:styleId="1049">
    <w:name w:val="WW8Num4z0"/>
    <w:next w:val="1049"/>
    <w:link w:val="1017"/>
  </w:style>
  <w:style w:type="character" w:styleId="1050">
    <w:name w:val="WW8Num4z1"/>
    <w:next w:val="1050"/>
    <w:link w:val="1017"/>
  </w:style>
  <w:style w:type="character" w:styleId="1051">
    <w:name w:val="WW8Num4z2"/>
    <w:next w:val="1051"/>
    <w:link w:val="1017"/>
  </w:style>
  <w:style w:type="character" w:styleId="1052">
    <w:name w:val="WW8Num4z3"/>
    <w:next w:val="1052"/>
    <w:link w:val="1017"/>
  </w:style>
  <w:style w:type="character" w:styleId="1053">
    <w:name w:val="WW8Num4z4"/>
    <w:next w:val="1053"/>
    <w:link w:val="1017"/>
  </w:style>
  <w:style w:type="character" w:styleId="1054">
    <w:name w:val="WW8Num4z5"/>
    <w:next w:val="1054"/>
    <w:link w:val="1017"/>
  </w:style>
  <w:style w:type="character" w:styleId="1055">
    <w:name w:val="WW8Num4z6"/>
    <w:next w:val="1055"/>
    <w:link w:val="1017"/>
  </w:style>
  <w:style w:type="character" w:styleId="1056">
    <w:name w:val="WW8Num4z7"/>
    <w:next w:val="1056"/>
    <w:link w:val="1017"/>
  </w:style>
  <w:style w:type="character" w:styleId="1057">
    <w:name w:val="WW8Num4z8"/>
    <w:next w:val="1057"/>
    <w:link w:val="1017"/>
  </w:style>
  <w:style w:type="character" w:styleId="1058">
    <w:name w:val="WW8Num5z0"/>
    <w:next w:val="1058"/>
    <w:link w:val="1017"/>
  </w:style>
  <w:style w:type="character" w:styleId="1059">
    <w:name w:val="WW8Num6z0"/>
    <w:next w:val="1059"/>
    <w:link w:val="1017"/>
    <w:rPr>
      <w:rFonts w:ascii="Times New Roman" w:hAnsi="Times New Roman" w:eastAsia="Times New Roman" w:cs="Times New Roman"/>
    </w:rPr>
  </w:style>
  <w:style w:type="character" w:styleId="1060">
    <w:name w:val="WW8Num7z0"/>
    <w:next w:val="1060"/>
    <w:link w:val="1017"/>
    <w:rPr>
      <w:rFonts w:ascii="Times New Roman" w:hAnsi="Times New Roman" w:eastAsia="Times New Roman" w:cs="Times New Roman"/>
      <w:b/>
    </w:rPr>
  </w:style>
  <w:style w:type="character" w:styleId="1061">
    <w:name w:val="WW8Num7z1"/>
    <w:next w:val="1061"/>
    <w:link w:val="1017"/>
  </w:style>
  <w:style w:type="character" w:styleId="1062">
    <w:name w:val="WW8Num7z2"/>
    <w:next w:val="1062"/>
    <w:link w:val="1017"/>
  </w:style>
  <w:style w:type="character" w:styleId="1063">
    <w:name w:val="WW8Num7z3"/>
    <w:next w:val="1063"/>
    <w:link w:val="1017"/>
  </w:style>
  <w:style w:type="character" w:styleId="1064">
    <w:name w:val="WW8Num7z4"/>
    <w:next w:val="1064"/>
    <w:link w:val="1017"/>
  </w:style>
  <w:style w:type="character" w:styleId="1065">
    <w:name w:val="WW8Num7z5"/>
    <w:next w:val="1065"/>
    <w:link w:val="1017"/>
  </w:style>
  <w:style w:type="character" w:styleId="1066">
    <w:name w:val="WW8Num7z6"/>
    <w:next w:val="1066"/>
    <w:link w:val="1017"/>
  </w:style>
  <w:style w:type="character" w:styleId="1067">
    <w:name w:val="WW8Num7z7"/>
    <w:next w:val="1067"/>
    <w:link w:val="1017"/>
  </w:style>
  <w:style w:type="character" w:styleId="1068">
    <w:name w:val="WW8Num7z8"/>
    <w:next w:val="1068"/>
    <w:link w:val="1017"/>
  </w:style>
  <w:style w:type="character" w:styleId="1069">
    <w:name w:val="WW8Num8z0"/>
    <w:next w:val="1069"/>
    <w:link w:val="1017"/>
    <w:rPr>
      <w:sz w:val="22"/>
      <w:szCs w:val="22"/>
    </w:rPr>
  </w:style>
  <w:style w:type="character" w:styleId="1070">
    <w:name w:val="WW8Num9z0"/>
    <w:next w:val="1070"/>
    <w:link w:val="1017"/>
    <w:rPr>
      <w:rFonts w:ascii="Wingdings" w:hAnsi="Wingdings" w:cs="Wingdings"/>
    </w:rPr>
  </w:style>
  <w:style w:type="character" w:styleId="1071">
    <w:name w:val="WW8Num9z1"/>
    <w:next w:val="1071"/>
    <w:link w:val="1017"/>
    <w:rPr>
      <w:rFonts w:ascii="Courier New" w:hAnsi="Courier New" w:cs="Courier New"/>
    </w:rPr>
  </w:style>
  <w:style w:type="character" w:styleId="1072">
    <w:name w:val="WW8Num9z3"/>
    <w:next w:val="1072"/>
    <w:link w:val="1017"/>
    <w:rPr>
      <w:rFonts w:ascii="Symbol" w:hAnsi="Symbol" w:cs="Symbol"/>
    </w:rPr>
  </w:style>
  <w:style w:type="character" w:styleId="1073">
    <w:name w:val="WW8Num10z0"/>
    <w:next w:val="1073"/>
    <w:link w:val="1017"/>
    <w:rPr>
      <w:rFonts w:ascii="Times New Roman" w:hAnsi="Times New Roman" w:cs="Times New Roman"/>
    </w:rPr>
  </w:style>
  <w:style w:type="character" w:styleId="1074">
    <w:name w:val="WW8Num11z0"/>
    <w:next w:val="1074"/>
    <w:link w:val="1017"/>
  </w:style>
  <w:style w:type="character" w:styleId="1075">
    <w:name w:val="WW8Num11z1"/>
    <w:next w:val="1075"/>
    <w:link w:val="1017"/>
  </w:style>
  <w:style w:type="character" w:styleId="1076">
    <w:name w:val="WW8Num11z2"/>
    <w:next w:val="1076"/>
    <w:link w:val="1017"/>
  </w:style>
  <w:style w:type="character" w:styleId="1077">
    <w:name w:val="WW8Num11z3"/>
    <w:next w:val="1077"/>
    <w:link w:val="1017"/>
  </w:style>
  <w:style w:type="character" w:styleId="1078">
    <w:name w:val="WW8Num11z4"/>
    <w:next w:val="1078"/>
    <w:link w:val="1017"/>
  </w:style>
  <w:style w:type="character" w:styleId="1079">
    <w:name w:val="WW8Num11z5"/>
    <w:next w:val="1079"/>
    <w:link w:val="1017"/>
  </w:style>
  <w:style w:type="character" w:styleId="1080">
    <w:name w:val="WW8Num11z6"/>
    <w:next w:val="1080"/>
    <w:link w:val="1017"/>
  </w:style>
  <w:style w:type="character" w:styleId="1081">
    <w:name w:val="WW8Num11z7"/>
    <w:next w:val="1081"/>
    <w:link w:val="1017"/>
  </w:style>
  <w:style w:type="character" w:styleId="1082">
    <w:name w:val="WW8Num11z8"/>
    <w:next w:val="1082"/>
    <w:link w:val="1017"/>
  </w:style>
  <w:style w:type="character" w:styleId="1083">
    <w:name w:val="WW8Num12z0"/>
    <w:next w:val="1083"/>
    <w:link w:val="1017"/>
  </w:style>
  <w:style w:type="character" w:styleId="1084">
    <w:name w:val="WW8Num12z1"/>
    <w:next w:val="1084"/>
    <w:link w:val="1017"/>
  </w:style>
  <w:style w:type="character" w:styleId="1085">
    <w:name w:val="WW8Num12z2"/>
    <w:next w:val="1085"/>
    <w:link w:val="1017"/>
  </w:style>
  <w:style w:type="character" w:styleId="1086">
    <w:name w:val="WW8Num12z3"/>
    <w:next w:val="1086"/>
    <w:link w:val="1017"/>
  </w:style>
  <w:style w:type="character" w:styleId="1087">
    <w:name w:val="WW8Num12z4"/>
    <w:next w:val="1087"/>
    <w:link w:val="1017"/>
  </w:style>
  <w:style w:type="character" w:styleId="1088">
    <w:name w:val="WW8Num12z5"/>
    <w:next w:val="1088"/>
    <w:link w:val="1017"/>
  </w:style>
  <w:style w:type="character" w:styleId="1089">
    <w:name w:val="WW8Num12z6"/>
    <w:next w:val="1089"/>
    <w:link w:val="1017"/>
  </w:style>
  <w:style w:type="character" w:styleId="1090">
    <w:name w:val="WW8Num12z7"/>
    <w:next w:val="1090"/>
    <w:link w:val="1017"/>
  </w:style>
  <w:style w:type="character" w:styleId="1091">
    <w:name w:val="WW8Num12z8"/>
    <w:next w:val="1091"/>
    <w:link w:val="1017"/>
  </w:style>
  <w:style w:type="character" w:styleId="1092">
    <w:name w:val="WW8Num13z0"/>
    <w:next w:val="1092"/>
    <w:link w:val="1017"/>
  </w:style>
  <w:style w:type="character" w:styleId="1093">
    <w:name w:val="WW8Num13z1"/>
    <w:next w:val="1093"/>
    <w:link w:val="1017"/>
  </w:style>
  <w:style w:type="character" w:styleId="1094">
    <w:name w:val="WW8Num13z2"/>
    <w:next w:val="1094"/>
    <w:link w:val="1017"/>
  </w:style>
  <w:style w:type="character" w:styleId="1095">
    <w:name w:val="WW8Num13z3"/>
    <w:next w:val="1095"/>
    <w:link w:val="1017"/>
  </w:style>
  <w:style w:type="character" w:styleId="1096">
    <w:name w:val="WW8Num13z4"/>
    <w:next w:val="1096"/>
    <w:link w:val="1017"/>
  </w:style>
  <w:style w:type="character" w:styleId="1097">
    <w:name w:val="WW8Num13z5"/>
    <w:next w:val="1097"/>
    <w:link w:val="1017"/>
  </w:style>
  <w:style w:type="character" w:styleId="1098">
    <w:name w:val="WW8Num13z6"/>
    <w:next w:val="1098"/>
    <w:link w:val="1017"/>
  </w:style>
  <w:style w:type="character" w:styleId="1099">
    <w:name w:val="WW8Num13z7"/>
    <w:next w:val="1099"/>
    <w:link w:val="1017"/>
  </w:style>
  <w:style w:type="character" w:styleId="1100">
    <w:name w:val="WW8Num13z8"/>
    <w:next w:val="1100"/>
    <w:link w:val="1017"/>
  </w:style>
  <w:style w:type="character" w:styleId="1101">
    <w:name w:val="WW8Num14z0"/>
    <w:next w:val="1101"/>
    <w:link w:val="1017"/>
  </w:style>
  <w:style w:type="character" w:styleId="1102">
    <w:name w:val="WW8Num15z0"/>
    <w:next w:val="1102"/>
    <w:link w:val="1017"/>
  </w:style>
  <w:style w:type="character" w:styleId="1103">
    <w:name w:val="WW8Num16z0"/>
    <w:next w:val="1103"/>
    <w:link w:val="1017"/>
  </w:style>
  <w:style w:type="character" w:styleId="1104">
    <w:name w:val="WW8Num16z1"/>
    <w:next w:val="1104"/>
    <w:link w:val="1017"/>
  </w:style>
  <w:style w:type="character" w:styleId="1105">
    <w:name w:val="WW8Num16z2"/>
    <w:next w:val="1105"/>
    <w:link w:val="1017"/>
  </w:style>
  <w:style w:type="character" w:styleId="1106">
    <w:name w:val="WW8Num16z3"/>
    <w:next w:val="1106"/>
    <w:link w:val="1017"/>
  </w:style>
  <w:style w:type="character" w:styleId="1107">
    <w:name w:val="WW8Num16z4"/>
    <w:next w:val="1107"/>
    <w:link w:val="1017"/>
  </w:style>
  <w:style w:type="character" w:styleId="1108">
    <w:name w:val="WW8Num16z5"/>
    <w:next w:val="1108"/>
    <w:link w:val="1017"/>
  </w:style>
  <w:style w:type="character" w:styleId="1109">
    <w:name w:val="WW8Num16z6"/>
    <w:next w:val="1109"/>
    <w:link w:val="1017"/>
  </w:style>
  <w:style w:type="character" w:styleId="1110">
    <w:name w:val="WW8Num16z7"/>
    <w:next w:val="1110"/>
    <w:link w:val="1017"/>
  </w:style>
  <w:style w:type="character" w:styleId="1111">
    <w:name w:val="WW8Num16z8"/>
    <w:next w:val="1111"/>
    <w:link w:val="1017"/>
  </w:style>
  <w:style w:type="character" w:styleId="1112">
    <w:name w:val="WW8Num17z0"/>
    <w:next w:val="1112"/>
    <w:link w:val="1017"/>
    <w:rPr>
      <w:b/>
    </w:rPr>
  </w:style>
  <w:style w:type="character" w:styleId="1113">
    <w:name w:val="WW8Num17z1"/>
    <w:next w:val="1113"/>
    <w:link w:val="1017"/>
  </w:style>
  <w:style w:type="character" w:styleId="1114">
    <w:name w:val="WW8Num17z2"/>
    <w:next w:val="1114"/>
    <w:link w:val="1017"/>
  </w:style>
  <w:style w:type="character" w:styleId="1115">
    <w:name w:val="WW8Num17z3"/>
    <w:next w:val="1115"/>
    <w:link w:val="1017"/>
  </w:style>
  <w:style w:type="character" w:styleId="1116">
    <w:name w:val="WW8Num17z4"/>
    <w:next w:val="1116"/>
    <w:link w:val="1017"/>
  </w:style>
  <w:style w:type="character" w:styleId="1117">
    <w:name w:val="WW8Num17z5"/>
    <w:next w:val="1117"/>
    <w:link w:val="1017"/>
  </w:style>
  <w:style w:type="character" w:styleId="1118">
    <w:name w:val="WW8Num17z6"/>
    <w:next w:val="1118"/>
    <w:link w:val="1017"/>
  </w:style>
  <w:style w:type="character" w:styleId="1119">
    <w:name w:val="WW8Num17z7"/>
    <w:next w:val="1119"/>
    <w:link w:val="1017"/>
  </w:style>
  <w:style w:type="character" w:styleId="1120">
    <w:name w:val="WW8Num17z8"/>
    <w:next w:val="1120"/>
    <w:link w:val="1017"/>
  </w:style>
  <w:style w:type="character" w:styleId="1121">
    <w:name w:val="WW8Num18z0"/>
    <w:next w:val="1121"/>
    <w:link w:val="1017"/>
    <w:rPr>
      <w:rFonts w:ascii="Wingdings" w:hAnsi="Wingdings" w:cs="Wingdings"/>
    </w:rPr>
  </w:style>
  <w:style w:type="character" w:styleId="1122">
    <w:name w:val="WW8Num18z1"/>
    <w:next w:val="1122"/>
    <w:link w:val="1017"/>
    <w:rPr>
      <w:rFonts w:ascii="Courier New" w:hAnsi="Courier New" w:cs="Courier New"/>
    </w:rPr>
  </w:style>
  <w:style w:type="character" w:styleId="1123">
    <w:name w:val="WW8Num18z3"/>
    <w:next w:val="1123"/>
    <w:link w:val="1017"/>
    <w:rPr>
      <w:rFonts w:ascii="Symbol" w:hAnsi="Symbol" w:cs="Symbol"/>
    </w:rPr>
  </w:style>
  <w:style w:type="character" w:styleId="1124">
    <w:name w:val="WW8Num19z0"/>
    <w:next w:val="1124"/>
    <w:link w:val="1017"/>
  </w:style>
  <w:style w:type="character" w:styleId="1125">
    <w:name w:val="WW8Num20z0"/>
    <w:next w:val="1125"/>
    <w:link w:val="1017"/>
  </w:style>
  <w:style w:type="character" w:styleId="1126">
    <w:name w:val="WW8Num20z1"/>
    <w:next w:val="1126"/>
    <w:link w:val="1017"/>
  </w:style>
  <w:style w:type="character" w:styleId="1127">
    <w:name w:val="WW8Num20z2"/>
    <w:next w:val="1127"/>
    <w:link w:val="1017"/>
  </w:style>
  <w:style w:type="character" w:styleId="1128">
    <w:name w:val="WW8Num20z3"/>
    <w:next w:val="1128"/>
    <w:link w:val="1017"/>
  </w:style>
  <w:style w:type="character" w:styleId="1129">
    <w:name w:val="WW8Num20z4"/>
    <w:next w:val="1129"/>
    <w:link w:val="1017"/>
  </w:style>
  <w:style w:type="character" w:styleId="1130">
    <w:name w:val="WW8Num20z5"/>
    <w:next w:val="1130"/>
    <w:link w:val="1017"/>
  </w:style>
  <w:style w:type="character" w:styleId="1131">
    <w:name w:val="WW8Num20z6"/>
    <w:next w:val="1131"/>
    <w:link w:val="1017"/>
  </w:style>
  <w:style w:type="character" w:styleId="1132">
    <w:name w:val="WW8Num20z7"/>
    <w:next w:val="1132"/>
    <w:link w:val="1017"/>
  </w:style>
  <w:style w:type="character" w:styleId="1133">
    <w:name w:val="WW8Num20z8"/>
    <w:next w:val="1133"/>
    <w:link w:val="1017"/>
  </w:style>
  <w:style w:type="character" w:styleId="1134">
    <w:name w:val="WW8Num21z0"/>
    <w:next w:val="1134"/>
    <w:link w:val="1017"/>
  </w:style>
  <w:style w:type="character" w:styleId="1135">
    <w:name w:val="WW8Num22z0"/>
    <w:next w:val="1135"/>
    <w:link w:val="1017"/>
    <w:rPr>
      <w:rFonts w:ascii="Wingdings" w:hAnsi="Wingdings" w:cs="Wingdings"/>
    </w:rPr>
  </w:style>
  <w:style w:type="character" w:styleId="1136">
    <w:name w:val="WW8Num22z1"/>
    <w:next w:val="1136"/>
    <w:link w:val="1017"/>
    <w:rPr>
      <w:rFonts w:ascii="Courier New" w:hAnsi="Courier New" w:cs="Courier New"/>
    </w:rPr>
  </w:style>
  <w:style w:type="character" w:styleId="1137">
    <w:name w:val="WW8Num22z3"/>
    <w:next w:val="1137"/>
    <w:link w:val="1017"/>
    <w:rPr>
      <w:rFonts w:ascii="Symbol" w:hAnsi="Symbol" w:cs="Symbol"/>
    </w:rPr>
  </w:style>
  <w:style w:type="character" w:styleId="1138">
    <w:name w:val="WW8Num23z0"/>
    <w:next w:val="1138"/>
    <w:link w:val="1017"/>
  </w:style>
  <w:style w:type="character" w:styleId="1139">
    <w:name w:val="WW8Num23z1"/>
    <w:next w:val="1139"/>
    <w:link w:val="1017"/>
  </w:style>
  <w:style w:type="character" w:styleId="1140">
    <w:name w:val="WW8Num23z2"/>
    <w:next w:val="1140"/>
    <w:link w:val="1017"/>
  </w:style>
  <w:style w:type="character" w:styleId="1141">
    <w:name w:val="WW8Num23z3"/>
    <w:next w:val="1141"/>
    <w:link w:val="1017"/>
  </w:style>
  <w:style w:type="character" w:styleId="1142">
    <w:name w:val="WW8Num23z4"/>
    <w:next w:val="1142"/>
    <w:link w:val="1017"/>
  </w:style>
  <w:style w:type="character" w:styleId="1143">
    <w:name w:val="WW8Num23z5"/>
    <w:next w:val="1143"/>
    <w:link w:val="1017"/>
  </w:style>
  <w:style w:type="character" w:styleId="1144">
    <w:name w:val="WW8Num23z6"/>
    <w:next w:val="1144"/>
    <w:link w:val="1017"/>
  </w:style>
  <w:style w:type="character" w:styleId="1145">
    <w:name w:val="WW8Num23z7"/>
    <w:next w:val="1145"/>
    <w:link w:val="1017"/>
  </w:style>
  <w:style w:type="character" w:styleId="1146">
    <w:name w:val="WW8Num23z8"/>
    <w:next w:val="1146"/>
    <w:link w:val="1017"/>
  </w:style>
  <w:style w:type="character" w:styleId="1147">
    <w:name w:val="WW8Num24z0"/>
    <w:next w:val="1147"/>
    <w:link w:val="1017"/>
    <w:rPr>
      <w:i w:val="0"/>
    </w:rPr>
  </w:style>
  <w:style w:type="character" w:styleId="1148">
    <w:name w:val="WW8Num24z1"/>
    <w:next w:val="1148"/>
    <w:link w:val="1017"/>
  </w:style>
  <w:style w:type="character" w:styleId="1149">
    <w:name w:val="WW8Num24z2"/>
    <w:next w:val="1149"/>
    <w:link w:val="1017"/>
  </w:style>
  <w:style w:type="character" w:styleId="1150">
    <w:name w:val="WW8Num24z3"/>
    <w:next w:val="1150"/>
    <w:link w:val="1017"/>
  </w:style>
  <w:style w:type="character" w:styleId="1151">
    <w:name w:val="WW8Num24z4"/>
    <w:next w:val="1151"/>
    <w:link w:val="1017"/>
  </w:style>
  <w:style w:type="character" w:styleId="1152">
    <w:name w:val="WW8Num24z5"/>
    <w:next w:val="1152"/>
    <w:link w:val="1017"/>
  </w:style>
  <w:style w:type="character" w:styleId="1153">
    <w:name w:val="WW8Num24z6"/>
    <w:next w:val="1153"/>
    <w:link w:val="1017"/>
  </w:style>
  <w:style w:type="character" w:styleId="1154">
    <w:name w:val="WW8Num24z7"/>
    <w:next w:val="1154"/>
    <w:link w:val="1017"/>
  </w:style>
  <w:style w:type="character" w:styleId="1155">
    <w:name w:val="WW8Num24z8"/>
    <w:next w:val="1155"/>
    <w:link w:val="1017"/>
  </w:style>
  <w:style w:type="character" w:styleId="1156">
    <w:name w:val="WW8Num25z0"/>
    <w:next w:val="1156"/>
    <w:link w:val="1017"/>
  </w:style>
  <w:style w:type="character" w:styleId="1157">
    <w:name w:val="WW8Num25z1"/>
    <w:next w:val="1157"/>
    <w:link w:val="1017"/>
  </w:style>
  <w:style w:type="character" w:styleId="1158">
    <w:name w:val="WW8Num25z2"/>
    <w:next w:val="1158"/>
    <w:link w:val="1017"/>
  </w:style>
  <w:style w:type="character" w:styleId="1159">
    <w:name w:val="WW8Num25z3"/>
    <w:next w:val="1159"/>
    <w:link w:val="1017"/>
  </w:style>
  <w:style w:type="character" w:styleId="1160">
    <w:name w:val="WW8Num25z4"/>
    <w:next w:val="1160"/>
    <w:link w:val="1017"/>
  </w:style>
  <w:style w:type="character" w:styleId="1161">
    <w:name w:val="WW8Num25z5"/>
    <w:next w:val="1161"/>
    <w:link w:val="1017"/>
  </w:style>
  <w:style w:type="character" w:styleId="1162">
    <w:name w:val="WW8Num25z6"/>
    <w:next w:val="1162"/>
    <w:link w:val="1017"/>
  </w:style>
  <w:style w:type="character" w:styleId="1163">
    <w:name w:val="WW8Num25z7"/>
    <w:next w:val="1163"/>
    <w:link w:val="1017"/>
  </w:style>
  <w:style w:type="character" w:styleId="1164">
    <w:name w:val="WW8Num25z8"/>
    <w:next w:val="1164"/>
    <w:link w:val="1017"/>
  </w:style>
  <w:style w:type="character" w:styleId="1165">
    <w:name w:val="WW8Num26z0"/>
    <w:next w:val="1165"/>
    <w:link w:val="1017"/>
  </w:style>
  <w:style w:type="character" w:styleId="1166">
    <w:name w:val="WW8Num26z1"/>
    <w:next w:val="1166"/>
    <w:link w:val="1017"/>
  </w:style>
  <w:style w:type="character" w:styleId="1167">
    <w:name w:val="WW8Num26z2"/>
    <w:next w:val="1167"/>
    <w:link w:val="1017"/>
  </w:style>
  <w:style w:type="character" w:styleId="1168">
    <w:name w:val="WW8Num26z3"/>
    <w:next w:val="1168"/>
    <w:link w:val="1017"/>
  </w:style>
  <w:style w:type="character" w:styleId="1169">
    <w:name w:val="WW8Num26z4"/>
    <w:next w:val="1169"/>
    <w:link w:val="1017"/>
  </w:style>
  <w:style w:type="character" w:styleId="1170">
    <w:name w:val="WW8Num26z5"/>
    <w:next w:val="1170"/>
    <w:link w:val="1017"/>
  </w:style>
  <w:style w:type="character" w:styleId="1171">
    <w:name w:val="WW8Num26z6"/>
    <w:next w:val="1171"/>
    <w:link w:val="1017"/>
  </w:style>
  <w:style w:type="character" w:styleId="1172">
    <w:name w:val="WW8Num26z7"/>
    <w:next w:val="1172"/>
    <w:link w:val="1017"/>
  </w:style>
  <w:style w:type="character" w:styleId="1173">
    <w:name w:val="WW8Num26z8"/>
    <w:next w:val="1173"/>
    <w:link w:val="1017"/>
  </w:style>
  <w:style w:type="character" w:styleId="1174">
    <w:name w:val="WW8Num27z0"/>
    <w:next w:val="1174"/>
    <w:link w:val="1017"/>
    <w:rPr>
      <w:rFonts w:eastAsia="Times New Roman"/>
    </w:rPr>
  </w:style>
  <w:style w:type="character" w:styleId="1175">
    <w:name w:val="WW8Num28z0"/>
    <w:next w:val="1175"/>
    <w:link w:val="1017"/>
  </w:style>
  <w:style w:type="character" w:styleId="1176">
    <w:name w:val="WW8Num29z0"/>
    <w:next w:val="1176"/>
    <w:link w:val="1017"/>
  </w:style>
  <w:style w:type="character" w:styleId="1177">
    <w:name w:val="WW8Num29z1"/>
    <w:next w:val="1177"/>
    <w:link w:val="1017"/>
  </w:style>
  <w:style w:type="character" w:styleId="1178">
    <w:name w:val="WW8Num29z2"/>
    <w:next w:val="1178"/>
    <w:link w:val="1017"/>
  </w:style>
  <w:style w:type="character" w:styleId="1179">
    <w:name w:val="WW8Num29z3"/>
    <w:next w:val="1179"/>
    <w:link w:val="1017"/>
  </w:style>
  <w:style w:type="character" w:styleId="1180">
    <w:name w:val="WW8Num29z4"/>
    <w:next w:val="1180"/>
    <w:link w:val="1017"/>
  </w:style>
  <w:style w:type="character" w:styleId="1181">
    <w:name w:val="WW8Num29z5"/>
    <w:next w:val="1181"/>
    <w:link w:val="1017"/>
  </w:style>
  <w:style w:type="character" w:styleId="1182">
    <w:name w:val="WW8Num29z6"/>
    <w:next w:val="1182"/>
    <w:link w:val="1017"/>
  </w:style>
  <w:style w:type="character" w:styleId="1183">
    <w:name w:val="WW8Num29z7"/>
    <w:next w:val="1183"/>
    <w:link w:val="1017"/>
  </w:style>
  <w:style w:type="character" w:styleId="1184">
    <w:name w:val="WW8Num29z8"/>
    <w:next w:val="1184"/>
    <w:link w:val="1017"/>
  </w:style>
  <w:style w:type="character" w:styleId="1185">
    <w:name w:val="WW8Num30z0"/>
    <w:next w:val="1185"/>
    <w:link w:val="1017"/>
    <w:rPr>
      <w:rFonts w:ascii="Times New Roman" w:hAnsi="Times New Roman" w:eastAsia="Times New Roman" w:cs="Times New Roman"/>
    </w:rPr>
  </w:style>
  <w:style w:type="character" w:styleId="1186">
    <w:name w:val="WW8Num30z1"/>
    <w:next w:val="1186"/>
    <w:link w:val="1017"/>
    <w:rPr>
      <w:rFonts w:ascii="Courier New" w:hAnsi="Courier New" w:cs="Courier New"/>
    </w:rPr>
  </w:style>
  <w:style w:type="character" w:styleId="1187">
    <w:name w:val="WW8Num30z2"/>
    <w:next w:val="1187"/>
    <w:link w:val="1017"/>
    <w:rPr>
      <w:rFonts w:ascii="Wingdings" w:hAnsi="Wingdings" w:cs="Wingdings"/>
    </w:rPr>
  </w:style>
  <w:style w:type="character" w:styleId="1188">
    <w:name w:val="WW8Num30z3"/>
    <w:next w:val="1188"/>
    <w:link w:val="1017"/>
    <w:rPr>
      <w:rFonts w:ascii="Symbol" w:hAnsi="Symbol" w:cs="Symbol"/>
    </w:rPr>
  </w:style>
  <w:style w:type="character" w:styleId="1189">
    <w:name w:val="WW8Num31z0"/>
    <w:next w:val="1189"/>
    <w:link w:val="1017"/>
  </w:style>
  <w:style w:type="character" w:styleId="1190">
    <w:name w:val="WW8Num32z0"/>
    <w:next w:val="1190"/>
    <w:link w:val="1017"/>
  </w:style>
  <w:style w:type="character" w:styleId="1191">
    <w:name w:val="WW8Num33z0"/>
    <w:next w:val="1191"/>
    <w:link w:val="1017"/>
    <w:rPr>
      <w:rFonts w:eastAsia="Times New Roman"/>
    </w:rPr>
  </w:style>
  <w:style w:type="character" w:styleId="1192">
    <w:name w:val="WW8Num34z0"/>
    <w:next w:val="1192"/>
    <w:link w:val="1017"/>
  </w:style>
  <w:style w:type="character" w:styleId="1193">
    <w:name w:val="WW8Num35z0"/>
    <w:next w:val="1193"/>
    <w:link w:val="1017"/>
    <w:rPr>
      <w:rFonts w:ascii="Times New Roman" w:hAnsi="Times New Roman" w:eastAsia="Times New Roman" w:cs="Times New Roman"/>
    </w:rPr>
  </w:style>
  <w:style w:type="character" w:styleId="1194">
    <w:name w:val="WW8Num35z1"/>
    <w:next w:val="1194"/>
    <w:link w:val="1017"/>
  </w:style>
  <w:style w:type="character" w:styleId="1195">
    <w:name w:val="WW8Num35z2"/>
    <w:next w:val="1195"/>
    <w:link w:val="1017"/>
  </w:style>
  <w:style w:type="character" w:styleId="1196">
    <w:name w:val="WW8Num35z3"/>
    <w:next w:val="1196"/>
    <w:link w:val="1017"/>
  </w:style>
  <w:style w:type="character" w:styleId="1197">
    <w:name w:val="WW8Num35z4"/>
    <w:next w:val="1197"/>
    <w:link w:val="1017"/>
  </w:style>
  <w:style w:type="character" w:styleId="1198">
    <w:name w:val="WW8Num35z5"/>
    <w:next w:val="1198"/>
    <w:link w:val="1017"/>
  </w:style>
  <w:style w:type="character" w:styleId="1199">
    <w:name w:val="WW8Num35z6"/>
    <w:next w:val="1199"/>
    <w:link w:val="1017"/>
  </w:style>
  <w:style w:type="character" w:styleId="1200">
    <w:name w:val="WW8Num35z7"/>
    <w:next w:val="1200"/>
    <w:link w:val="1017"/>
  </w:style>
  <w:style w:type="character" w:styleId="1201">
    <w:name w:val="WW8Num35z8"/>
    <w:next w:val="1201"/>
    <w:link w:val="1017"/>
  </w:style>
  <w:style w:type="character" w:styleId="1202">
    <w:name w:val="WW8Num36z0"/>
    <w:next w:val="1202"/>
    <w:link w:val="1017"/>
  </w:style>
  <w:style w:type="character" w:styleId="1203">
    <w:name w:val="WW8Num36z1"/>
    <w:next w:val="1203"/>
    <w:link w:val="1017"/>
  </w:style>
  <w:style w:type="character" w:styleId="1204">
    <w:name w:val="WW8Num36z2"/>
    <w:next w:val="1204"/>
    <w:link w:val="1017"/>
  </w:style>
  <w:style w:type="character" w:styleId="1205">
    <w:name w:val="WW8Num36z3"/>
    <w:next w:val="1205"/>
    <w:link w:val="1017"/>
  </w:style>
  <w:style w:type="character" w:styleId="1206">
    <w:name w:val="WW8Num36z4"/>
    <w:next w:val="1206"/>
    <w:link w:val="1017"/>
  </w:style>
  <w:style w:type="character" w:styleId="1207">
    <w:name w:val="WW8Num36z5"/>
    <w:next w:val="1207"/>
    <w:link w:val="1017"/>
  </w:style>
  <w:style w:type="character" w:styleId="1208">
    <w:name w:val="WW8Num36z6"/>
    <w:next w:val="1208"/>
    <w:link w:val="1017"/>
  </w:style>
  <w:style w:type="character" w:styleId="1209">
    <w:name w:val="WW8Num36z7"/>
    <w:next w:val="1209"/>
    <w:link w:val="1017"/>
  </w:style>
  <w:style w:type="character" w:styleId="1210">
    <w:name w:val="WW8Num36z8"/>
    <w:next w:val="1210"/>
    <w:link w:val="1017"/>
  </w:style>
  <w:style w:type="character" w:styleId="1211">
    <w:name w:val="WW8Num37z0"/>
    <w:next w:val="1211"/>
    <w:link w:val="1017"/>
    <w:rPr>
      <w:sz w:val="22"/>
      <w:szCs w:val="22"/>
    </w:rPr>
  </w:style>
  <w:style w:type="character" w:styleId="1212">
    <w:name w:val="WW8Num38z0"/>
    <w:next w:val="1212"/>
    <w:link w:val="1017"/>
    <w:rPr>
      <w:b/>
      <w:i w:val="0"/>
      <w:sz w:val="22"/>
      <w:szCs w:val="22"/>
    </w:rPr>
  </w:style>
  <w:style w:type="character" w:styleId="1213">
    <w:name w:val="WW8Num38z1"/>
    <w:next w:val="1213"/>
    <w:link w:val="1017"/>
  </w:style>
  <w:style w:type="character" w:styleId="1214">
    <w:name w:val="WW8Num38z2"/>
    <w:next w:val="1214"/>
    <w:link w:val="1017"/>
  </w:style>
  <w:style w:type="character" w:styleId="1215">
    <w:name w:val="WW8Num38z3"/>
    <w:next w:val="1215"/>
    <w:link w:val="1017"/>
  </w:style>
  <w:style w:type="character" w:styleId="1216">
    <w:name w:val="WW8Num38z4"/>
    <w:next w:val="1216"/>
    <w:link w:val="1017"/>
  </w:style>
  <w:style w:type="character" w:styleId="1217">
    <w:name w:val="WW8Num38z5"/>
    <w:next w:val="1217"/>
    <w:link w:val="1017"/>
  </w:style>
  <w:style w:type="character" w:styleId="1218">
    <w:name w:val="WW8Num38z6"/>
    <w:next w:val="1218"/>
    <w:link w:val="1017"/>
  </w:style>
  <w:style w:type="character" w:styleId="1219">
    <w:name w:val="WW8Num38z7"/>
    <w:next w:val="1219"/>
    <w:link w:val="1017"/>
  </w:style>
  <w:style w:type="character" w:styleId="1220">
    <w:name w:val="WW8Num38z8"/>
    <w:next w:val="1220"/>
    <w:link w:val="1017"/>
  </w:style>
  <w:style w:type="character" w:styleId="1221">
    <w:name w:val="WW8Num39z0"/>
    <w:next w:val="1221"/>
    <w:link w:val="1017"/>
  </w:style>
  <w:style w:type="character" w:styleId="1222">
    <w:name w:val="WW8Num39z1"/>
    <w:next w:val="1222"/>
    <w:link w:val="1017"/>
  </w:style>
  <w:style w:type="character" w:styleId="1223">
    <w:name w:val="WW8Num39z2"/>
    <w:next w:val="1223"/>
    <w:link w:val="1017"/>
  </w:style>
  <w:style w:type="character" w:styleId="1224">
    <w:name w:val="WW8Num39z3"/>
    <w:next w:val="1224"/>
    <w:link w:val="1017"/>
  </w:style>
  <w:style w:type="character" w:styleId="1225">
    <w:name w:val="WW8Num39z4"/>
    <w:next w:val="1225"/>
    <w:link w:val="1017"/>
  </w:style>
  <w:style w:type="character" w:styleId="1226">
    <w:name w:val="WW8Num39z5"/>
    <w:next w:val="1226"/>
    <w:link w:val="1017"/>
  </w:style>
  <w:style w:type="character" w:styleId="1227">
    <w:name w:val="WW8Num39z6"/>
    <w:next w:val="1227"/>
    <w:link w:val="1017"/>
  </w:style>
  <w:style w:type="character" w:styleId="1228">
    <w:name w:val="WW8Num39z7"/>
    <w:next w:val="1228"/>
    <w:link w:val="1017"/>
  </w:style>
  <w:style w:type="character" w:styleId="1229">
    <w:name w:val="WW8Num39z8"/>
    <w:next w:val="1229"/>
    <w:link w:val="1017"/>
  </w:style>
  <w:style w:type="character" w:styleId="1230">
    <w:name w:val="WW8Num40z0"/>
    <w:next w:val="1230"/>
    <w:link w:val="1017"/>
    <w:rPr>
      <w:rFonts w:ascii="Symbol" w:hAnsi="Symbol" w:cs="Symbol"/>
    </w:rPr>
  </w:style>
  <w:style w:type="character" w:styleId="1231">
    <w:name w:val="WW8Num40z1"/>
    <w:next w:val="1231"/>
    <w:link w:val="1017"/>
    <w:rPr>
      <w:rFonts w:ascii="Courier New" w:hAnsi="Courier New" w:cs="Courier New"/>
    </w:rPr>
  </w:style>
  <w:style w:type="character" w:styleId="1232">
    <w:name w:val="WW8Num40z2"/>
    <w:next w:val="1232"/>
    <w:link w:val="1017"/>
    <w:rPr>
      <w:rFonts w:ascii="Wingdings" w:hAnsi="Wingdings" w:cs="Wingdings"/>
    </w:rPr>
  </w:style>
  <w:style w:type="character" w:styleId="1233">
    <w:name w:val="WW8Num41z0"/>
    <w:next w:val="1233"/>
    <w:link w:val="1017"/>
    <w:rPr>
      <w:rFonts w:ascii="Wingdings" w:hAnsi="Wingdings" w:cs="Wingdings"/>
    </w:rPr>
  </w:style>
  <w:style w:type="character" w:styleId="1234">
    <w:name w:val="WW8Num41z1"/>
    <w:next w:val="1234"/>
    <w:link w:val="1017"/>
    <w:rPr>
      <w:rFonts w:ascii="Courier New" w:hAnsi="Courier New" w:cs="Courier New"/>
    </w:rPr>
  </w:style>
  <w:style w:type="character" w:styleId="1235">
    <w:name w:val="WW8Num41z3"/>
    <w:next w:val="1235"/>
    <w:link w:val="1017"/>
    <w:rPr>
      <w:rFonts w:ascii="Symbol" w:hAnsi="Symbol" w:cs="Symbol"/>
    </w:rPr>
  </w:style>
  <w:style w:type="character" w:styleId="1236">
    <w:name w:val="WW8Num42z0"/>
    <w:next w:val="1236"/>
    <w:link w:val="1017"/>
  </w:style>
  <w:style w:type="character" w:styleId="1237">
    <w:name w:val="WW8Num42z1"/>
    <w:next w:val="1237"/>
    <w:link w:val="1017"/>
  </w:style>
  <w:style w:type="character" w:styleId="1238">
    <w:name w:val="WW8Num42z2"/>
    <w:next w:val="1238"/>
    <w:link w:val="1017"/>
  </w:style>
  <w:style w:type="character" w:styleId="1239">
    <w:name w:val="WW8Num42z3"/>
    <w:next w:val="1239"/>
    <w:link w:val="1017"/>
  </w:style>
  <w:style w:type="character" w:styleId="1240">
    <w:name w:val="WW8Num42z4"/>
    <w:next w:val="1240"/>
    <w:link w:val="1017"/>
  </w:style>
  <w:style w:type="character" w:styleId="1241">
    <w:name w:val="WW8Num42z5"/>
    <w:next w:val="1241"/>
    <w:link w:val="1017"/>
  </w:style>
  <w:style w:type="character" w:styleId="1242">
    <w:name w:val="WW8Num42z6"/>
    <w:next w:val="1242"/>
    <w:link w:val="1017"/>
  </w:style>
  <w:style w:type="character" w:styleId="1243">
    <w:name w:val="WW8Num42z7"/>
    <w:next w:val="1243"/>
    <w:link w:val="1017"/>
  </w:style>
  <w:style w:type="character" w:styleId="1244">
    <w:name w:val="WW8Num42z8"/>
    <w:next w:val="1244"/>
    <w:link w:val="1017"/>
  </w:style>
  <w:style w:type="character" w:styleId="1245">
    <w:name w:val="WW8Num43z0"/>
    <w:next w:val="1245"/>
    <w:link w:val="1017"/>
  </w:style>
  <w:style w:type="character" w:styleId="1246">
    <w:name w:val="WW8Num43z1"/>
    <w:next w:val="1246"/>
    <w:link w:val="1017"/>
  </w:style>
  <w:style w:type="character" w:styleId="1247">
    <w:name w:val="WW8Num43z2"/>
    <w:next w:val="1247"/>
    <w:link w:val="1017"/>
  </w:style>
  <w:style w:type="character" w:styleId="1248">
    <w:name w:val="WW8Num43z3"/>
    <w:next w:val="1248"/>
    <w:link w:val="1017"/>
  </w:style>
  <w:style w:type="character" w:styleId="1249">
    <w:name w:val="WW8Num43z4"/>
    <w:next w:val="1249"/>
    <w:link w:val="1017"/>
  </w:style>
  <w:style w:type="character" w:styleId="1250">
    <w:name w:val="WW8Num43z5"/>
    <w:next w:val="1250"/>
    <w:link w:val="1017"/>
  </w:style>
  <w:style w:type="character" w:styleId="1251">
    <w:name w:val="WW8Num43z6"/>
    <w:next w:val="1251"/>
    <w:link w:val="1017"/>
  </w:style>
  <w:style w:type="character" w:styleId="1252">
    <w:name w:val="WW8Num43z7"/>
    <w:next w:val="1252"/>
    <w:link w:val="1017"/>
  </w:style>
  <w:style w:type="character" w:styleId="1253">
    <w:name w:val="WW8Num43z8"/>
    <w:next w:val="1253"/>
    <w:link w:val="1017"/>
  </w:style>
  <w:style w:type="character" w:styleId="1254">
    <w:name w:val="WW8Num44z0"/>
    <w:next w:val="1254"/>
    <w:link w:val="1017"/>
  </w:style>
  <w:style w:type="character" w:styleId="1255">
    <w:name w:val="Основной шрифт абзаца1"/>
    <w:next w:val="1255"/>
    <w:link w:val="1017"/>
  </w:style>
  <w:style w:type="character" w:styleId="1256">
    <w:name w:val="Номер страницы"/>
    <w:basedOn w:val="1255"/>
    <w:next w:val="1256"/>
    <w:link w:val="1017"/>
  </w:style>
  <w:style w:type="character" w:styleId="1257">
    <w:name w:val="Font Style19"/>
    <w:next w:val="1257"/>
    <w:link w:val="1017"/>
    <w:rPr>
      <w:rFonts w:ascii="Sylfaen" w:hAnsi="Sylfaen" w:cs="Sylfaen"/>
      <w:sz w:val="24"/>
      <w:szCs w:val="24"/>
    </w:rPr>
  </w:style>
  <w:style w:type="character" w:styleId="1258">
    <w:name w:val="Текст Знак"/>
    <w:next w:val="1258"/>
    <w:link w:val="1017"/>
    <w:rPr>
      <w:rFonts w:ascii="Courier New" w:hAnsi="Courier New" w:cs="Courier New"/>
    </w:rPr>
  </w:style>
  <w:style w:type="character" w:styleId="1259">
    <w:name w:val="Гиперссылка"/>
    <w:next w:val="1259"/>
    <w:link w:val="1017"/>
    <w:uiPriority w:val="99"/>
    <w:rPr>
      <w:color w:val="0000ff"/>
      <w:u w:val="single"/>
    </w:rPr>
  </w:style>
  <w:style w:type="character" w:styleId="1260">
    <w:name w:val="Font Style28"/>
    <w:next w:val="1260"/>
    <w:link w:val="1017"/>
    <w:rPr>
      <w:rFonts w:ascii="Times New Roman" w:hAnsi="Times New Roman" w:cs="Times New Roman"/>
      <w:sz w:val="26"/>
      <w:szCs w:val="26"/>
    </w:rPr>
  </w:style>
  <w:style w:type="character" w:styleId="1261">
    <w:name w:val="Font Style13"/>
    <w:next w:val="1261"/>
    <w:link w:val="1017"/>
    <w:rPr>
      <w:rFonts w:ascii="Times New Roman" w:hAnsi="Times New Roman" w:cs="Times New Roman"/>
      <w:sz w:val="24"/>
      <w:szCs w:val="24"/>
    </w:rPr>
  </w:style>
  <w:style w:type="character" w:styleId="1262">
    <w:name w:val="Основной текст Знак"/>
    <w:next w:val="1262"/>
    <w:link w:val="1017"/>
    <w:rPr>
      <w:sz w:val="24"/>
    </w:rPr>
  </w:style>
  <w:style w:type="character" w:styleId="1263">
    <w:name w:val="Абзац списка Знак"/>
    <w:next w:val="1263"/>
    <w:link w:val="1017"/>
    <w:uiPriority w:val="34"/>
  </w:style>
  <w:style w:type="character" w:styleId="1264">
    <w:name w:val="Font Style17"/>
    <w:next w:val="1264"/>
    <w:link w:val="1017"/>
    <w:rPr>
      <w:rFonts w:ascii="Sylfaen" w:hAnsi="Sylfaen" w:cs="Sylfaen"/>
      <w:b/>
      <w:bCs/>
      <w:sz w:val="24"/>
      <w:szCs w:val="24"/>
    </w:rPr>
  </w:style>
  <w:style w:type="character" w:styleId="1265">
    <w:name w:val="Без интервала Знак"/>
    <w:next w:val="1265"/>
    <w:link w:val="1017"/>
    <w:rPr>
      <w:rFonts w:ascii="Calibri" w:hAnsi="Calibri" w:cs="Calibri"/>
      <w:sz w:val="22"/>
      <w:szCs w:val="22"/>
      <w:lang w:val="en-US" w:eastAsia="en-US" w:bidi="en-US"/>
    </w:rPr>
  </w:style>
  <w:style w:type="character" w:styleId="1266">
    <w:name w:val="Font Style29"/>
    <w:next w:val="1266"/>
    <w:link w:val="1017"/>
    <w:uiPriority w:val="99"/>
    <w:rPr>
      <w:rFonts w:ascii="Times New Roman" w:hAnsi="Times New Roman" w:cs="Times New Roman"/>
      <w:sz w:val="26"/>
      <w:szCs w:val="26"/>
    </w:rPr>
  </w:style>
  <w:style w:type="character" w:styleId="1267">
    <w:name w:val="Font Style22"/>
    <w:next w:val="1267"/>
    <w:link w:val="1017"/>
    <w:rPr>
      <w:rFonts w:ascii="Times New Roman" w:hAnsi="Times New Roman" w:cs="Times New Roman"/>
      <w:sz w:val="26"/>
      <w:szCs w:val="26"/>
    </w:rPr>
  </w:style>
  <w:style w:type="character" w:styleId="1268">
    <w:name w:val="Font Style32"/>
    <w:next w:val="1268"/>
    <w:link w:val="1017"/>
    <w:rPr>
      <w:rFonts w:ascii="Times New Roman" w:hAnsi="Times New Roman" w:cs="Times New Roman"/>
      <w:sz w:val="26"/>
      <w:szCs w:val="26"/>
    </w:rPr>
  </w:style>
  <w:style w:type="character" w:styleId="1269">
    <w:name w:val="Основной текст с отступом Знак"/>
    <w:next w:val="1269"/>
    <w:link w:val="1017"/>
    <w:rPr>
      <w:sz w:val="26"/>
    </w:rPr>
  </w:style>
  <w:style w:type="character" w:styleId="1270">
    <w:name w:val="Текст выноски Знак"/>
    <w:next w:val="1270"/>
    <w:link w:val="1017"/>
    <w:rPr>
      <w:rFonts w:ascii="Segoe UI" w:hAnsi="Segoe UI" w:cs="Segoe UI"/>
      <w:sz w:val="18"/>
      <w:szCs w:val="18"/>
    </w:rPr>
  </w:style>
  <w:style w:type="character" w:styleId="1271">
    <w:name w:val="ConsPlusNormal Знак"/>
    <w:next w:val="1271"/>
    <w:link w:val="1017"/>
    <w:rPr>
      <w:rFonts w:ascii="Arial" w:hAnsi="Arial" w:cs="Arial"/>
      <w:lang w:val="ru-RU" w:eastAsia="ar-SA" w:bidi="ar-SA"/>
    </w:rPr>
  </w:style>
  <w:style w:type="character" w:styleId="1272">
    <w:name w:val="Font Style27"/>
    <w:next w:val="1272"/>
    <w:link w:val="1017"/>
    <w:rPr>
      <w:rFonts w:ascii="Times New Roman" w:hAnsi="Times New Roman" w:cs="Times New Roman"/>
      <w:sz w:val="26"/>
      <w:szCs w:val="26"/>
    </w:rPr>
  </w:style>
  <w:style w:type="character" w:styleId="1273">
    <w:name w:val="Просмотренная гиперссылка"/>
    <w:next w:val="1273"/>
    <w:link w:val="1017"/>
    <w:rPr>
      <w:color w:val="800080"/>
      <w:u w:val="single"/>
    </w:rPr>
  </w:style>
  <w:style w:type="paragraph" w:styleId="1274">
    <w:name w:val="Заголовок"/>
    <w:basedOn w:val="1017"/>
    <w:next w:val="1275"/>
    <w:link w:val="1017"/>
    <w:qFormat/>
    <w:pPr>
      <w:keepNext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1275">
    <w:name w:val="Основной текст"/>
    <w:basedOn w:val="1017"/>
    <w:next w:val="1275"/>
    <w:link w:val="1017"/>
    <w:pPr>
      <w:jc w:val="both"/>
    </w:pPr>
    <w:rPr>
      <w:sz w:val="24"/>
      <w:lang w:val="en-US"/>
    </w:rPr>
  </w:style>
  <w:style w:type="paragraph" w:styleId="1276">
    <w:name w:val="Список"/>
    <w:basedOn w:val="1275"/>
    <w:next w:val="1276"/>
    <w:link w:val="1017"/>
    <w:rPr>
      <w:rFonts w:cs="Arial"/>
    </w:rPr>
  </w:style>
  <w:style w:type="paragraph" w:styleId="1277">
    <w:name w:val="Название1"/>
    <w:basedOn w:val="1017"/>
    <w:next w:val="1277"/>
    <w:link w:val="1017"/>
    <w:pPr>
      <w:spacing w:before="120" w:after="120"/>
      <w:suppressLineNumbers/>
    </w:pPr>
    <w:rPr>
      <w:rFonts w:cs="Arial"/>
      <w:i/>
      <w:iCs/>
      <w:sz w:val="24"/>
      <w:szCs w:val="24"/>
    </w:rPr>
  </w:style>
  <w:style w:type="paragraph" w:styleId="1278">
    <w:name w:val="Указатель1"/>
    <w:basedOn w:val="1017"/>
    <w:next w:val="1278"/>
    <w:link w:val="1017"/>
    <w:pPr>
      <w:suppressLineNumbers/>
    </w:pPr>
    <w:rPr>
      <w:rFonts w:cs="Arial"/>
    </w:rPr>
  </w:style>
  <w:style w:type="paragraph" w:styleId="1279">
    <w:name w:val="Основной текст с отступом"/>
    <w:basedOn w:val="1017"/>
    <w:next w:val="1279"/>
    <w:link w:val="1017"/>
    <w:pPr>
      <w:ind w:left="2410" w:right="0" w:hanging="2410"/>
      <w:jc w:val="both"/>
    </w:pPr>
    <w:rPr>
      <w:sz w:val="26"/>
      <w:lang w:val="en-US"/>
    </w:rPr>
  </w:style>
  <w:style w:type="paragraph" w:styleId="1280">
    <w:name w:val="Основной текст с отступом 21"/>
    <w:basedOn w:val="1017"/>
    <w:next w:val="1280"/>
    <w:link w:val="1017"/>
    <w:pPr>
      <w:ind w:left="1985" w:right="0" w:hanging="1985"/>
      <w:jc w:val="both"/>
    </w:pPr>
    <w:rPr>
      <w:sz w:val="26"/>
    </w:rPr>
  </w:style>
  <w:style w:type="paragraph" w:styleId="1281">
    <w:name w:val="Основной текст с отступом 31"/>
    <w:basedOn w:val="1017"/>
    <w:next w:val="1281"/>
    <w:link w:val="1017"/>
    <w:pPr>
      <w:ind w:left="1985" w:right="0" w:firstLine="0"/>
      <w:jc w:val="both"/>
    </w:pPr>
    <w:rPr>
      <w:sz w:val="26"/>
    </w:rPr>
  </w:style>
  <w:style w:type="paragraph" w:styleId="1282">
    <w:name w:val="Основной текст 21"/>
    <w:basedOn w:val="1017"/>
    <w:next w:val="1282"/>
    <w:link w:val="1017"/>
    <w:rPr>
      <w:sz w:val="22"/>
    </w:rPr>
  </w:style>
  <w:style w:type="paragraph" w:styleId="1283">
    <w:name w:val="Верхний колонтитул"/>
    <w:basedOn w:val="1017"/>
    <w:next w:val="1283"/>
    <w:link w:val="1017"/>
    <w:pPr>
      <w:tabs>
        <w:tab w:val="center" w:pos="4153" w:leader="none"/>
        <w:tab w:val="right" w:pos="8306" w:leader="none"/>
      </w:tabs>
    </w:pPr>
  </w:style>
  <w:style w:type="paragraph" w:styleId="1284">
    <w:name w:val="Нижний колонтитул"/>
    <w:basedOn w:val="1017"/>
    <w:next w:val="1284"/>
    <w:link w:val="1017"/>
    <w:pPr>
      <w:tabs>
        <w:tab w:val="center" w:pos="4153" w:leader="none"/>
        <w:tab w:val="right" w:pos="8306" w:leader="none"/>
      </w:tabs>
    </w:pPr>
  </w:style>
  <w:style w:type="paragraph" w:styleId="1285">
    <w:name w:val="ConsTitle"/>
    <w:next w:val="1285"/>
    <w:link w:val="1017"/>
    <w:rPr>
      <w:rFonts w:ascii="Arial" w:hAnsi="Arial" w:cs="Arial"/>
      <w:b/>
      <w:bCs/>
      <w:lang w:val="ru-RU" w:eastAsia="ar-SA" w:bidi="ar-SA"/>
    </w:rPr>
  </w:style>
  <w:style w:type="paragraph" w:styleId="1286">
    <w:name w:val="Знак Знак Знак"/>
    <w:basedOn w:val="1017"/>
    <w:next w:val="1286"/>
    <w:link w:val="1017"/>
    <w:pPr>
      <w:jc w:val="both"/>
      <w:spacing w:before="100" w:after="100"/>
    </w:pPr>
    <w:rPr>
      <w:rFonts w:ascii="Tahoma" w:hAnsi="Tahoma" w:cs="Tahoma"/>
      <w:lang w:val="en-US"/>
    </w:rPr>
  </w:style>
  <w:style w:type="paragraph" w:styleId="1287">
    <w:name w:val="Заголовок статьи"/>
    <w:basedOn w:val="1017"/>
    <w:next w:val="1017"/>
    <w:link w:val="1017"/>
    <w:pPr>
      <w:ind w:left="1612" w:right="0" w:hanging="892"/>
      <w:jc w:val="both"/>
    </w:pPr>
    <w:rPr>
      <w:rFonts w:ascii="Arial" w:hAnsi="Arial" w:cs="Arial"/>
      <w:sz w:val="24"/>
      <w:szCs w:val="24"/>
    </w:rPr>
  </w:style>
  <w:style w:type="paragraph" w:styleId="1288">
    <w:name w:val="ConsPlusNormal"/>
    <w:next w:val="1288"/>
    <w:link w:val="1017"/>
    <w:pPr>
      <w:ind w:firstLine="720"/>
      <w:widowControl w:val="off"/>
    </w:pPr>
    <w:rPr>
      <w:rFonts w:ascii="Arial" w:hAnsi="Arial" w:cs="Arial"/>
      <w:lang w:val="ru-RU" w:eastAsia="ar-SA" w:bidi="ar-SA"/>
    </w:rPr>
  </w:style>
  <w:style w:type="paragraph" w:styleId="1289">
    <w:name w:val="Style3"/>
    <w:basedOn w:val="1017"/>
    <w:next w:val="1289"/>
    <w:link w:val="1017"/>
    <w:pPr>
      <w:ind w:left="0" w:right="0" w:firstLine="685"/>
      <w:jc w:val="both"/>
      <w:spacing w:line="325" w:lineRule="exact"/>
      <w:widowControl w:val="off"/>
    </w:pPr>
    <w:rPr>
      <w:rFonts w:ascii="Sylfaen" w:hAnsi="Sylfaen" w:cs="Sylfaen"/>
      <w:sz w:val="24"/>
      <w:szCs w:val="24"/>
    </w:rPr>
  </w:style>
  <w:style w:type="paragraph" w:styleId="1290">
    <w:name w:val="Текст1"/>
    <w:basedOn w:val="1017"/>
    <w:next w:val="1290"/>
    <w:link w:val="1017"/>
    <w:rPr>
      <w:rFonts w:ascii="Courier New" w:hAnsi="Courier New" w:cs="Courier New"/>
      <w:lang w:val="en-US"/>
    </w:rPr>
  </w:style>
  <w:style w:type="paragraph" w:styleId="1291">
    <w:name w:val="Style21"/>
    <w:basedOn w:val="1017"/>
    <w:next w:val="1291"/>
    <w:link w:val="1017"/>
    <w:pPr>
      <w:ind w:left="0" w:right="0" w:firstLine="734"/>
      <w:jc w:val="both"/>
      <w:spacing w:line="370" w:lineRule="exact"/>
      <w:widowControl w:val="off"/>
    </w:pPr>
    <w:rPr>
      <w:rFonts w:eastAsia="Times New Roman"/>
      <w:sz w:val="24"/>
      <w:szCs w:val="24"/>
    </w:rPr>
  </w:style>
  <w:style w:type="paragraph" w:styleId="1292">
    <w:name w:val="Абзац списка"/>
    <w:basedOn w:val="1017"/>
    <w:next w:val="1292"/>
    <w:link w:val="1017"/>
    <w:uiPriority w:val="34"/>
    <w:qFormat/>
    <w:pPr>
      <w:ind w:left="720" w:right="0" w:firstLine="0"/>
    </w:pPr>
  </w:style>
  <w:style w:type="paragraph" w:styleId="1293">
    <w:name w:val="Style1"/>
    <w:basedOn w:val="1017"/>
    <w:next w:val="1293"/>
    <w:link w:val="1017"/>
    <w:pPr>
      <w:widowControl w:val="off"/>
    </w:pPr>
    <w:rPr>
      <w:sz w:val="24"/>
      <w:szCs w:val="24"/>
    </w:rPr>
  </w:style>
  <w:style w:type="paragraph" w:styleId="1294">
    <w:name w:val="Style2"/>
    <w:basedOn w:val="1017"/>
    <w:next w:val="1294"/>
    <w:link w:val="1017"/>
    <w:pPr>
      <w:widowControl w:val="off"/>
    </w:pPr>
    <w:rPr>
      <w:sz w:val="24"/>
      <w:szCs w:val="24"/>
    </w:rPr>
  </w:style>
  <w:style w:type="paragraph" w:styleId="1295">
    <w:name w:val="Style4"/>
    <w:basedOn w:val="1017"/>
    <w:next w:val="1295"/>
    <w:link w:val="1017"/>
    <w:pPr>
      <w:widowControl w:val="off"/>
    </w:pPr>
    <w:rPr>
      <w:sz w:val="24"/>
      <w:szCs w:val="24"/>
    </w:rPr>
  </w:style>
  <w:style w:type="paragraph" w:styleId="1296">
    <w:name w:val="Обычный полуторный маркированый"/>
    <w:basedOn w:val="1017"/>
    <w:next w:val="1296"/>
    <w:link w:val="1017"/>
    <w:pPr>
      <w:numPr>
        <w:ilvl w:val="0"/>
        <w:numId w:val="8"/>
      </w:numPr>
      <w:jc w:val="both"/>
    </w:pPr>
    <w:rPr>
      <w:sz w:val="24"/>
      <w:szCs w:val="24"/>
    </w:rPr>
  </w:style>
  <w:style w:type="paragraph" w:styleId="1297">
    <w:name w:val="Стиль"/>
    <w:next w:val="1297"/>
    <w:link w:val="1017"/>
    <w:pPr>
      <w:widowControl w:val="off"/>
    </w:pPr>
    <w:rPr>
      <w:sz w:val="24"/>
      <w:szCs w:val="24"/>
      <w:lang w:val="ru-RU" w:eastAsia="ar-SA" w:bidi="ar-SA"/>
    </w:rPr>
  </w:style>
  <w:style w:type="paragraph" w:styleId="1298">
    <w:name w:val="Style11"/>
    <w:basedOn w:val="1017"/>
    <w:next w:val="1298"/>
    <w:link w:val="1017"/>
    <w:pPr>
      <w:ind w:left="0" w:right="0" w:firstLine="697"/>
      <w:jc w:val="both"/>
      <w:spacing w:line="322" w:lineRule="exact"/>
      <w:widowControl w:val="off"/>
    </w:pPr>
    <w:rPr>
      <w:rFonts w:ascii="Sylfaen" w:hAnsi="Sylfaen" w:cs="Sylfaen"/>
      <w:sz w:val="24"/>
      <w:szCs w:val="24"/>
    </w:rPr>
  </w:style>
  <w:style w:type="paragraph" w:styleId="1299">
    <w:name w:val="ConsPlusNonformat"/>
    <w:next w:val="1299"/>
    <w:link w:val="1017"/>
    <w:pPr>
      <w:widowControl w:val="off"/>
    </w:pPr>
    <w:rPr>
      <w:rFonts w:ascii="Courier New" w:hAnsi="Courier New" w:cs="Courier New"/>
      <w:lang w:val="ru-RU" w:eastAsia="ar-SA" w:bidi="ar-SA"/>
    </w:rPr>
  </w:style>
  <w:style w:type="paragraph" w:styleId="1300">
    <w:name w:val="Прижатый влево"/>
    <w:basedOn w:val="1017"/>
    <w:next w:val="1017"/>
    <w:link w:val="1017"/>
    <w:rPr>
      <w:rFonts w:ascii="Arial" w:hAnsi="Arial" w:cs="Arial"/>
      <w:sz w:val="24"/>
      <w:szCs w:val="24"/>
    </w:rPr>
  </w:style>
  <w:style w:type="paragraph" w:styleId="1301">
    <w:name w:val="Без интервала"/>
    <w:next w:val="1301"/>
    <w:link w:val="1017"/>
    <w:qFormat/>
    <w:rPr>
      <w:rFonts w:ascii="Calibri" w:hAnsi="Calibri" w:cs="Calibri"/>
      <w:sz w:val="22"/>
      <w:szCs w:val="22"/>
      <w:lang w:val="en-US" w:eastAsia="en-US" w:bidi="en-US"/>
    </w:rPr>
  </w:style>
  <w:style w:type="paragraph" w:styleId="1302">
    <w:name w:val="Текст выноски"/>
    <w:basedOn w:val="1017"/>
    <w:next w:val="1302"/>
    <w:link w:val="1017"/>
    <w:rPr>
      <w:rFonts w:ascii="Segoe UI" w:hAnsi="Segoe UI" w:cs="Segoe UI"/>
      <w:sz w:val="18"/>
      <w:szCs w:val="18"/>
      <w:lang w:val="en-US"/>
    </w:rPr>
  </w:style>
  <w:style w:type="paragraph" w:styleId="1303">
    <w:name w:val="List Paragraph"/>
    <w:basedOn w:val="1017"/>
    <w:next w:val="1303"/>
    <w:link w:val="1308"/>
    <w:pPr>
      <w:ind w:left="720" w:right="0" w:firstLine="0"/>
    </w:pPr>
  </w:style>
  <w:style w:type="paragraph" w:styleId="1304">
    <w:name w:val="Содержимое таблицы"/>
    <w:basedOn w:val="1017"/>
    <w:next w:val="1304"/>
    <w:link w:val="1017"/>
    <w:pPr>
      <w:suppressLineNumbers/>
    </w:pPr>
  </w:style>
  <w:style w:type="paragraph" w:styleId="1305">
    <w:name w:val="Заголовок таблицы"/>
    <w:basedOn w:val="1304"/>
    <w:next w:val="1305"/>
    <w:link w:val="1017"/>
    <w:pPr>
      <w:jc w:val="center"/>
      <w:suppressLineNumbers/>
    </w:pPr>
    <w:rPr>
      <w:b/>
      <w:bCs/>
    </w:rPr>
  </w:style>
  <w:style w:type="paragraph" w:styleId="1306">
    <w:name w:val="Содержимое врезки"/>
    <w:basedOn w:val="1275"/>
    <w:next w:val="1306"/>
    <w:link w:val="1017"/>
  </w:style>
  <w:style w:type="character" w:styleId="1307">
    <w:name w:val="Font Style11"/>
    <w:next w:val="1307"/>
    <w:link w:val="1017"/>
    <w:rPr>
      <w:rFonts w:ascii="Times New Roman" w:hAnsi="Times New Roman" w:cs="Times New Roman"/>
      <w:sz w:val="26"/>
      <w:szCs w:val="26"/>
    </w:rPr>
  </w:style>
  <w:style w:type="character" w:styleId="1308">
    <w:name w:val="List Paragraph Char"/>
    <w:next w:val="1308"/>
    <w:link w:val="1303"/>
    <w:rPr>
      <w:lang w:val="ru-RU" w:eastAsia="ar-SA" w:bidi="ar-SA"/>
    </w:rPr>
  </w:style>
  <w:style w:type="character" w:styleId="1309">
    <w:name w:val="Основной текст (2)_"/>
    <w:next w:val="1309"/>
    <w:link w:val="1310"/>
    <w:rPr>
      <w:sz w:val="28"/>
      <w:shd w:val="clear" w:color="auto" w:fill="ffffff"/>
      <w:lang w:bidi="ar-SA"/>
    </w:rPr>
  </w:style>
  <w:style w:type="paragraph" w:styleId="1310">
    <w:name w:val="Основной текст (2)"/>
    <w:basedOn w:val="1017"/>
    <w:next w:val="1310"/>
    <w:link w:val="1309"/>
    <w:pPr>
      <w:jc w:val="center"/>
      <w:spacing w:before="120" w:after="120" w:line="308" w:lineRule="exact"/>
      <w:shd w:val="clear" w:color="auto" w:fill="ffffff"/>
      <w:widowControl w:val="off"/>
    </w:pPr>
    <w:rPr>
      <w:sz w:val="28"/>
      <w:shd w:val="clear" w:color="auto" w:fill="ffffff"/>
    </w:rPr>
  </w:style>
  <w:style w:type="paragraph" w:styleId="1311">
    <w:name w:val="ConsPlusTitle"/>
    <w:next w:val="1311"/>
    <w:link w:val="1017"/>
    <w:pPr>
      <w:widowControl w:val="off"/>
    </w:pPr>
    <w:rPr>
      <w:b/>
      <w:sz w:val="28"/>
      <w:lang w:val="ru-RU" w:eastAsia="ru-RU" w:bidi="ar-SA"/>
    </w:rPr>
  </w:style>
  <w:style w:type="character" w:styleId="1312" w:default="1">
    <w:name w:val="Default Paragraph Font"/>
    <w:uiPriority w:val="1"/>
    <w:semiHidden/>
    <w:unhideWhenUsed/>
  </w:style>
  <w:style w:type="numbering" w:styleId="1313" w:default="1">
    <w:name w:val="No List"/>
    <w:uiPriority w:val="99"/>
    <w:semiHidden/>
    <w:unhideWhenUsed/>
  </w:style>
  <w:style w:type="table" w:styleId="1314" w:default="1">
    <w:name w:val="Normal Table"/>
    <w:uiPriority w:val="99"/>
    <w:semiHidden/>
    <w:unhideWhenUsed/>
    <w:tblPr/>
  </w:style>
  <w:style w:type="paragraph" w:styleId="1315" w:customStyle="1">
    <w:name w:val="Normal (Web)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316" w:customStyle="1">
    <w:name w:val="Body Text"/>
    <w:link w:val="958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12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1317" w:customStyle="1">
    <w:name w:val="Гиперссылка1"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hyperlink" Target="https://login.consultant.ru/link/?req=doc&amp;base=LAW&amp;n=451852" TargetMode="External"/><Relationship Id="rId16" Type="http://schemas.openxmlformats.org/officeDocument/2006/relationships/hyperlink" Target="https://login.consultant.ru/link/?req=doc&amp;base=LAW&amp;n=477510" TargetMode="External"/><Relationship Id="rId17" Type="http://schemas.openxmlformats.org/officeDocument/2006/relationships/hyperlink" Target="https://login.consultant.ru/link/?req=doc&amp;base=LAW&amp;n=464881" TargetMode="External"/><Relationship Id="rId18" Type="http://schemas.openxmlformats.org/officeDocument/2006/relationships/hyperlink" Target="https://login.consultant.ru/link/?req=doc&amp;base=LAW&amp;n=482855" TargetMode="External"/><Relationship Id="rId19" Type="http://schemas.openxmlformats.org/officeDocument/2006/relationships/hyperlink" Target="http://pravo.gov.ru" TargetMode="External"/><Relationship Id="rId20" Type="http://schemas.openxmlformats.org/officeDocument/2006/relationships/hyperlink" Target="consultantplus://offline/ref=D7D4E010A74DE32FEA27D5D76F03992C42FEC5F9B33C376127393296BC5EFD1EB06F7BF4EC297D15F4B8BA467E8ECC4AFE0426810D9469770FNBA" TargetMode="External"/><Relationship Id="rId21" Type="http://schemas.openxmlformats.org/officeDocument/2006/relationships/hyperlink" Target="https://login.consultant.ru/link/?req=doc&amp;base=LAW&amp;n=471078" TargetMode="External"/><Relationship Id="rId22" Type="http://schemas.openxmlformats.org/officeDocument/2006/relationships/hyperlink" Target="https://rpn.gov.ru/regions/49/hr/order-requirement/" TargetMode="External"/><Relationship Id="rId23" Type="http://schemas.openxmlformats.org/officeDocument/2006/relationships/hyperlink" Target="https://rpn.gov.ru/regions/49/hr/order-requirement/" TargetMode="External"/><Relationship Id="rId24" Type="http://schemas.openxmlformats.org/officeDocument/2006/relationships/hyperlink" Target="https://mintrud.gov.ru/testing/default/view/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надбавке за квалификационный разряд                                               ОК,бухг</dc:title>
  <dc:subject>JOГO JARDIM x8?! PORRA! DIA 8 VOTA NГO!</dc:subject>
  <dc:creator>VOTA NГO А REGIONALIZAЗГO! SIM AO REFORЗO DO MUNICIPALISMO!</dc:creator>
  <dc:description>A REGIONALIZAЗГO Й UM ERRO COLOSSAL!</dc:description>
  <cp:lastModifiedBy>petrovskaya.mv</cp:lastModifiedBy>
  <cp:revision>110</cp:revision>
  <dcterms:created xsi:type="dcterms:W3CDTF">2022-08-15T05:13:00Z</dcterms:created>
  <dcterms:modified xsi:type="dcterms:W3CDTF">2026-05-15T01:02:46Z</dcterms:modified>
  <cp:version>1048576</cp:version>
</cp:coreProperties>
</file>