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31.05.2023 N 881</w:t>
              <w:br/>
              <w:t xml:space="preserve">"Об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2023 г. N 881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ИСЧИСЛЕНИЯ И ВЗИМАНИЯ ПЛАТЫ ЗА НЕГАТИВНОЕ ВОЗДЕЙСТВИЕ</w:t>
      </w:r>
    </w:p>
    <w:p>
      <w:pPr>
        <w:pStyle w:val="2"/>
        <w:jc w:val="center"/>
      </w:pPr>
      <w:r>
        <w:rPr>
          <w:sz w:val="20"/>
        </w:rPr>
        <w:t xml:space="preserve">НА ОКРУЖАЮЩУЮ СРЕДУ И О ПРИЗНАНИИ УТРАТИВШИМИ СИЛУ НЕКОТОРЫХ</w:t>
      </w:r>
    </w:p>
    <w:p>
      <w:pPr>
        <w:pStyle w:val="2"/>
        <w:jc w:val="center"/>
      </w:pPr>
      <w:r>
        <w:rPr>
          <w:sz w:val="20"/>
        </w:rPr>
        <w:t xml:space="preserve">АКТОВ ПРАВИТЕЛЬСТВА РОССИЙСКОЙ ФЕДЕРАЦИИ И ОТДЕЛЬНОГО</w:t>
      </w:r>
    </w:p>
    <w:p>
      <w:pPr>
        <w:pStyle w:val="2"/>
        <w:jc w:val="center"/>
      </w:pPr>
      <w:r>
        <w:rPr>
          <w:sz w:val="20"/>
        </w:rPr>
        <w:t xml:space="preserve">ПОЛОЖЕНИЯ АКТА ПРАВИТЕЛЬСТВА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13 статьи 16.3</w:t>
        </w:r>
      </w:hyperlink>
      <w:r>
        <w:rPr>
          <w:sz w:val="20"/>
        </w:rPr>
        <w:t xml:space="preserve">, </w:t>
      </w:r>
      <w:hyperlink w:history="0" r:id="rId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16.4</w:t>
        </w:r>
      </w:hyperlink>
      <w:r>
        <w:rPr>
          <w:sz w:val="20"/>
        </w:rPr>
        <w:t xml:space="preserve"> и </w:t>
      </w:r>
      <w:hyperlink w:history="0" r:id="rId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3 статьи 16.5</w:t>
        </w:r>
      </w:hyperlink>
      <w:r>
        <w:rPr>
          <w:sz w:val="20"/>
        </w:rPr>
        <w:t xml:space="preserve"> Федерального закона "Об охране окружающей среды"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исчисления и взимания платы за негативное воздействие на окружающую среду.</w:t>
      </w:r>
    </w:p>
    <w:p>
      <w:pPr>
        <w:pStyle w:val="0"/>
        <w:spacing w:before="200" w:line-rule="auto"/>
        <w:ind w:firstLine="540"/>
        <w:jc w:val="both"/>
      </w:pPr>
      <w:r>
        <w:rPr>
          <w:sz w:val="20"/>
        </w:rP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history="0" w:anchor="P364"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 </w:t>
      </w:r>
      <w:hyperlink w:history="0" r:id="rId10" w:tooltip="Постановление Правительства РФ от 07.12.2022 N 224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pPr>
        <w:pStyle w:val="0"/>
        <w:spacing w:before="200" w:line-rule="auto"/>
        <w:ind w:firstLine="540"/>
        <w:jc w:val="both"/>
      </w:pPr>
      <w:r>
        <w:rPr>
          <w:sz w:val="20"/>
        </w:rPr>
        <w:t xml:space="preserve">4. Настоящее постановление вступает в силу с 1 сентября 2023 г.</w:t>
      </w:r>
    </w:p>
    <w:p>
      <w:pPr>
        <w:pStyle w:val="0"/>
        <w:spacing w:before="200" w:line-rule="auto"/>
        <w:ind w:firstLine="540"/>
        <w:jc w:val="both"/>
      </w:pPr>
      <w:r>
        <w:rPr>
          <w:sz w:val="20"/>
        </w:rPr>
        <w:t xml:space="preserve">5. </w:t>
      </w:r>
      <w:hyperlink w:history="0" w:anchor="P32" w:tooltip="ПРАВИЛА">
        <w:r>
          <w:rPr>
            <w:sz w:val="20"/>
            <w:color w:val="0000ff"/>
          </w:rPr>
          <w:t xml:space="preserve">Правила</w:t>
        </w:r>
      </w:hyperlink>
      <w:r>
        <w:rPr>
          <w:sz w:val="20"/>
        </w:rPr>
        <w:t xml:space="preserve">, утвержденные настоящим постановлением, действуют до 1 сентября 2029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2023 г. N 881</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ИСЧИСЛЕНИЯ И ВЗИМАНИЯ ПЛАТЫ ЗА НЕГАТИВНОЕ ВОЗДЕЙСТВИЕ</w:t>
      </w:r>
    </w:p>
    <w:p>
      <w:pPr>
        <w:pStyle w:val="2"/>
        <w:jc w:val="center"/>
      </w:pPr>
      <w:r>
        <w:rPr>
          <w:sz w:val="20"/>
        </w:rPr>
        <w:t xml:space="preserve">НА ОКРУЖАЮЩУЮ СРЕДУ</w:t>
      </w:r>
    </w:p>
    <w:p>
      <w:pPr>
        <w:pStyle w:val="0"/>
        <w:jc w:val="both"/>
      </w:pPr>
      <w:r>
        <w:rPr>
          <w:sz w:val="20"/>
        </w:rPr>
      </w:r>
    </w:p>
    <w:p>
      <w:pPr>
        <w:pStyle w:val="0"/>
        <w:ind w:firstLine="540"/>
        <w:jc w:val="both"/>
      </w:pPr>
      <w:r>
        <w:rPr>
          <w:sz w:val="20"/>
        </w:rPr>
        <w:t xml:space="preserve">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pPr>
        <w:pStyle w:val="0"/>
        <w:spacing w:before="200" w:line-rule="auto"/>
        <w:ind w:firstLine="540"/>
        <w:jc w:val="both"/>
      </w:pPr>
      <w:r>
        <w:rPr>
          <w:sz w:val="20"/>
        </w:rPr>
        <w:t xml:space="preserve">2. Плата за негативное воздействие исчисляется и взимается за следующие виды негативного воздействия на окружающую среду:</w:t>
      </w:r>
    </w:p>
    <w:p>
      <w:pPr>
        <w:pStyle w:val="0"/>
        <w:spacing w:before="200" w:line-rule="auto"/>
        <w:ind w:firstLine="540"/>
        <w:jc w:val="both"/>
      </w:pPr>
      <w:r>
        <w:rPr>
          <w:sz w:val="20"/>
        </w:rPr>
        <w:t xml:space="preserve">а) 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б) 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w:history="0" r:id="rId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w:history="0" r:id="rId12"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а также размещение побочных продуктов животноводства, признанных отходами в соответствии с </w:t>
      </w:r>
      <w:hyperlink w:history="0" r:id="rId13"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w:history="0" r:id="rId14"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Положением</w:t>
        </w:r>
      </w:hyperlink>
      <w:r>
        <w:rPr>
          <w:sz w:val="20"/>
        </w:rP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pPr>
        <w:pStyle w:val="0"/>
        <w:spacing w:before="200" w:line-rule="auto"/>
        <w:ind w:firstLine="540"/>
        <w:jc w:val="both"/>
      </w:pPr>
      <w:r>
        <w:rPr>
          <w:sz w:val="20"/>
        </w:rPr>
        <w:t xml:space="preserve">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pPr>
        <w:pStyle w:val="0"/>
        <w:spacing w:before="200" w:line-rule="auto"/>
        <w:ind w:firstLine="540"/>
        <w:jc w:val="both"/>
      </w:pPr>
      <w:r>
        <w:rPr>
          <w:sz w:val="20"/>
        </w:rPr>
        <w:t xml:space="preserve">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pPr>
        <w:pStyle w:val="0"/>
        <w:spacing w:before="200" w:line-rule="auto"/>
        <w:ind w:firstLine="540"/>
        <w:jc w:val="both"/>
      </w:pPr>
      <w:r>
        <w:rPr>
          <w:sz w:val="20"/>
        </w:rPr>
        <w:t xml:space="preserve">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pPr>
        <w:pStyle w:val="0"/>
        <w:spacing w:before="200" w:line-rule="auto"/>
        <w:ind w:firstLine="540"/>
        <w:jc w:val="both"/>
      </w:pPr>
      <w:r>
        <w:rPr>
          <w:sz w:val="20"/>
        </w:rPr>
        <w:t xml:space="preserve">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при размещении побочных продуктов животноводства, признанных отходами в соответствии с </w:t>
      </w:r>
      <w:hyperlink w:history="0" r:id="rId1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pPr>
        <w:pStyle w:val="0"/>
        <w:spacing w:before="200" w:line-rule="auto"/>
        <w:ind w:firstLine="540"/>
        <w:jc w:val="both"/>
      </w:pPr>
      <w:r>
        <w:rPr>
          <w:sz w:val="20"/>
        </w:rPr>
        <w:t xml:space="preserve">при размещении побочных продуктов производства, признанных отходами в случаях, установленных </w:t>
      </w:r>
      <w:hyperlink w:history="0" r:id="rId1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pPr>
        <w:pStyle w:val="0"/>
        <w:spacing w:before="200" w:line-rule="auto"/>
        <w:ind w:firstLine="540"/>
        <w:jc w:val="both"/>
      </w:pPr>
      <w:r>
        <w:rPr>
          <w:sz w:val="20"/>
        </w:rPr>
        <w:t xml:space="preserve">при размещении вскрышных и вмещающих горных пород, признанных отходами в соответствии со </w:t>
      </w:r>
      <w:hyperlink w:history="0" r:id="rId17"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w:history="0" r:id="rId18"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pPr>
        <w:pStyle w:val="0"/>
        <w:spacing w:before="200" w:line-rule="auto"/>
        <w:ind w:firstLine="540"/>
        <w:jc w:val="both"/>
      </w:pPr>
      <w:r>
        <w:rPr>
          <w:sz w:val="20"/>
        </w:rPr>
        <w:t xml:space="preserve">В случае если вскрышные и вмещающие горные породы использованы пользователем недр в соответствии с </w:t>
      </w:r>
      <w:hyperlink w:history="0" r:id="rId19" w:tooltip="Закон РФ от 21.02.1992 N 2395-1 (ред. от 10.07.2023) &quot;О недрах&quot; {КонсультантПлюс}">
        <w:r>
          <w:rPr>
            <w:sz w:val="20"/>
            <w:color w:val="0000ff"/>
          </w:rPr>
          <w:t xml:space="preserve">пунктом 6 части первой статьи 23.5</w:t>
        </w:r>
      </w:hyperlink>
      <w:r>
        <w:rPr>
          <w:sz w:val="20"/>
        </w:rP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w:history="0" r:id="rId20"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 недрах" проектной документацией на выполнение таких работ и (или) проектом рекультивации земель.</w:t>
      </w:r>
    </w:p>
    <w:p>
      <w:pPr>
        <w:pStyle w:val="0"/>
        <w:spacing w:before="200" w:line-rule="auto"/>
        <w:ind w:firstLine="540"/>
        <w:jc w:val="both"/>
      </w:pPr>
      <w:r>
        <w:rPr>
          <w:sz w:val="20"/>
        </w:rPr>
        <w:t xml:space="preserve">В случае если вскрышные и вмещающие горные породы использованы пользователем недр в соответствии с </w:t>
      </w:r>
      <w:hyperlink w:history="0" r:id="rId21" w:tooltip="Закон РФ от 21.02.1992 N 2395-1 (ред. от 10.07.2023) &quot;О недрах&quot; {КонсультантПлюс}">
        <w:r>
          <w:rPr>
            <w:sz w:val="20"/>
            <w:color w:val="0000ff"/>
          </w:rPr>
          <w:t xml:space="preserve">пунктом 7 части первой статьи 23.5</w:t>
        </w:r>
      </w:hyperlink>
      <w:r>
        <w:rPr>
          <w:sz w:val="20"/>
        </w:rP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pPr>
        <w:pStyle w:val="0"/>
        <w:spacing w:before="200" w:line-rule="auto"/>
        <w:ind w:firstLine="540"/>
        <w:jc w:val="both"/>
      </w:pPr>
      <w:r>
        <w:rPr>
          <w:sz w:val="20"/>
        </w:rPr>
        <w:t xml:space="preserve">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pPr>
        <w:pStyle w:val="0"/>
        <w:spacing w:before="200" w:line-rule="auto"/>
        <w:ind w:firstLine="540"/>
        <w:jc w:val="both"/>
      </w:pPr>
      <w:r>
        <w:rPr>
          <w:sz w:val="20"/>
        </w:rPr>
        <w:t xml:space="preserve">7. Плата за размещение отходов недропользования, являющихся вскрышными и вмещающими горными породами, в соответствии с </w:t>
      </w:r>
      <w:hyperlink w:history="0" r:id="rId2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3 статьи 16</w:t>
        </w:r>
      </w:hyperlink>
      <w:r>
        <w:rPr>
          <w:sz w:val="20"/>
        </w:rP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w:history="0" r:id="rId23"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p>
      <w:pPr>
        <w:pStyle w:val="0"/>
        <w:spacing w:before="200" w:line-rule="auto"/>
        <w:ind w:firstLine="540"/>
        <w:jc w:val="both"/>
      </w:pPr>
      <w:r>
        <w:rPr>
          <w:sz w:val="20"/>
        </w:rP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w:history="0" r:id="rId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w:history="0" r:id="rId2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негативное воздействие, устанавливаемые Правительством Российской Федерации в соответствии с </w:t>
      </w:r>
      <w:hyperlink w:history="0" r:id="rId2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16.3</w:t>
        </w:r>
      </w:hyperlink>
      <w:r>
        <w:rPr>
          <w:sz w:val="20"/>
        </w:rP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w:history="0" r:id="rId27"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w:history="0" r:id="rId28"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w:history="0" r:id="rId2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pPr>
        <w:pStyle w:val="0"/>
        <w:spacing w:before="200" w:line-rule="auto"/>
        <w:ind w:firstLine="540"/>
        <w:jc w:val="both"/>
      </w:pPr>
      <w:r>
        <w:rPr>
          <w:sz w:val="20"/>
        </w:rP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history="0" w:anchor="P230" w:tooltip="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
        <w:r>
          <w:rPr>
            <w:sz w:val="20"/>
            <w:color w:val="0000ff"/>
          </w:rPr>
          <w:t xml:space="preserve">пунктами 54</w:t>
        </w:r>
      </w:hyperlink>
      <w:r>
        <w:rPr>
          <w:sz w:val="20"/>
        </w:rPr>
        <w:t xml:space="preserve"> - </w:t>
      </w:r>
      <w:hyperlink w:history="0" w:anchor="P279" w:tooltip="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к3), определяется по формуле:">
        <w:r>
          <w:rPr>
            <w:sz w:val="20"/>
            <w:color w:val="0000ff"/>
          </w:rPr>
          <w:t xml:space="preserve">57</w:t>
        </w:r>
      </w:hyperlink>
      <w:r>
        <w:rPr>
          <w:sz w:val="20"/>
        </w:rPr>
        <w:t xml:space="preserve"> настоящих Правил.</w:t>
      </w:r>
    </w:p>
    <w:p>
      <w:pPr>
        <w:pStyle w:val="0"/>
        <w:spacing w:before="200" w:line-rule="auto"/>
        <w:ind w:firstLine="540"/>
        <w:jc w:val="both"/>
      </w:pPr>
      <w:r>
        <w:rPr>
          <w:sz w:val="20"/>
        </w:rPr>
        <w:t xml:space="preserve">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pPr>
        <w:pStyle w:val="0"/>
        <w:spacing w:before="200" w:line-rule="auto"/>
        <w:ind w:firstLine="540"/>
        <w:jc w:val="both"/>
      </w:pPr>
      <w:r>
        <w:rPr>
          <w:sz w:val="20"/>
        </w:rPr>
        <w:t xml:space="preserve">а) объем или масса побочных продуктов животноводства, признанных отходами в соответствии с </w:t>
      </w:r>
      <w:hyperlink w:history="0" r:id="rId3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б) объем или масса побочных продуктов производства, признанных отходами в отчетном периоде в случаях, установленных </w:t>
      </w:r>
      <w:hyperlink w:history="0" r:id="rId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в) объем вскрышных или вмещающих горных пород, не использованных в целях, предусмотренных </w:t>
      </w:r>
      <w:hyperlink w:history="0" r:id="rId32"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p>
      <w:pPr>
        <w:pStyle w:val="0"/>
        <w:spacing w:before="200" w:line-rule="auto"/>
        <w:ind w:firstLine="540"/>
        <w:jc w:val="both"/>
      </w:pPr>
      <w:r>
        <w:rPr>
          <w:sz w:val="20"/>
        </w:rPr>
        <w:t xml:space="preserve">11.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33"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pPr>
        <w:pStyle w:val="0"/>
        <w:spacing w:before="200" w:line-rule="auto"/>
        <w:ind w:firstLine="540"/>
        <w:jc w:val="both"/>
      </w:pPr>
      <w:r>
        <w:rPr>
          <w:sz w:val="20"/>
        </w:rPr>
        <w:t xml:space="preserve">б) в отношении каждого класса опасности отходов.</w:t>
      </w:r>
    </w:p>
    <w:p>
      <w:pPr>
        <w:pStyle w:val="0"/>
        <w:spacing w:before="200" w:line-rule="auto"/>
        <w:ind w:firstLine="540"/>
        <w:jc w:val="both"/>
      </w:pPr>
      <w:r>
        <w:rPr>
          <w:sz w:val="20"/>
        </w:rPr>
        <w:t xml:space="preserve">12. При определении платежной базы учитываются:</w:t>
      </w:r>
    </w:p>
    <w:p>
      <w:pPr>
        <w:pStyle w:val="0"/>
        <w:spacing w:before="200" w:line-rule="auto"/>
        <w:ind w:firstLine="540"/>
        <w:jc w:val="both"/>
      </w:pPr>
      <w:r>
        <w:rPr>
          <w:sz w:val="20"/>
        </w:rPr>
        <w:t xml:space="preserve">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pPr>
        <w:pStyle w:val="0"/>
        <w:spacing w:before="200" w:line-rule="auto"/>
        <w:ind w:firstLine="540"/>
        <w:jc w:val="both"/>
      </w:pPr>
      <w:r>
        <w:rPr>
          <w:sz w:val="20"/>
        </w:rPr>
        <w:t xml:space="preserve">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pPr>
        <w:pStyle w:val="0"/>
        <w:spacing w:before="200" w:line-rule="auto"/>
        <w:ind w:firstLine="540"/>
        <w:jc w:val="both"/>
      </w:pPr>
      <w:r>
        <w:rPr>
          <w:sz w:val="20"/>
        </w:rPr>
        <w:t xml:space="preserve">в) объем или масса выбросов загрязняющих веществ, сбросов загрязняющих веществ, 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pPr>
        <w:pStyle w:val="0"/>
        <w:spacing w:before="200" w:line-rule="auto"/>
        <w:ind w:firstLine="540"/>
        <w:jc w:val="both"/>
      </w:pPr>
      <w:r>
        <w:rPr>
          <w:sz w:val="20"/>
        </w:rPr>
        <w:t xml:space="preserve">г) лимиты на размещение отходов производства и потребления и их превышение.</w:t>
      </w:r>
    </w:p>
    <w:p>
      <w:pPr>
        <w:pStyle w:val="0"/>
        <w:spacing w:before="200" w:line-rule="auto"/>
        <w:ind w:firstLine="540"/>
        <w:jc w:val="both"/>
      </w:pPr>
      <w:r>
        <w:rPr>
          <w:sz w:val="20"/>
        </w:rP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w:history="0" r:id="rId34"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и </w:t>
      </w:r>
      <w:hyperlink w:history="0" r:id="rId35"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которой устанавливаются Министерством природных ресурсов и экологии Российской Федерации.</w:t>
      </w:r>
    </w:p>
    <w:bookmarkStart w:id="69" w:name="P69"/>
    <w:bookmarkEnd w:id="69"/>
    <w:p>
      <w:pPr>
        <w:pStyle w:val="0"/>
        <w:spacing w:before="200" w:line-rule="auto"/>
        <w:ind w:firstLine="540"/>
        <w:jc w:val="both"/>
      </w:pPr>
      <w:r>
        <w:rPr>
          <w:sz w:val="20"/>
        </w:rPr>
        <w:t xml:space="preserve">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pPr>
        <w:pStyle w:val="0"/>
        <w:spacing w:before="200" w:line-rule="auto"/>
        <w:ind w:firstLine="540"/>
        <w:jc w:val="both"/>
      </w:pPr>
      <w:r>
        <w:rPr>
          <w:sz w:val="20"/>
        </w:rP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w:t>
      </w:r>
    </w:p>
    <w:bookmarkStart w:id="73" w:name="P73"/>
    <w:bookmarkEnd w:id="73"/>
    <w:p>
      <w:pPr>
        <w:pStyle w:val="0"/>
        <w:spacing w:before="200" w:line-rule="auto"/>
        <w:ind w:firstLine="540"/>
        <w:jc w:val="both"/>
      </w:pPr>
      <w:r>
        <w:rPr>
          <w:sz w:val="20"/>
        </w:rPr>
        <w:t xml:space="preserve">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p>
      <w:pPr>
        <w:pStyle w:val="0"/>
        <w:spacing w:before="200" w:line-rule="auto"/>
        <w:ind w:firstLine="540"/>
        <w:jc w:val="both"/>
      </w:pPr>
      <w:r>
        <w:rPr>
          <w:sz w:val="20"/>
        </w:rP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34</w:t>
        </w:r>
      </w:hyperlink>
      <w:r>
        <w:rPr>
          <w:sz w:val="20"/>
        </w:rPr>
        <w:t xml:space="preserve"> настоящих Правил.</w:t>
      </w:r>
    </w:p>
    <w:bookmarkStart w:id="79" w:name="P79"/>
    <w:bookmarkEnd w:id="79"/>
    <w:p>
      <w:pPr>
        <w:pStyle w:val="0"/>
        <w:spacing w:before="200" w:line-rule="auto"/>
        <w:ind w:firstLine="540"/>
        <w:jc w:val="both"/>
      </w:pPr>
      <w:r>
        <w:rPr>
          <w:sz w:val="20"/>
        </w:rPr>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w:history="0" r:id="rId36"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отчете</w:t>
        </w:r>
      </w:hyperlink>
      <w:r>
        <w:rPr>
          <w:sz w:val="20"/>
        </w:rP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pPr>
        <w:pStyle w:val="0"/>
        <w:spacing w:before="200" w:line-rule="auto"/>
        <w:ind w:firstLine="540"/>
        <w:jc w:val="both"/>
      </w:pPr>
      <w:r>
        <w:rPr>
          <w:sz w:val="20"/>
        </w:rPr>
        <w:t xml:space="preserve">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pPr>
        <w:pStyle w:val="0"/>
        <w:spacing w:before="200" w:line-rule="auto"/>
        <w:ind w:firstLine="540"/>
        <w:jc w:val="both"/>
      </w:pPr>
      <w:r>
        <w:rPr>
          <w:sz w:val="20"/>
        </w:rPr>
        <w:t xml:space="preserve">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p>
      <w:pPr>
        <w:pStyle w:val="0"/>
        <w:spacing w:before="200" w:line-rule="auto"/>
        <w:ind w:firstLine="540"/>
        <w:jc w:val="both"/>
      </w:pPr>
      <w:r>
        <w:rPr>
          <w:sz w:val="20"/>
        </w:rP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34</w:t>
        </w:r>
      </w:hyperlink>
      <w:r>
        <w:rPr>
          <w:sz w:val="20"/>
        </w:rPr>
        <w:t xml:space="preserve"> настоящих Правил.</w:t>
      </w:r>
    </w:p>
    <w:bookmarkStart w:id="85" w:name="P85"/>
    <w:bookmarkEnd w:id="85"/>
    <w:p>
      <w:pPr>
        <w:pStyle w:val="0"/>
        <w:spacing w:before="200" w:line-rule="auto"/>
        <w:ind w:firstLine="540"/>
        <w:jc w:val="both"/>
      </w:pPr>
      <w:r>
        <w:rPr>
          <w:sz w:val="20"/>
        </w:rPr>
        <w:t xml:space="preserve">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pPr>
        <w:pStyle w:val="0"/>
        <w:spacing w:before="200" w:line-rule="auto"/>
        <w:ind w:firstLine="540"/>
        <w:jc w:val="both"/>
      </w:pPr>
      <w:r>
        <w:rPr>
          <w:sz w:val="20"/>
        </w:rPr>
        <w:t xml:space="preserve">а)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не превышающих рассчитанные нормативы допустимых выбросов, нормативы допустимых сбросов,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б)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bookmarkStart w:id="88" w:name="P88"/>
    <w:bookmarkEnd w:id="88"/>
    <w:p>
      <w:pPr>
        <w:pStyle w:val="0"/>
        <w:spacing w:before="200" w:line-rule="auto"/>
        <w:ind w:firstLine="540"/>
        <w:jc w:val="both"/>
      </w:pPr>
      <w:r>
        <w:rPr>
          <w:sz w:val="20"/>
        </w:rPr>
        <w:t xml:space="preserve">в)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bookmarkStart w:id="89" w:name="P89"/>
    <w:bookmarkEnd w:id="89"/>
    <w:p>
      <w:pPr>
        <w:pStyle w:val="0"/>
        <w:spacing w:before="200" w:line-rule="auto"/>
        <w:ind w:firstLine="540"/>
        <w:jc w:val="both"/>
      </w:pPr>
      <w:r>
        <w:rPr>
          <w:sz w:val="20"/>
        </w:rPr>
        <w:t xml:space="preserve">18. Лица, обязанные вносить плату, для расчета платы за размещение отходов производства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30</w:t>
        </w:r>
      </w:hyperlink>
      <w:r>
        <w:rPr>
          <w:sz w:val="20"/>
        </w:rPr>
        <w:t xml:space="preserve"> настоящих Правил, в случае:</w:t>
      </w:r>
    </w:p>
    <w:p>
      <w:pPr>
        <w:pStyle w:val="0"/>
        <w:spacing w:before="200" w:line-rule="auto"/>
        <w:ind w:firstLine="540"/>
        <w:jc w:val="both"/>
      </w:pPr>
      <w:r>
        <w:rPr>
          <w:sz w:val="20"/>
        </w:rPr>
        <w:t xml:space="preserve">осуществления хозяйственной и (или) иной деятельности на объектах I категории в отсутствие комплексного экологического разрешения;</w:t>
      </w:r>
    </w:p>
    <w:p>
      <w:pPr>
        <w:pStyle w:val="0"/>
        <w:spacing w:before="200" w:line-rule="auto"/>
        <w:ind w:firstLine="540"/>
        <w:jc w:val="both"/>
      </w:pPr>
      <w:r>
        <w:rPr>
          <w:sz w:val="20"/>
        </w:rPr>
        <w:t xml:space="preserve">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bookmarkStart w:id="92" w:name="P92"/>
    <w:bookmarkEnd w:id="92"/>
    <w:p>
      <w:pPr>
        <w:pStyle w:val="0"/>
        <w:spacing w:before="200" w:line-rule="auto"/>
        <w:ind w:firstLine="540"/>
        <w:jc w:val="both"/>
      </w:pPr>
      <w:r>
        <w:rPr>
          <w:sz w:val="20"/>
        </w:rPr>
        <w:t xml:space="preserve">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pPr>
        <w:pStyle w:val="0"/>
        <w:spacing w:before="200" w:line-rule="auto"/>
        <w:ind w:firstLine="540"/>
        <w:jc w:val="both"/>
      </w:pPr>
      <w:r>
        <w:rPr>
          <w:sz w:val="20"/>
        </w:rPr>
        <w:t xml:space="preserve">Положения </w:t>
      </w:r>
      <w:hyperlink w:history="0" w:anchor="P89" w:tooltip="18. Лица, обязанные вносить плату, для расчета платы за размещение отходов производства используют формулу, указанную в пункте 32 настоящих Правил, а в отношении расчета платы за негативное воздействие при размещении твердых коммунальных отходов - формулу, указанную в пункте 30 настоящих Правил, в случае:">
        <w:r>
          <w:rPr>
            <w:sz w:val="20"/>
            <w:color w:val="0000ff"/>
          </w:rPr>
          <w:t xml:space="preserve">абзацев первого</w:t>
        </w:r>
      </w:hyperlink>
      <w:r>
        <w:rPr>
          <w:sz w:val="20"/>
        </w:rPr>
        <w:t xml:space="preserve"> - </w:t>
      </w:r>
      <w:hyperlink w:history="0" w:anchor="P92" w:tooltip="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
        <w:r>
          <w:rPr>
            <w:sz w:val="20"/>
            <w:color w:val="0000ff"/>
          </w:rPr>
          <w:t xml:space="preserve">четвертого</w:t>
        </w:r>
      </w:hyperlink>
      <w:r>
        <w:rPr>
          <w:sz w:val="20"/>
        </w:rPr>
        <w:t xml:space="preserve"> настоящего пункта не применяются в случае, установленном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w:t>
      </w:r>
    </w:p>
    <w:bookmarkStart w:id="94" w:name="P94"/>
    <w:bookmarkEnd w:id="94"/>
    <w:p>
      <w:pPr>
        <w:pStyle w:val="0"/>
        <w:spacing w:before="200" w:line-rule="auto"/>
        <w:ind w:firstLine="540"/>
        <w:jc w:val="both"/>
      </w:pPr>
      <w:r>
        <w:rPr>
          <w:sz w:val="20"/>
        </w:rPr>
        <w:t xml:space="preserve">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w:t>
      </w:r>
    </w:p>
    <w:bookmarkStart w:id="98" w:name="P98"/>
    <w:bookmarkEnd w:id="98"/>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и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34</w:t>
        </w:r>
      </w:hyperlink>
      <w:r>
        <w:rPr>
          <w:sz w:val="20"/>
        </w:rPr>
        <w:t xml:space="preserve"> настоящих Правил.</w:t>
      </w:r>
    </w:p>
    <w:p>
      <w:pPr>
        <w:pStyle w:val="0"/>
        <w:spacing w:before="200" w:line-rule="auto"/>
        <w:ind w:firstLine="540"/>
        <w:jc w:val="both"/>
      </w:pPr>
      <w:r>
        <w:rPr>
          <w:sz w:val="20"/>
        </w:rPr>
        <w:t xml:space="preserve">В формулах, указанных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31</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 при применении их лицами, указанными в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абзацах первом</w:t>
        </w:r>
      </w:hyperlink>
      <w:r>
        <w:rPr>
          <w:sz w:val="20"/>
        </w:rPr>
        <w:t xml:space="preserve"> и </w:t>
      </w:r>
      <w:hyperlink w:history="0" w:anchor="P98" w:tooltip="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
        <w:r>
          <w:rPr>
            <w:sz w:val="20"/>
            <w:color w:val="0000ff"/>
          </w:rPr>
          <w:t xml:space="preserve">пятом</w:t>
        </w:r>
      </w:hyperlink>
      <w:r>
        <w:rPr>
          <w:sz w:val="20"/>
        </w:rP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pPr>
        <w:pStyle w:val="0"/>
        <w:spacing w:before="200" w:line-rule="auto"/>
        <w:ind w:firstLine="540"/>
        <w:jc w:val="both"/>
      </w:pPr>
      <w:r>
        <w:rPr>
          <w:sz w:val="20"/>
        </w:rP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пункте 28</w:t>
        </w:r>
      </w:hyperlink>
      <w:r>
        <w:rPr>
          <w:sz w:val="20"/>
        </w:rP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w:t>
      </w:r>
    </w:p>
    <w:bookmarkStart w:id="104" w:name="P104"/>
    <w:bookmarkEnd w:id="104"/>
    <w:p>
      <w:pPr>
        <w:pStyle w:val="0"/>
        <w:spacing w:before="200" w:line-rule="auto"/>
        <w:ind w:firstLine="540"/>
        <w:jc w:val="both"/>
      </w:pPr>
      <w:r>
        <w:rPr>
          <w:sz w:val="20"/>
        </w:rP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пункте 28</w:t>
        </w:r>
      </w:hyperlink>
      <w:r>
        <w:rPr>
          <w:sz w:val="20"/>
        </w:rP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w:t>
      </w:r>
    </w:p>
    <w:p>
      <w:pPr>
        <w:pStyle w:val="0"/>
        <w:spacing w:before="200" w:line-rule="auto"/>
        <w:ind w:firstLine="540"/>
        <w:jc w:val="both"/>
      </w:pPr>
      <w:r>
        <w:rPr>
          <w:sz w:val="20"/>
        </w:rP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пунктах 29</w:t>
        </w:r>
      </w:hyperlink>
      <w:r>
        <w:rPr>
          <w:sz w:val="20"/>
        </w:rPr>
        <w:t xml:space="preserve"> и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30</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23. Лица, обязанные вносить плату, в отношении побочных продуктов производства, признанных отходами в случаях, установленных </w:t>
      </w:r>
      <w:hyperlink w:history="0" r:id="rId3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исчислении платы за размещение отходов используют формулы, указанные в </w:t>
      </w:r>
      <w:hyperlink w:history="0" w:anchor="P184" w:tooltip="37. Плата за размещение и (или) складирование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размещении побочных продуктов производства, признанных отходами, в срок, не превышающий 11 месяцев с даты образования таких продуктов (Ппб1), рассчитывается по формуле:">
        <w:r>
          <w:rPr>
            <w:sz w:val="20"/>
            <w:color w:val="0000ff"/>
          </w:rPr>
          <w:t xml:space="preserve">пунктах 37</w:t>
        </w:r>
      </w:hyperlink>
      <w:r>
        <w:rPr>
          <w:sz w:val="20"/>
        </w:rPr>
        <w:t xml:space="preserve"> и </w:t>
      </w:r>
      <w:hyperlink w:history="0" w:anchor="P191" w:tooltip="38. Плата за негативное воздействие при размещении и (или) складирова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
        <w:r>
          <w:rPr>
            <w:sz w:val="20"/>
            <w:color w:val="0000ff"/>
          </w:rPr>
          <w:t xml:space="preserve">38</w:t>
        </w:r>
      </w:hyperlink>
      <w:r>
        <w:rPr>
          <w:sz w:val="20"/>
        </w:rPr>
        <w:t xml:space="preserve"> настоящих Правил.</w:t>
      </w:r>
    </w:p>
    <w:p>
      <w:pPr>
        <w:pStyle w:val="0"/>
        <w:spacing w:before="200" w:line-rule="auto"/>
        <w:ind w:firstLine="540"/>
        <w:jc w:val="both"/>
      </w:pPr>
      <w:r>
        <w:rPr>
          <w:sz w:val="20"/>
        </w:rPr>
        <w:t xml:space="preserve">Лица, обязанные вносить плату, в отношении побочных продуктов животноводства, признанных отходами в соответствии с </w:t>
      </w:r>
      <w:hyperlink w:history="0" r:id="rId3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указанную в </w:t>
      </w:r>
      <w:hyperlink w:history="0" w:anchor="P197" w:tooltip="40. Плата за размещение побочных продуктов животноводства, признанных отходами в соответствии с частью 6 статьи 5 Федерального закона &quot;О побочных продуктах животноводства и о внесении изменений в отдельные законодательные акты Российской Федерации&quot; (Ппбж), рассчитывается по формуле:">
        <w:r>
          <w:rPr>
            <w:sz w:val="20"/>
            <w:color w:val="0000ff"/>
          </w:rPr>
          <w:t xml:space="preserve">пункте 40</w:t>
        </w:r>
      </w:hyperlink>
      <w:r>
        <w:rPr>
          <w:sz w:val="20"/>
        </w:rPr>
        <w:t xml:space="preserve"> настоящих Правил.</w:t>
      </w:r>
    </w:p>
    <w:p>
      <w:pPr>
        <w:pStyle w:val="0"/>
        <w:spacing w:before="200" w:line-rule="auto"/>
        <w:ind w:firstLine="540"/>
        <w:jc w:val="both"/>
      </w:pPr>
      <w:r>
        <w:rPr>
          <w:sz w:val="20"/>
        </w:rPr>
        <w:t xml:space="preserve">Лица, обязанные вносить плату, в случае, предусмотренном </w:t>
      </w:r>
      <w:hyperlink w:history="0" r:id="rId3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16.1</w:t>
        </w:r>
      </w:hyperlink>
      <w:r>
        <w:rPr>
          <w:sz w:val="20"/>
        </w:rP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w:history="0" r:id="rId40"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при исчислении платы за размещение отходов используют формулы, указанные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пунктах 28</w:t>
        </w:r>
      </w:hyperlink>
      <w:r>
        <w:rPr>
          <w:sz w:val="20"/>
        </w:rPr>
        <w:t xml:space="preserve"> и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настоящих Правил.</w:t>
      </w:r>
    </w:p>
    <w:p>
      <w:pPr>
        <w:pStyle w:val="0"/>
        <w:spacing w:before="200" w:line-rule="auto"/>
        <w:ind w:firstLine="540"/>
        <w:jc w:val="both"/>
      </w:pPr>
      <w:r>
        <w:rPr>
          <w:sz w:val="20"/>
        </w:rPr>
        <w:t xml:space="preserve">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pPr>
        <w:pStyle w:val="0"/>
        <w:spacing w:before="200" w:line-rule="auto"/>
        <w:ind w:firstLine="540"/>
        <w:jc w:val="both"/>
      </w:pPr>
      <w:r>
        <w:rPr>
          <w:sz w:val="20"/>
        </w:rPr>
        <w:t xml:space="preserve">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pPr>
        <w:pStyle w:val="0"/>
        <w:spacing w:before="200" w:line-rule="auto"/>
        <w:ind w:firstLine="540"/>
        <w:jc w:val="both"/>
      </w:pPr>
      <w:r>
        <w:rPr>
          <w:sz w:val="20"/>
        </w:rP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пунктами 16</w:t>
        </w:r>
      </w:hyperlink>
      <w:r>
        <w:rPr>
          <w:sz w:val="20"/>
        </w:rPr>
        <w:t xml:space="preserve"> и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после представления декларации о воздействии на окружающую среду - в соответствии с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pPr>
        <w:pStyle w:val="0"/>
        <w:spacing w:before="200" w:line-rule="auto"/>
        <w:ind w:firstLine="540"/>
        <w:jc w:val="both"/>
      </w:pPr>
      <w:r>
        <w:rPr>
          <w:sz w:val="20"/>
        </w:rPr>
        <w:t xml:space="preserve">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bookmarkStart w:id="115" w:name="P115"/>
    <w:bookmarkEnd w:id="115"/>
    <w:p>
      <w:pPr>
        <w:pStyle w:val="0"/>
        <w:spacing w:before="200" w:line-rule="auto"/>
        <w:ind w:firstLine="540"/>
        <w:jc w:val="both"/>
      </w:pPr>
      <w:r>
        <w:rPr>
          <w:sz w:val="20"/>
        </w:rPr>
        <w:t xml:space="preserve">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нд</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781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загрязняющих веществ;</w:t>
      </w:r>
    </w:p>
    <w:p>
      <w:pPr>
        <w:pStyle w:val="0"/>
        <w:spacing w:before="200" w:line-rule="auto"/>
        <w:ind w:firstLine="540"/>
        <w:jc w:val="both"/>
      </w:pPr>
      <w:r>
        <w:rPr>
          <w:sz w:val="20"/>
        </w:rPr>
        <w:t xml:space="preserve">М</w:t>
      </w:r>
      <w:r>
        <w:rPr>
          <w:sz w:val="20"/>
          <w:vertAlign w:val="subscript"/>
        </w:rPr>
        <w:t xml:space="preserve">ндi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пунктом 16</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пунктом 17</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Н</w:t>
      </w:r>
      <w:r>
        <w:rPr>
          <w:sz w:val="20"/>
          <w:vertAlign w:val="subscript"/>
        </w:rPr>
        <w:t xml:space="preserve">плi</w:t>
      </w:r>
      <w:r>
        <w:rPr>
          <w:sz w:val="20"/>
        </w:rP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pPr>
        <w:pStyle w:val="0"/>
        <w:spacing w:before="200" w:line-rule="auto"/>
        <w:ind w:firstLine="540"/>
        <w:jc w:val="both"/>
      </w:pPr>
      <w:r>
        <w:rPr>
          <w:sz w:val="20"/>
        </w:rPr>
        <w:t xml:space="preserve">К</w:t>
      </w:r>
      <w:r>
        <w:rPr>
          <w:sz w:val="20"/>
          <w:vertAlign w:val="subscript"/>
        </w:rPr>
        <w:t xml:space="preserve">от</w:t>
      </w:r>
      <w:r>
        <w:rPr>
          <w:sz w:val="20"/>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pPr>
        <w:pStyle w:val="0"/>
        <w:spacing w:before="200" w:line-rule="auto"/>
        <w:ind w:firstLine="540"/>
        <w:jc w:val="both"/>
      </w:pPr>
      <w:r>
        <w:rPr>
          <w:sz w:val="20"/>
        </w:rPr>
        <w:t xml:space="preserve">К</w:t>
      </w:r>
      <w:r>
        <w:rPr>
          <w:sz w:val="20"/>
          <w:vertAlign w:val="subscript"/>
        </w:rPr>
        <w:t xml:space="preserve">нд</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pPr>
        <w:pStyle w:val="0"/>
        <w:spacing w:before="200" w:line-rule="auto"/>
        <w:ind w:firstLine="540"/>
        <w:jc w:val="both"/>
      </w:pPr>
      <w:r>
        <w:rPr>
          <w:sz w:val="20"/>
        </w:rPr>
        <w:t xml:space="preserve">К</w:t>
      </w:r>
      <w:r>
        <w:rPr>
          <w:sz w:val="20"/>
          <w:vertAlign w:val="subscript"/>
        </w:rPr>
        <w:t xml:space="preserve">во</w:t>
      </w:r>
      <w:r>
        <w:rPr>
          <w:sz w:val="20"/>
        </w:rP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w:history="0" r:id="rId42"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pPr>
        <w:pStyle w:val="0"/>
        <w:spacing w:before="200" w:line-rule="auto"/>
        <w:ind w:firstLine="540"/>
        <w:jc w:val="both"/>
      </w:pPr>
      <w:r>
        <w:rPr>
          <w:sz w:val="20"/>
        </w:rPr>
        <w:t xml:space="preserve">К</w:t>
      </w:r>
      <w:r>
        <w:rPr>
          <w:sz w:val="20"/>
          <w:vertAlign w:val="subscript"/>
        </w:rPr>
        <w:t xml:space="preserve">инд</w:t>
      </w:r>
      <w:r>
        <w:rPr>
          <w:sz w:val="20"/>
        </w:rPr>
        <w:t xml:space="preserve"> - дополнительный коэффициент, применяемый к ставкам платы, устанавливаемый Правительством Российской Федерации в соответствии с </w:t>
      </w:r>
      <w:hyperlink w:history="0" r:id="rId4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16.3</w:t>
        </w:r>
      </w:hyperlink>
      <w:r>
        <w:rPr>
          <w:sz w:val="20"/>
        </w:rPr>
        <w:t xml:space="preserve"> Федерального закона "Об охране окружающей среды".</w:t>
      </w:r>
    </w:p>
    <w:bookmarkStart w:id="127" w:name="P127"/>
    <w:bookmarkEnd w:id="127"/>
    <w:p>
      <w:pPr>
        <w:pStyle w:val="0"/>
        <w:spacing w:before="200" w:line-rule="auto"/>
        <w:ind w:firstLine="540"/>
        <w:jc w:val="both"/>
      </w:pPr>
      <w:r>
        <w:rPr>
          <w:sz w:val="20"/>
        </w:rP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 </w:t>
      </w:r>
      <w:hyperlink w:history="0" w:anchor="P104" w:tooltip="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пункте 28 настоящих Правил, а в отношени...">
        <w:r>
          <w:rPr>
            <w:sz w:val="20"/>
            <w:color w:val="0000ff"/>
          </w:rPr>
          <w:t xml:space="preserve">21</w:t>
        </w:r>
      </w:hyperlink>
      <w:r>
        <w:rPr>
          <w:sz w:val="20"/>
        </w:rPr>
        <w:t xml:space="preserve"> и </w:t>
      </w:r>
      <w:hyperlink w:history="0" w:anchor="P106" w:tooltip="23. Лица, обязанные вносить плату, в отноше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исчислении платы за размещение отходов используют формулы, указанные в пунктах 37 и 38 настоящих Правил.">
        <w:r>
          <w:rPr>
            <w:sz w:val="20"/>
            <w:color w:val="0000ff"/>
          </w:rPr>
          <w:t xml:space="preserve">23</w:t>
        </w:r>
      </w:hyperlink>
      <w:r>
        <w:rPr>
          <w:sz w:val="20"/>
        </w:rPr>
        <w:t xml:space="preserve"> настоящих Правил (П</w:t>
      </w:r>
      <w:r>
        <w:rPr>
          <w:sz w:val="20"/>
          <w:vertAlign w:val="subscript"/>
        </w:rPr>
        <w:t xml:space="preserve">лр</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3343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3432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количество классов опасности отходов;</w:t>
      </w:r>
    </w:p>
    <w:p>
      <w:pPr>
        <w:pStyle w:val="0"/>
        <w:spacing w:before="200" w:line-rule="auto"/>
        <w:ind w:firstLine="540"/>
        <w:jc w:val="both"/>
      </w:pPr>
      <w:r>
        <w:rPr>
          <w:sz w:val="20"/>
        </w:rPr>
        <w:t xml:space="preserve">М</w:t>
      </w:r>
      <w:r>
        <w:rPr>
          <w:sz w:val="20"/>
          <w:vertAlign w:val="subscript"/>
        </w:rPr>
        <w:t xml:space="preserve">лj</w:t>
      </w:r>
      <w:r>
        <w:rPr>
          <w:sz w:val="20"/>
        </w:rP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Н</w:t>
      </w:r>
      <w:r>
        <w:rPr>
          <w:sz w:val="20"/>
          <w:vertAlign w:val="subscript"/>
        </w:rPr>
        <w:t xml:space="preserve">плj</w:t>
      </w:r>
      <w:r>
        <w:rPr>
          <w:sz w:val="20"/>
        </w:rPr>
        <w:t xml:space="preserve"> - ставка платы за размещение отходов j-го класса опасности, рублей/тонн (рублей/куб. м);</w:t>
      </w:r>
    </w:p>
    <w:p>
      <w:pPr>
        <w:pStyle w:val="0"/>
        <w:spacing w:before="200" w:line-rule="auto"/>
        <w:ind w:firstLine="540"/>
        <w:jc w:val="both"/>
      </w:pPr>
      <w:r>
        <w:rPr>
          <w:sz w:val="20"/>
        </w:rPr>
        <w:t xml:space="preserve">К</w:t>
      </w:r>
      <w:r>
        <w:rPr>
          <w:sz w:val="20"/>
          <w:vertAlign w:val="subscript"/>
        </w:rPr>
        <w:t xml:space="preserve">л</w:t>
      </w:r>
      <w:r>
        <w:rPr>
          <w:sz w:val="20"/>
        </w:rP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pPr>
        <w:pStyle w:val="0"/>
        <w:spacing w:before="200" w:line-rule="auto"/>
        <w:ind w:firstLine="540"/>
        <w:jc w:val="both"/>
      </w:pPr>
      <w:r>
        <w:rPr>
          <w:sz w:val="20"/>
        </w:rPr>
        <w:t xml:space="preserve">К</w:t>
      </w:r>
      <w:r>
        <w:rPr>
          <w:sz w:val="20"/>
          <w:vertAlign w:val="subscript"/>
        </w:rPr>
        <w:t xml:space="preserve">од</w:t>
      </w:r>
      <w:r>
        <w:rPr>
          <w:sz w:val="20"/>
        </w:rPr>
        <w:t xml:space="preserve"> - стимулирующий коэффициент к ставке платы за размещение отходов j-го класса опасности, применяемый в соответствии с </w:t>
      </w:r>
      <w:hyperlink w:history="0" r:id="rId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абзацами вторым</w:t>
        </w:r>
      </w:hyperlink>
      <w:r>
        <w:rPr>
          <w:sz w:val="20"/>
        </w:rPr>
        <w:t xml:space="preserve"> и </w:t>
      </w:r>
      <w:hyperlink w:history="0" r:id="rId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третьим пункта 6 статьи 16.3</w:t>
        </w:r>
      </w:hyperlink>
      <w:r>
        <w:rPr>
          <w:sz w:val="20"/>
        </w:rPr>
        <w:t xml:space="preserve"> Федерального закона "Об охране окружающей среды", равный 0;</w:t>
      </w:r>
    </w:p>
    <w:p>
      <w:pPr>
        <w:pStyle w:val="0"/>
        <w:spacing w:before="200" w:line-rule="auto"/>
        <w:ind w:firstLine="540"/>
        <w:jc w:val="both"/>
      </w:pPr>
      <w:r>
        <w:rPr>
          <w:sz w:val="20"/>
        </w:rPr>
        <w:t xml:space="preserve">К</w:t>
      </w:r>
      <w:r>
        <w:rPr>
          <w:sz w:val="20"/>
          <w:vertAlign w:val="subscript"/>
        </w:rPr>
        <w:t xml:space="preserve">по</w:t>
      </w:r>
      <w:r>
        <w:rPr>
          <w:sz w:val="20"/>
        </w:rPr>
        <w:t xml:space="preserve"> - стимулирующий коэффициент к ставке платы за размещение отходов j-го класса опасности, применяемый в соответствии с </w:t>
      </w:r>
      <w:hyperlink w:history="0" r:id="rId4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абзацем четвертым пункта 6 статьи 16.3</w:t>
        </w:r>
      </w:hyperlink>
      <w:r>
        <w:rPr>
          <w:sz w:val="20"/>
        </w:rPr>
        <w:t xml:space="preserve"> Федерального закона "Об охране окружающей среды", равный 0,3;</w:t>
      </w:r>
    </w:p>
    <w:p>
      <w:pPr>
        <w:pStyle w:val="0"/>
        <w:spacing w:before="200" w:line-rule="auto"/>
        <w:ind w:firstLine="540"/>
        <w:jc w:val="both"/>
      </w:pPr>
      <w:r>
        <w:rPr>
          <w:sz w:val="20"/>
        </w:rPr>
        <w:t xml:space="preserve">К</w:t>
      </w:r>
      <w:r>
        <w:rPr>
          <w:sz w:val="20"/>
          <w:vertAlign w:val="subscript"/>
        </w:rPr>
        <w:t xml:space="preserve">ст</w:t>
      </w:r>
      <w:r>
        <w:rPr>
          <w:sz w:val="20"/>
        </w:rPr>
        <w:t xml:space="preserve"> - стимулирующие коэффициенты к ставке платы за размещение отходов j-го класса опасности, применяемые в соответствии с </w:t>
      </w:r>
      <w:hyperlink w:history="0" r:id="rId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абзацами пятым</w:t>
        </w:r>
      </w:hyperlink>
      <w:r>
        <w:rPr>
          <w:sz w:val="20"/>
        </w:rPr>
        <w:t xml:space="preserve"> -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восьмым пункта 6 статьи 16.3</w:t>
        </w:r>
      </w:hyperlink>
      <w:r>
        <w:rPr>
          <w:sz w:val="20"/>
        </w:rPr>
        <w:t xml:space="preserve"> Федерального закона "Об охране окружающей среды", равные соответственно 0,5, 0,67, 0,49 и 0,33.</w:t>
      </w:r>
    </w:p>
    <w:bookmarkStart w:id="139" w:name="P139"/>
    <w:bookmarkEnd w:id="139"/>
    <w:p>
      <w:pPr>
        <w:pStyle w:val="0"/>
        <w:spacing w:before="200" w:line-rule="auto"/>
        <w:ind w:firstLine="540"/>
        <w:jc w:val="both"/>
      </w:pPr>
      <w:r>
        <w:rPr>
          <w:sz w:val="20"/>
        </w:rPr>
        <w:t xml:space="preserve">29. Плата за размещение твердых коммунальных отходов (П</w:t>
      </w:r>
      <w:r>
        <w:rPr>
          <w:sz w:val="20"/>
          <w:vertAlign w:val="subscript"/>
        </w:rPr>
        <w:t xml:space="preserve">ТКОл</w:t>
      </w:r>
      <w:r>
        <w:rPr>
          <w:sz w:val="20"/>
        </w:rPr>
        <w:t xml:space="preserve">), а также плата за размещение отходов в случаях, предусмотренных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рассчитываются лицом, обязанным вносить плату, по формуле:</w:t>
      </w:r>
    </w:p>
    <w:p>
      <w:pPr>
        <w:pStyle w:val="0"/>
        <w:jc w:val="both"/>
      </w:pPr>
      <w:r>
        <w:rPr>
          <w:sz w:val="20"/>
        </w:rPr>
      </w:r>
    </w:p>
    <w:p>
      <w:pPr>
        <w:pStyle w:val="0"/>
        <w:jc w:val="center"/>
      </w:pPr>
      <w:r>
        <w:rPr>
          <w:position w:val="-98"/>
        </w:rPr>
        <w:drawing>
          <wp:inline distT="0" distB="0" distL="0" distR="0">
            <wp:extent cx="3276600" cy="1371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3276600" cy="1371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ТКОчрj</w:t>
      </w:r>
      <w:r>
        <w:rPr>
          <w:sz w:val="20"/>
        </w:rP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pPr>
        <w:pStyle w:val="0"/>
        <w:spacing w:before="200" w:line-rule="auto"/>
        <w:ind w:firstLine="540"/>
        <w:jc w:val="both"/>
      </w:pPr>
      <w:r>
        <w:rPr>
          <w:sz w:val="20"/>
        </w:rPr>
        <w:t xml:space="preserve">Н</w:t>
      </w:r>
      <w:r>
        <w:rPr>
          <w:sz w:val="20"/>
          <w:vertAlign w:val="subscript"/>
        </w:rPr>
        <w:t xml:space="preserve">ТКОплj</w:t>
      </w:r>
      <w:r>
        <w:rPr>
          <w:sz w:val="20"/>
        </w:rPr>
        <w:t xml:space="preserve"> - ставка платы за размещение твердых коммунальных отходов j-го класса опасности, рублей/тонн (рублей/куб. м);</w:t>
      </w:r>
    </w:p>
    <w:p>
      <w:pPr>
        <w:pStyle w:val="0"/>
        <w:spacing w:before="200" w:line-rule="auto"/>
        <w:ind w:firstLine="540"/>
        <w:jc w:val="both"/>
      </w:pPr>
      <w:r>
        <w:rPr>
          <w:sz w:val="20"/>
        </w:rPr>
        <w:t xml:space="preserve">М</w:t>
      </w:r>
      <w:r>
        <w:rPr>
          <w:sz w:val="20"/>
          <w:vertAlign w:val="subscript"/>
        </w:rPr>
        <w:t xml:space="preserve">ТКОлрj</w:t>
      </w:r>
      <w:r>
        <w:rPr>
          <w:sz w:val="20"/>
        </w:rP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М</w:t>
      </w:r>
      <w:r>
        <w:rPr>
          <w:sz w:val="20"/>
          <w:vertAlign w:val="subscript"/>
        </w:rPr>
        <w:t xml:space="preserve">ТКОслj</w:t>
      </w:r>
      <w:r>
        <w:rPr>
          <w:sz w:val="20"/>
        </w:rP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К</w:t>
      </w:r>
      <w:r>
        <w:rPr>
          <w:sz w:val="20"/>
          <w:vertAlign w:val="subscript"/>
        </w:rPr>
        <w:t xml:space="preserve">сл</w:t>
      </w:r>
      <w:r>
        <w:rPr>
          <w:sz w:val="20"/>
        </w:rP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bookmarkStart w:id="149" w:name="P149"/>
    <w:bookmarkEnd w:id="149"/>
    <w:p>
      <w:pPr>
        <w:pStyle w:val="0"/>
        <w:spacing w:before="200" w:line-rule="auto"/>
        <w:ind w:firstLine="540"/>
        <w:jc w:val="both"/>
      </w:pPr>
      <w:r>
        <w:rPr>
          <w:sz w:val="20"/>
        </w:rP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(П</w:t>
      </w:r>
      <w:r>
        <w:rPr>
          <w:sz w:val="20"/>
          <w:vertAlign w:val="subscript"/>
        </w:rPr>
        <w:t xml:space="preserve">ТКОсл</w:t>
      </w:r>
      <w:r>
        <w:rPr>
          <w:sz w:val="20"/>
        </w:rPr>
        <w:t xml:space="preserve">), рассчитываются лицом, обязанным вносить плату, по формуле:</w:t>
      </w:r>
    </w:p>
    <w:p>
      <w:pPr>
        <w:pStyle w:val="0"/>
        <w:jc w:val="both"/>
      </w:pPr>
      <w:r>
        <w:rPr>
          <w:sz w:val="20"/>
        </w:rPr>
      </w:r>
    </w:p>
    <w:p>
      <w:pPr>
        <w:pStyle w:val="0"/>
        <w:jc w:val="center"/>
      </w:pPr>
      <w:r>
        <w:rPr>
          <w:position w:val="-62"/>
        </w:rPr>
        <w:drawing>
          <wp:inline distT="0" distB="0" distL="0" distR="0">
            <wp:extent cx="3314700"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314700"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ТКОслфj</w:t>
      </w:r>
      <w:r>
        <w:rPr>
          <w:sz w:val="20"/>
        </w:rPr>
        <w:t xml:space="preserve"> - фактический объем или масса размещенных твердых коммунальных отходов, образованных в собственном производстве, тонн (куб. м).</w:t>
      </w:r>
    </w:p>
    <w:bookmarkStart w:id="154" w:name="P154"/>
    <w:bookmarkEnd w:id="154"/>
    <w:p>
      <w:pPr>
        <w:pStyle w:val="0"/>
        <w:spacing w:before="200" w:line-rule="auto"/>
        <w:ind w:firstLine="540"/>
        <w:jc w:val="both"/>
      </w:pPr>
      <w:r>
        <w:rPr>
          <w:sz w:val="20"/>
        </w:rP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вр</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428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врi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pPr>
        <w:pStyle w:val="0"/>
        <w:spacing w:before="200" w:line-rule="auto"/>
        <w:ind w:firstLine="540"/>
        <w:jc w:val="both"/>
      </w:pPr>
      <w:r>
        <w:rPr>
          <w:sz w:val="20"/>
        </w:rPr>
        <w:t xml:space="preserve">К</w:t>
      </w:r>
      <w:r>
        <w:rPr>
          <w:sz w:val="20"/>
          <w:vertAlign w:val="subscript"/>
        </w:rPr>
        <w:t xml:space="preserve">вр</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bookmarkStart w:id="161" w:name="P161"/>
    <w:bookmarkEnd w:id="161"/>
    <w:p>
      <w:pPr>
        <w:pStyle w:val="0"/>
        <w:spacing w:before="200" w:line-rule="auto"/>
        <w:ind w:firstLine="540"/>
        <w:jc w:val="both"/>
      </w:pPr>
      <w:r>
        <w:rPr>
          <w:sz w:val="20"/>
        </w:rP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89" w:tooltip="18. Лица, обязанные вносить плату, для расчета платы за размещение отходов производства используют формулу, указанную в пункте 32 настоящих Правил, а в отношении расчета платы за негативное воздействие при размещении твердых коммунальных отходов - формулу, указанную в пункте 30 настоящих Правил, в случае:">
        <w:r>
          <w:rPr>
            <w:sz w:val="20"/>
            <w:color w:val="0000ff"/>
          </w:rPr>
          <w:t xml:space="preserve">18</w:t>
        </w:r>
      </w:hyperlink>
      <w:r>
        <w:rPr>
          <w:sz w:val="20"/>
        </w:rPr>
        <w:t xml:space="preserve"> - </w:t>
      </w:r>
      <w:hyperlink w:history="0" w:anchor="P104" w:tooltip="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пункте 28 настоящих Правил, а в отношени...">
        <w:r>
          <w:rPr>
            <w:sz w:val="20"/>
            <w:color w:val="0000ff"/>
          </w:rPr>
          <w:t xml:space="preserve">21</w:t>
        </w:r>
      </w:hyperlink>
      <w:r>
        <w:rPr>
          <w:sz w:val="20"/>
        </w:rPr>
        <w:t xml:space="preserve"> и </w:t>
      </w:r>
      <w:hyperlink w:history="0" w:anchor="P106" w:tooltip="23. Лица, обязанные вносить плату, в отноше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исчислении платы за размещение отходов используют формулы, указанные в пунктах 37 и 38 настоящих Правил.">
        <w:r>
          <w:rPr>
            <w:sz w:val="20"/>
            <w:color w:val="0000ff"/>
          </w:rPr>
          <w:t xml:space="preserve">23</w:t>
        </w:r>
      </w:hyperlink>
      <w:r>
        <w:rPr>
          <w:sz w:val="20"/>
        </w:rPr>
        <w:t xml:space="preserve"> настоящих Правил (П</w:t>
      </w:r>
      <w:r>
        <w:rPr>
          <w:sz w:val="20"/>
          <w:vertAlign w:val="subscript"/>
        </w:rPr>
        <w:t xml:space="preserve">сл</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3076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076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слj</w:t>
      </w:r>
      <w:r>
        <w:rPr>
          <w:sz w:val="20"/>
        </w:rP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bookmarkStart w:id="167" w:name="P167"/>
    <w:bookmarkEnd w:id="167"/>
    <w:p>
      <w:pPr>
        <w:pStyle w:val="0"/>
        <w:spacing w:before="200" w:line-rule="auto"/>
        <w:ind w:firstLine="540"/>
        <w:jc w:val="both"/>
      </w:pPr>
      <w:r>
        <w:rPr>
          <w:sz w:val="20"/>
        </w:rP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пр</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781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прi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случая, предусмотренного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пунктом 16</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history="0" w:anchor="P88" w:tooltip="в) в отношении объема или массы выбросов загрязняющих веществ или сбросов загрязняющих веществ, указанных в абзаце первом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пункте 33 настоящих Правил.">
        <w:r>
          <w:rPr>
            <w:sz w:val="20"/>
            <w:color w:val="0000ff"/>
          </w:rPr>
          <w:t xml:space="preserve">подпункте "в" пункта 17</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pPr>
        <w:pStyle w:val="0"/>
        <w:spacing w:before="200" w:line-rule="auto"/>
        <w:ind w:firstLine="540"/>
        <w:jc w:val="both"/>
      </w:pPr>
      <w:r>
        <w:rPr>
          <w:sz w:val="20"/>
        </w:rPr>
        <w:t xml:space="preserve">К</w:t>
      </w:r>
      <w:r>
        <w:rPr>
          <w:sz w:val="20"/>
          <w:vertAlign w:val="subscript"/>
        </w:rPr>
        <w:t xml:space="preserve">пр</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sz w:val="20"/>
          <w:vertAlign w:val="subscript"/>
        </w:rPr>
        <w:t xml:space="preserve">пр</w:t>
      </w:r>
      <w:r>
        <w:rPr>
          <w:sz w:val="20"/>
        </w:rPr>
        <w:t xml:space="preserve"> применяется коэффициент 1.</w:t>
      </w:r>
    </w:p>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sz w:val="20"/>
          <w:vertAlign w:val="subscript"/>
        </w:rPr>
        <w:t xml:space="preserve">пр</w:t>
      </w:r>
      <w:r>
        <w:rPr>
          <w:sz w:val="20"/>
        </w:rPr>
        <w:t xml:space="preserve"> применяют коэффициент 25.</w:t>
      </w:r>
    </w:p>
    <w:bookmarkStart w:id="175" w:name="P175"/>
    <w:bookmarkEnd w:id="175"/>
    <w:p>
      <w:pPr>
        <w:pStyle w:val="0"/>
        <w:spacing w:before="200" w:line-rule="auto"/>
        <w:ind w:firstLine="540"/>
        <w:jc w:val="both"/>
      </w:pPr>
      <w:r>
        <w:rPr>
          <w:sz w:val="20"/>
        </w:rP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а также в случае, предусмотренном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(П</w:t>
      </w:r>
      <w:r>
        <w:rPr>
          <w:sz w:val="20"/>
          <w:vertAlign w:val="subscript"/>
        </w:rPr>
        <w:t xml:space="preserve">ср</w:t>
      </w:r>
      <w:r>
        <w:rPr>
          <w:sz w:val="20"/>
        </w:rPr>
        <w:t xml:space="preserve">), плата за выбросы загрязняющих веществ, плата за сбросы загрязняющих веществ рассчитываются по формуле:</w:t>
      </w:r>
    </w:p>
    <w:p>
      <w:pPr>
        <w:pStyle w:val="0"/>
        <w:jc w:val="both"/>
      </w:pPr>
      <w:r>
        <w:rPr>
          <w:sz w:val="20"/>
        </w:rPr>
      </w:r>
    </w:p>
    <w:p>
      <w:pPr>
        <w:pStyle w:val="0"/>
        <w:jc w:val="center"/>
      </w:pPr>
      <w:r>
        <w:rPr>
          <w:position w:val="-23"/>
        </w:rPr>
        <w:drawing>
          <wp:inline distT="0" distB="0" distL="0" distR="0">
            <wp:extent cx="2752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срi</w:t>
      </w:r>
      <w:r>
        <w:rPr>
          <w:sz w:val="20"/>
        </w:rPr>
        <w:t xml:space="preserve"> - фактический объем или масса выбросов загрязняющих веществ, сбросов загрязняющих веществ, тонн (куб. м).</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sz w:val="20"/>
          <w:vertAlign w:val="subscript"/>
        </w:rPr>
        <w:t xml:space="preserve">пр</w:t>
      </w:r>
      <w:r>
        <w:rPr>
          <w:sz w:val="20"/>
        </w:rPr>
        <w:t xml:space="preserve"> равен 1.</w:t>
      </w:r>
    </w:p>
    <w:p>
      <w:pPr>
        <w:pStyle w:val="0"/>
        <w:spacing w:before="200" w:line-rule="auto"/>
        <w:ind w:firstLine="540"/>
        <w:jc w:val="both"/>
      </w:pPr>
      <w:r>
        <w:rPr>
          <w:sz w:val="20"/>
        </w:rPr>
        <w:t xml:space="preserve">Для лиц, обязанных вносить плату, осуществляющих хозяйственную и (или) иную деятельность на объектах III категории, вместо коэффициента К</w:t>
      </w:r>
      <w:r>
        <w:rPr>
          <w:sz w:val="20"/>
          <w:vertAlign w:val="subscript"/>
        </w:rPr>
        <w:t xml:space="preserve">пр</w:t>
      </w:r>
      <w:r>
        <w:rPr>
          <w:sz w:val="20"/>
        </w:rPr>
        <w:t xml:space="preserve"> применяется коэффициент 25.</w:t>
      </w:r>
    </w:p>
    <w:p>
      <w:pPr>
        <w:pStyle w:val="0"/>
        <w:spacing w:before="200" w:line-rule="auto"/>
        <w:ind w:firstLine="540"/>
        <w:jc w:val="both"/>
      </w:pPr>
      <w:r>
        <w:rPr>
          <w:sz w:val="20"/>
        </w:rP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 в которой вместо коэффициентов К</w:t>
      </w:r>
      <w:r>
        <w:rPr>
          <w:sz w:val="20"/>
          <w:vertAlign w:val="subscript"/>
        </w:rPr>
        <w:t xml:space="preserve">сл</w:t>
      </w:r>
      <w:r>
        <w:rPr>
          <w:sz w:val="20"/>
        </w:rPr>
        <w:t xml:space="preserve"> и К</w:t>
      </w:r>
      <w:r>
        <w:rPr>
          <w:sz w:val="20"/>
          <w:vertAlign w:val="subscript"/>
        </w:rPr>
        <w:t xml:space="preserve">ст</w:t>
      </w:r>
      <w:r>
        <w:rPr>
          <w:sz w:val="20"/>
        </w:rP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pPr>
        <w:pStyle w:val="0"/>
        <w:spacing w:before="200" w:line-rule="auto"/>
        <w:ind w:firstLine="540"/>
        <w:jc w:val="both"/>
      </w:pPr>
      <w:r>
        <w:rPr>
          <w:sz w:val="20"/>
        </w:rP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 в которой вместо коэффициента К</w:t>
      </w:r>
      <w:r>
        <w:rPr>
          <w:sz w:val="20"/>
          <w:vertAlign w:val="subscript"/>
        </w:rPr>
        <w:t xml:space="preserve">нд</w:t>
      </w:r>
      <w:r>
        <w:rPr>
          <w:sz w:val="20"/>
        </w:rP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bookmarkStart w:id="184" w:name="P184"/>
    <w:bookmarkEnd w:id="184"/>
    <w:p>
      <w:pPr>
        <w:pStyle w:val="0"/>
        <w:spacing w:before="200" w:line-rule="auto"/>
        <w:ind w:firstLine="540"/>
        <w:jc w:val="both"/>
      </w:pPr>
      <w:r>
        <w:rPr>
          <w:sz w:val="20"/>
        </w:rPr>
        <w:t xml:space="preserve">37. Плата за размещение и (или) складирование побочных продуктов производства, признанных отходами в случаях, установленных </w:t>
      </w:r>
      <w:hyperlink w:history="0" r:id="rId5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sz w:val="20"/>
          <w:vertAlign w:val="subscript"/>
        </w:rPr>
        <w:t xml:space="preserve">пб1</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2466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пбj</w:t>
      </w:r>
      <w:r>
        <w:rPr>
          <w:sz w:val="20"/>
        </w:rP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w:history="0" r:id="rId5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в отчетном периоде отходами, тонн (куб. м).</w:t>
      </w:r>
    </w:p>
    <w:p>
      <w:pPr>
        <w:pStyle w:val="0"/>
        <w:spacing w:before="200" w:line-rule="auto"/>
        <w:ind w:firstLine="540"/>
        <w:jc w:val="both"/>
      </w:pPr>
      <w:r>
        <w:rPr>
          <w:sz w:val="20"/>
        </w:rPr>
        <w:t xml:space="preserve">Коэффициент К</w:t>
      </w:r>
      <w:r>
        <w:rPr>
          <w:sz w:val="20"/>
          <w:vertAlign w:val="subscript"/>
        </w:rPr>
        <w:t xml:space="preserve">сл</w:t>
      </w:r>
      <w:r>
        <w:rPr>
          <w:sz w:val="20"/>
        </w:rP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w:history="0" r:id="rId5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pPr>
        <w:pStyle w:val="0"/>
        <w:spacing w:before="200" w:line-rule="auto"/>
        <w:ind w:firstLine="540"/>
        <w:jc w:val="both"/>
      </w:pPr>
      <w:r>
        <w:rPr>
          <w:sz w:val="20"/>
        </w:rPr>
        <w:t xml:space="preserve">В случае если побочные продукты производства, признанные отходами в случае, установленном </w:t>
      </w:r>
      <w:hyperlink w:history="0" r:id="rId6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К</w:t>
      </w:r>
      <w:r>
        <w:rPr>
          <w:sz w:val="20"/>
          <w:vertAlign w:val="subscript"/>
        </w:rPr>
        <w:t xml:space="preserve">сл</w:t>
      </w:r>
      <w:r>
        <w:rPr>
          <w:sz w:val="20"/>
        </w:rPr>
        <w:t xml:space="preserve"> применяется коэффициент, равный 1.</w:t>
      </w:r>
    </w:p>
    <w:bookmarkStart w:id="191" w:name="P191"/>
    <w:bookmarkEnd w:id="191"/>
    <w:p>
      <w:pPr>
        <w:pStyle w:val="0"/>
        <w:spacing w:before="200" w:line-rule="auto"/>
        <w:ind w:firstLine="540"/>
        <w:jc w:val="both"/>
      </w:pPr>
      <w:r>
        <w:rPr>
          <w:sz w:val="20"/>
        </w:rP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w:history="0" r:id="rId6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sz w:val="20"/>
          <w:vertAlign w:val="subscript"/>
        </w:rPr>
        <w:t xml:space="preserve">пб2</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476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К</w:t>
      </w:r>
      <w:r>
        <w:rPr>
          <w:sz w:val="20"/>
          <w:vertAlign w:val="subscript"/>
        </w:rPr>
        <w:t xml:space="preserve">пб</w:t>
      </w:r>
      <w:r>
        <w:rPr>
          <w:sz w:val="20"/>
        </w:rP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w:history="0" r:id="rId6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равный 52.</w:t>
      </w:r>
    </w:p>
    <w:p>
      <w:pPr>
        <w:pStyle w:val="0"/>
        <w:spacing w:before="200" w:line-rule="auto"/>
        <w:ind w:firstLine="540"/>
        <w:jc w:val="both"/>
      </w:pPr>
      <w:r>
        <w:rPr>
          <w:sz w:val="20"/>
        </w:rPr>
        <w:t xml:space="preserve">39. Плата за последующее размещение побочных продуктов производства, признанных отходами в случае, установленном </w:t>
      </w:r>
      <w:hyperlink w:history="0" r:id="rId6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bookmarkStart w:id="197" w:name="P197"/>
    <w:bookmarkEnd w:id="197"/>
    <w:p>
      <w:pPr>
        <w:pStyle w:val="0"/>
        <w:spacing w:before="200" w:line-rule="auto"/>
        <w:ind w:firstLine="540"/>
        <w:jc w:val="both"/>
      </w:pPr>
      <w:r>
        <w:rPr>
          <w:sz w:val="20"/>
        </w:rPr>
        <w:t xml:space="preserve">40. Плата за размещение побочных продуктов животноводства, признанных отходами в соответствии с </w:t>
      </w:r>
      <w:hyperlink w:history="0" r:id="rId6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sz w:val="20"/>
          <w:vertAlign w:val="subscript"/>
        </w:rPr>
        <w:t xml:space="preserve">пбж</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2524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5241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пбжj</w:t>
      </w:r>
      <w:r>
        <w:rPr>
          <w:sz w:val="20"/>
        </w:rP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w:history="0" r:id="rId67"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pPr>
        <w:pStyle w:val="0"/>
        <w:spacing w:before="200" w:line-rule="auto"/>
        <w:ind w:firstLine="540"/>
        <w:jc w:val="both"/>
      </w:pPr>
      <w:r>
        <w:rPr>
          <w:sz w:val="20"/>
        </w:rPr>
        <w:t xml:space="preserve">К</w:t>
      </w:r>
      <w:r>
        <w:rPr>
          <w:sz w:val="20"/>
          <w:vertAlign w:val="subscript"/>
        </w:rPr>
        <w:t xml:space="preserve">ж</w:t>
      </w:r>
      <w:r>
        <w:rPr>
          <w:sz w:val="20"/>
        </w:rPr>
        <w:t xml:space="preserve"> - коэффициент, применяемый к ставкам платы за размещение побочных продуктов животноводства, признанных отходами в соответствии с </w:t>
      </w:r>
      <w:hyperlink w:history="0" r:id="rId6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bookmarkStart w:id="204" w:name="P204"/>
    <w:bookmarkEnd w:id="204"/>
    <w:p>
      <w:pPr>
        <w:pStyle w:val="0"/>
        <w:spacing w:before="200" w:line-rule="auto"/>
        <w:ind w:firstLine="540"/>
        <w:jc w:val="both"/>
      </w:pPr>
      <w:r>
        <w:rPr>
          <w:sz w:val="20"/>
        </w:rP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w:history="0" r:id="rId6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67.1</w:t>
        </w:r>
      </w:hyperlink>
      <w:r>
        <w:rPr>
          <w:sz w:val="20"/>
        </w:rP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по формуле, указанной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 и внесению в бюджеты бюджетной системы Российской Федерации.</w:t>
      </w:r>
    </w:p>
    <w:p>
      <w:pPr>
        <w:pStyle w:val="0"/>
        <w:spacing w:before="200" w:line-rule="auto"/>
        <w:ind w:firstLine="540"/>
        <w:jc w:val="both"/>
      </w:pPr>
      <w:r>
        <w:rPr>
          <w:sz w:val="20"/>
        </w:rP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history="0" w:anchor="P204" w:tooltip="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quot;Об охране окружающей среды&quot;,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bookmarkStart w:id="207" w:name="P207"/>
    <w:bookmarkEnd w:id="207"/>
    <w:p>
      <w:pPr>
        <w:pStyle w:val="0"/>
        <w:spacing w:before="200" w:line-rule="auto"/>
        <w:ind w:firstLine="540"/>
        <w:jc w:val="both"/>
      </w:pPr>
      <w:r>
        <w:rPr>
          <w:sz w:val="20"/>
        </w:rPr>
        <w:t xml:space="preserve">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bookmarkStart w:id="208" w:name="P208"/>
    <w:bookmarkEnd w:id="208"/>
    <w:p>
      <w:pPr>
        <w:pStyle w:val="0"/>
        <w:spacing w:before="200" w:line-rule="auto"/>
        <w:ind w:firstLine="540"/>
        <w:jc w:val="both"/>
      </w:pPr>
      <w:r>
        <w:rPr>
          <w:sz w:val="20"/>
        </w:rP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r:id="rId7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17</w:t>
        </w:r>
      </w:hyperlink>
      <w:r>
        <w:rPr>
          <w:sz w:val="20"/>
        </w:rP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pPr>
        <w:pStyle w:val="0"/>
        <w:spacing w:before="200" w:line-rule="auto"/>
        <w:ind w:firstLine="540"/>
        <w:jc w:val="both"/>
      </w:pPr>
      <w:r>
        <w:rPr>
          <w:sz w:val="20"/>
        </w:rP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w:history="0" r:id="rId71"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w:t>
      </w:r>
    </w:p>
    <w:p>
      <w:pPr>
        <w:pStyle w:val="0"/>
        <w:spacing w:before="200" w:line-rule="auto"/>
        <w:ind w:firstLine="540"/>
        <w:jc w:val="both"/>
      </w:pPr>
      <w:r>
        <w:rPr>
          <w:sz w:val="20"/>
        </w:rPr>
        <w:t xml:space="preserve">46. При корректировке размеров платы за негативное воздействие не учитываются затраты, не указанные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в том числе затраты на капитальный ремонт.</w:t>
      </w:r>
    </w:p>
    <w:p>
      <w:pPr>
        <w:pStyle w:val="0"/>
        <w:spacing w:before="200" w:line-rule="auto"/>
        <w:ind w:firstLine="540"/>
        <w:jc w:val="both"/>
      </w:pPr>
      <w:r>
        <w:rPr>
          <w:sz w:val="20"/>
        </w:rPr>
        <w:t xml:space="preserve">47. Затраты, указанные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48. Затраты организаций, эксплуатирующих централизованные системы водоотведения поселений или городских округов, указанные в </w:t>
      </w:r>
      <w:hyperlink w:history="0" w:anchor="P207" w:tooltip="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
        <w:r>
          <w:rPr>
            <w:sz w:val="20"/>
            <w:color w:val="0000ff"/>
          </w:rPr>
          <w:t xml:space="preserve">пункте 44</w:t>
        </w:r>
      </w:hyperlink>
      <w:r>
        <w:rPr>
          <w:sz w:val="20"/>
        </w:rP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bookmarkStart w:id="213" w:name="P213"/>
    <w:bookmarkEnd w:id="213"/>
    <w:p>
      <w:pPr>
        <w:pStyle w:val="0"/>
        <w:spacing w:before="200" w:line-rule="auto"/>
        <w:ind w:firstLine="540"/>
        <w:jc w:val="both"/>
      </w:pPr>
      <w:r>
        <w:rPr>
          <w:sz w:val="20"/>
        </w:rPr>
        <w:t xml:space="preserve">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pPr>
        <w:pStyle w:val="0"/>
        <w:spacing w:before="200" w:line-rule="auto"/>
        <w:ind w:firstLine="540"/>
        <w:jc w:val="both"/>
      </w:pPr>
      <w:r>
        <w:rPr>
          <w:sz w:val="20"/>
        </w:rPr>
        <w:t xml:space="preserve">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pPr>
        <w:pStyle w:val="0"/>
        <w:spacing w:before="200" w:line-rule="auto"/>
        <w:ind w:firstLine="540"/>
        <w:jc w:val="both"/>
      </w:pPr>
      <w:r>
        <w:rPr>
          <w:sz w:val="20"/>
        </w:rPr>
        <w:t xml:space="preserve">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pPr>
        <w:pStyle w:val="0"/>
        <w:spacing w:before="200" w:line-rule="auto"/>
        <w:ind w:firstLine="540"/>
        <w:jc w:val="both"/>
      </w:pPr>
      <w:r>
        <w:rPr>
          <w:sz w:val="20"/>
        </w:rP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pPr>
        <w:pStyle w:val="0"/>
        <w:spacing w:before="200" w:line-rule="auto"/>
        <w:ind w:firstLine="540"/>
        <w:jc w:val="both"/>
      </w:pPr>
      <w:r>
        <w:rPr>
          <w:sz w:val="20"/>
        </w:rPr>
        <w:t xml:space="preserve">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bookmarkStart w:id="218" w:name="P218"/>
    <w:bookmarkEnd w:id="218"/>
    <w:p>
      <w:pPr>
        <w:pStyle w:val="0"/>
        <w:spacing w:before="200" w:line-rule="auto"/>
        <w:ind w:firstLine="540"/>
        <w:jc w:val="both"/>
      </w:pPr>
      <w:r>
        <w:rPr>
          <w:sz w:val="20"/>
        </w:rP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pPr>
        <w:pStyle w:val="0"/>
        <w:spacing w:before="200" w:line-rule="auto"/>
        <w:ind w:firstLine="540"/>
        <w:jc w:val="both"/>
      </w:pPr>
      <w:r>
        <w:rPr>
          <w:sz w:val="20"/>
        </w:rPr>
        <w:t xml:space="preserve">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pPr>
        <w:pStyle w:val="0"/>
        <w:spacing w:before="200" w:line-rule="auto"/>
        <w:ind w:firstLine="540"/>
        <w:jc w:val="both"/>
      </w:pPr>
      <w:r>
        <w:rPr>
          <w:sz w:val="20"/>
        </w:rPr>
        <w:t xml:space="preserve">Плата за размещение отходов, в том числе побочных продуктов производства, признанных отходами в случае, установленном </w:t>
      </w:r>
      <w:hyperlink w:history="0" r:id="rId7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а также вскрышных и вмещающих горных пород, признанных отходами в соответствии со </w:t>
      </w:r>
      <w:hyperlink w:history="0" r:id="rId73"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вносится лицами, обязанными вносить плату, по месту нахождения объекта размещения отходов.</w:t>
      </w:r>
    </w:p>
    <w:p>
      <w:pPr>
        <w:pStyle w:val="0"/>
        <w:spacing w:before="200" w:line-rule="auto"/>
        <w:ind w:firstLine="540"/>
        <w:jc w:val="both"/>
      </w:pPr>
      <w:r>
        <w:rPr>
          <w:sz w:val="20"/>
        </w:rPr>
        <w:t xml:space="preserve">Плата за складирование побочных продуктов производства, признанных отходами в случае, установленном </w:t>
      </w:r>
      <w:hyperlink w:history="0" r:id="rId7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pPr>
        <w:pStyle w:val="0"/>
        <w:spacing w:before="200" w:line-rule="auto"/>
        <w:ind w:firstLine="540"/>
        <w:jc w:val="both"/>
      </w:pPr>
      <w:r>
        <w:rPr>
          <w:sz w:val="20"/>
        </w:rPr>
        <w:t xml:space="preserve">Плата за размещение побочных продуктов животноводства, признанных отходами в соответствии с </w:t>
      </w:r>
      <w:hyperlink w:history="0" r:id="rId7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w:history="0" r:id="rId7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части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bookmarkStart w:id="223" w:name="P223"/>
    <w:bookmarkEnd w:id="223"/>
    <w:p>
      <w:pPr>
        <w:pStyle w:val="0"/>
        <w:spacing w:before="200" w:line-rule="auto"/>
        <w:ind w:firstLine="540"/>
        <w:jc w:val="both"/>
      </w:pPr>
      <w:r>
        <w:rPr>
          <w:sz w:val="20"/>
        </w:rP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history="0" w:anchor="P224"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Федерального закона &quot;Об охране окружающей среды&quot; признается календарный год, в котором такие побочные продукты производства признаны отходами.">
        <w:r>
          <w:rPr>
            <w:sz w:val="20"/>
            <w:color w:val="0000ff"/>
          </w:rPr>
          <w:t xml:space="preserve">абзацами вторым</w:t>
        </w:r>
      </w:hyperlink>
      <w:r>
        <w:rPr>
          <w:sz w:val="20"/>
        </w:rPr>
        <w:t xml:space="preserve"> - </w:t>
      </w:r>
      <w:hyperlink w:history="0" w:anchor="P226" w:tooltip="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статьей 23.5 Закона Российской Федерации &quot;О недрах&quot; признается календарный год, в котором такие вскрышные и вмещающие горные породы признаны отходами производства и потребления.">
        <w:r>
          <w:rPr>
            <w:sz w:val="20"/>
            <w:color w:val="0000ff"/>
          </w:rPr>
          <w:t xml:space="preserve">четвертым</w:t>
        </w:r>
      </w:hyperlink>
      <w:r>
        <w:rPr>
          <w:sz w:val="20"/>
        </w:rPr>
        <w:t xml:space="preserve"> настоящего пункта) признается календарный год.</w:t>
      </w:r>
    </w:p>
    <w:bookmarkStart w:id="224" w:name="P224"/>
    <w:bookmarkEnd w:id="224"/>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r:id="rId7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w:history="0" r:id="rId7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bookmarkStart w:id="226" w:name="P226"/>
    <w:bookmarkEnd w:id="226"/>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w:history="0" r:id="rId79"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pPr>
        <w:pStyle w:val="0"/>
        <w:spacing w:before="200" w:line-rule="auto"/>
        <w:ind w:firstLine="540"/>
        <w:jc w:val="both"/>
      </w:pPr>
      <w:r>
        <w:rPr>
          <w:sz w:val="20"/>
        </w:rPr>
        <w:t xml:space="preserve">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bookmarkStart w:id="228" w:name="P228"/>
    <w:bookmarkEnd w:id="228"/>
    <w:p>
      <w:pPr>
        <w:pStyle w:val="0"/>
        <w:spacing w:before="200" w:line-rule="auto"/>
        <w:ind w:firstLine="540"/>
        <w:jc w:val="both"/>
      </w:pPr>
      <w:r>
        <w:rPr>
          <w:sz w:val="20"/>
        </w:rP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history="0" w:anchor="P223" w:tooltip="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абзацами вторым - четвертым настоящего пункта) признается календарный год.">
        <w:r>
          <w:rPr>
            <w:sz w:val="20"/>
            <w:color w:val="0000ff"/>
          </w:rPr>
          <w:t xml:space="preserve">пунктами 52</w:t>
        </w:r>
      </w:hyperlink>
      <w:r>
        <w:rPr>
          <w:sz w:val="20"/>
        </w:rPr>
        <w:t xml:space="preserve"> и </w:t>
      </w:r>
      <w:hyperlink w:history="0" w:anchor="P230" w:tooltip="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
        <w:r>
          <w:rPr>
            <w:sz w:val="20"/>
            <w:color w:val="0000ff"/>
          </w:rPr>
          <w:t xml:space="preserve">54</w:t>
        </w:r>
      </w:hyperlink>
      <w:r>
        <w:rPr>
          <w:sz w:val="20"/>
        </w:rPr>
        <w:t xml:space="preserve"> настоящих Правил.</w:t>
      </w:r>
    </w:p>
    <w:p>
      <w:pPr>
        <w:pStyle w:val="0"/>
        <w:spacing w:before="200" w:line-rule="auto"/>
        <w:ind w:firstLine="540"/>
        <w:jc w:val="both"/>
      </w:pPr>
      <w:r>
        <w:rPr>
          <w:sz w:val="20"/>
        </w:rPr>
        <w:t xml:space="preserve">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bookmarkStart w:id="230" w:name="P230"/>
    <w:bookmarkEnd w:id="230"/>
    <w:p>
      <w:pPr>
        <w:pStyle w:val="0"/>
        <w:spacing w:before="200" w:line-rule="auto"/>
        <w:ind w:firstLine="540"/>
        <w:jc w:val="both"/>
      </w:pPr>
      <w:r>
        <w:rPr>
          <w:sz w:val="20"/>
        </w:rPr>
        <w:t xml:space="preserve">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pPr>
        <w:pStyle w:val="0"/>
        <w:spacing w:before="200" w:line-rule="auto"/>
        <w:ind w:firstLine="540"/>
        <w:jc w:val="both"/>
      </w:pPr>
      <w:r>
        <w:rPr>
          <w:sz w:val="20"/>
        </w:rP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w:history="0" r:id="rId8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"Об охране окружающей среды") за предыдущий отчетный период. Размер квартального авансового платежа (А</w:t>
      </w:r>
      <w:r>
        <w:rPr>
          <w:sz w:val="20"/>
          <w:vertAlign w:val="subscript"/>
        </w:rPr>
        <w:t xml:space="preserve">к1</w:t>
      </w:r>
      <w:r>
        <w:rPr>
          <w:sz w:val="20"/>
        </w:rPr>
        <w:t xml:space="preserve">) в этом случае определяется по формуле:</w:t>
      </w:r>
    </w:p>
    <w:p>
      <w:pPr>
        <w:pStyle w:val="0"/>
        <w:jc w:val="both"/>
      </w:pPr>
      <w:r>
        <w:rPr>
          <w:sz w:val="20"/>
        </w:rPr>
      </w:r>
    </w:p>
    <w:p>
      <w:pPr>
        <w:pStyle w:val="0"/>
        <w:jc w:val="center"/>
      </w:pPr>
      <w:r>
        <w:rPr>
          <w:position w:val="-20"/>
        </w:rPr>
        <w:drawing>
          <wp:inline distT="0" distB="0" distL="0" distR="0">
            <wp:extent cx="714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А</w:t>
      </w:r>
      <w:r>
        <w:rPr>
          <w:sz w:val="20"/>
          <w:vertAlign w:val="subscript"/>
        </w:rPr>
        <w:t xml:space="preserve">кб</w:t>
      </w:r>
      <w:r>
        <w:rPr>
          <w:sz w:val="20"/>
        </w:rP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w:history="0" r:id="rId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pPr>
        <w:pStyle w:val="0"/>
        <w:spacing w:before="200" w:line-rule="auto"/>
        <w:ind w:firstLine="540"/>
        <w:jc w:val="both"/>
      </w:pPr>
      <w:r>
        <w:rPr>
          <w:sz w:val="20"/>
        </w:rP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history="0" w:anchor="P239" w:tooltip="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к2н) определяется по формуле:">
        <w:r>
          <w:rPr>
            <w:sz w:val="20"/>
            <w:color w:val="0000ff"/>
          </w:rPr>
          <w:t xml:space="preserve">пунктах 55</w:t>
        </w:r>
      </w:hyperlink>
      <w:r>
        <w:rPr>
          <w:sz w:val="20"/>
        </w:rPr>
        <w:t xml:space="preserve"> и </w:t>
      </w:r>
      <w:hyperlink w:history="0" w:anchor="P262" w:tooltip="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к2вр) определяется по формуле:">
        <w:r>
          <w:rPr>
            <w:sz w:val="20"/>
            <w:color w:val="0000ff"/>
          </w:rPr>
          <w:t xml:space="preserve">56</w:t>
        </w:r>
      </w:hyperlink>
      <w:r>
        <w:rPr>
          <w:sz w:val="20"/>
        </w:rPr>
        <w:t xml:space="preserve"> настоящих Правил;</w:t>
      </w:r>
    </w:p>
    <w:p>
      <w:pPr>
        <w:pStyle w:val="0"/>
        <w:spacing w:before="200" w:line-rule="auto"/>
        <w:ind w:firstLine="540"/>
        <w:jc w:val="both"/>
      </w:pPr>
      <w:r>
        <w:rPr>
          <w:sz w:val="20"/>
        </w:rP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w:history="0" r:id="rId8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16.3</w:t>
        </w:r>
      </w:hyperlink>
      <w:r>
        <w:rPr>
          <w:sz w:val="20"/>
        </w:rP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history="0" w:anchor="P279" w:tooltip="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к3), определяется по формуле:">
        <w:r>
          <w:rPr>
            <w:sz w:val="20"/>
            <w:color w:val="0000ff"/>
          </w:rPr>
          <w:t xml:space="preserve">пункте 57</w:t>
        </w:r>
      </w:hyperlink>
      <w:r>
        <w:rPr>
          <w:sz w:val="20"/>
        </w:rPr>
        <w:t xml:space="preserve"> настоящих Правил.</w:t>
      </w:r>
    </w:p>
    <w:p>
      <w:pPr>
        <w:pStyle w:val="0"/>
        <w:spacing w:before="200" w:line-rule="auto"/>
        <w:ind w:firstLine="540"/>
        <w:jc w:val="both"/>
      </w:pPr>
      <w:r>
        <w:rPr>
          <w:sz w:val="20"/>
        </w:rPr>
        <w:t xml:space="preserve">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bookmarkStart w:id="239" w:name="P239"/>
    <w:bookmarkEnd w:id="239"/>
    <w:p>
      <w:pPr>
        <w:pStyle w:val="0"/>
        <w:spacing w:before="200" w:line-rule="auto"/>
        <w:ind w:firstLine="540"/>
        <w:jc w:val="both"/>
      </w:pPr>
      <w:r>
        <w:rPr>
          <w:sz w:val="20"/>
        </w:rPr>
        <w:t xml:space="preserve">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sz w:val="20"/>
          <w:vertAlign w:val="subscript"/>
        </w:rPr>
        <w:t xml:space="preserve">к2н</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к2н</w:t>
      </w:r>
      <w:r>
        <w:rPr>
          <w:sz w:val="20"/>
        </w:rPr>
        <w:t xml:space="preserve"> = П</w:t>
      </w:r>
      <w:r>
        <w:rPr>
          <w:sz w:val="20"/>
          <w:vertAlign w:val="subscript"/>
        </w:rPr>
        <w:t xml:space="preserve">ндв</w:t>
      </w:r>
      <w:r>
        <w:rPr>
          <w:sz w:val="20"/>
        </w:rPr>
        <w:t xml:space="preserve"> + П</w:t>
      </w:r>
      <w:r>
        <w:rPr>
          <w:sz w:val="20"/>
          <w:vertAlign w:val="subscript"/>
        </w:rPr>
        <w:t xml:space="preserve">ндс</w:t>
      </w:r>
      <w:r>
        <w:rPr>
          <w:sz w:val="20"/>
        </w:rPr>
        <w:t xml:space="preserve"> + П</w:t>
      </w:r>
      <w:r>
        <w:rPr>
          <w:sz w:val="20"/>
          <w:vertAlign w:val="subscript"/>
        </w:rPr>
        <w:t xml:space="preserve">ло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ндв</w:t>
      </w:r>
      <w:r>
        <w:rPr>
          <w:sz w:val="20"/>
        </w:rP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ндс</w:t>
      </w:r>
      <w:r>
        <w:rPr>
          <w:sz w:val="20"/>
        </w:rP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ло</w:t>
      </w:r>
      <w:r>
        <w:rPr>
          <w:sz w:val="20"/>
        </w:rP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sz w:val="20"/>
          <w:vertAlign w:val="subscript"/>
        </w:rPr>
        <w:t xml:space="preserve">ндв</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вi</w:t>
      </w:r>
      <w:r>
        <w:rPr>
          <w:sz w:val="20"/>
        </w:rP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pPr>
        <w:pStyle w:val="0"/>
        <w:spacing w:before="200" w:line-rule="auto"/>
        <w:ind w:firstLine="540"/>
        <w:jc w:val="both"/>
      </w:pPr>
      <w:r>
        <w:rPr>
          <w:sz w:val="20"/>
        </w:rP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sz w:val="20"/>
          <w:vertAlign w:val="subscript"/>
        </w:rPr>
        <w:t xml:space="preserve">ндс</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сi</w:t>
      </w:r>
      <w:r>
        <w:rPr>
          <w:sz w:val="20"/>
        </w:rP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pPr>
        <w:pStyle w:val="0"/>
        <w:spacing w:before="200" w:line-rule="auto"/>
        <w:ind w:firstLine="540"/>
        <w:jc w:val="both"/>
      </w:pPr>
      <w:r>
        <w:rPr>
          <w:sz w:val="20"/>
        </w:rPr>
        <w:t xml:space="preserve">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sz w:val="20"/>
          <w:vertAlign w:val="subscript"/>
        </w:rPr>
        <w:t xml:space="preserve">ло</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447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лоj</w:t>
      </w:r>
      <w:r>
        <w:rPr>
          <w:sz w:val="20"/>
        </w:rP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bookmarkStart w:id="262" w:name="P262"/>
    <w:bookmarkEnd w:id="262"/>
    <w:p>
      <w:pPr>
        <w:pStyle w:val="0"/>
        <w:spacing w:before="200" w:line-rule="auto"/>
        <w:ind w:firstLine="540"/>
        <w:jc w:val="both"/>
      </w:pPr>
      <w:r>
        <w:rPr>
          <w:sz w:val="20"/>
        </w:rPr>
        <w:t xml:space="preserve">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sz w:val="20"/>
          <w:vertAlign w:val="subscript"/>
        </w:rPr>
        <w:t xml:space="preserve">к2вр</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к2вр</w:t>
      </w:r>
      <w:r>
        <w:rPr>
          <w:sz w:val="20"/>
        </w:rPr>
        <w:t xml:space="preserve"> = П</w:t>
      </w:r>
      <w:r>
        <w:rPr>
          <w:sz w:val="20"/>
          <w:vertAlign w:val="subscript"/>
        </w:rPr>
        <w:t xml:space="preserve">врв</w:t>
      </w:r>
      <w:r>
        <w:rPr>
          <w:sz w:val="20"/>
        </w:rPr>
        <w:t xml:space="preserve"> + П</w:t>
      </w:r>
      <w:r>
        <w:rPr>
          <w:sz w:val="20"/>
          <w:vertAlign w:val="subscript"/>
        </w:rPr>
        <w:t xml:space="preserve">врс</w:t>
      </w:r>
      <w:r>
        <w:rPr>
          <w:sz w:val="20"/>
        </w:rPr>
        <w:t xml:space="preserve"> + П</w:t>
      </w:r>
      <w:r>
        <w:rPr>
          <w:sz w:val="20"/>
          <w:vertAlign w:val="subscript"/>
        </w:rPr>
        <w:t xml:space="preserve">ло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врв</w:t>
      </w:r>
      <w:r>
        <w:rPr>
          <w:sz w:val="20"/>
        </w:rP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врс</w:t>
      </w:r>
      <w:r>
        <w:rPr>
          <w:sz w:val="20"/>
        </w:rP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pPr>
        <w:pStyle w:val="0"/>
        <w:spacing w:before="200" w:line-rule="auto"/>
        <w:ind w:firstLine="540"/>
        <w:jc w:val="both"/>
      </w:pPr>
      <w:r>
        <w:rPr>
          <w:sz w:val="20"/>
        </w:rPr>
        <w:t xml:space="preserve">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sz w:val="20"/>
          <w:vertAlign w:val="subscript"/>
        </w:rPr>
        <w:t xml:space="preserve">врв</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врвi</w:t>
      </w:r>
      <w:r>
        <w:rPr>
          <w:sz w:val="20"/>
        </w:rP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pPr>
        <w:pStyle w:val="0"/>
        <w:spacing w:before="200" w:line-rule="auto"/>
        <w:ind w:firstLine="540"/>
        <w:jc w:val="both"/>
      </w:pPr>
      <w:r>
        <w:rPr>
          <w:sz w:val="20"/>
        </w:rP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w:t>
      </w:r>
      <w:r>
        <w:rPr>
          <w:sz w:val="20"/>
          <w:vertAlign w:val="subscript"/>
        </w:rPr>
        <w:t xml:space="preserve">врс</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врсi</w:t>
      </w:r>
      <w:r>
        <w:rPr>
          <w:sz w:val="20"/>
        </w:rP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bookmarkStart w:id="279" w:name="P279"/>
    <w:bookmarkEnd w:id="279"/>
    <w:p>
      <w:pPr>
        <w:pStyle w:val="0"/>
        <w:spacing w:before="200" w:line-rule="auto"/>
        <w:ind w:firstLine="540"/>
        <w:jc w:val="both"/>
      </w:pPr>
      <w:r>
        <w:rPr>
          <w:sz w:val="20"/>
        </w:rPr>
        <w:t xml:space="preserve">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sz w:val="20"/>
          <w:vertAlign w:val="subscript"/>
        </w:rPr>
        <w:t xml:space="preserve">к3</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к3</w:t>
      </w:r>
      <w:r>
        <w:rPr>
          <w:sz w:val="20"/>
        </w:rPr>
        <w:t xml:space="preserve"> = П</w:t>
      </w:r>
      <w:r>
        <w:rPr>
          <w:sz w:val="20"/>
          <w:vertAlign w:val="subscript"/>
        </w:rPr>
        <w:t xml:space="preserve">в</w:t>
      </w:r>
      <w:r>
        <w:rPr>
          <w:sz w:val="20"/>
        </w:rPr>
        <w:t xml:space="preserve"> + П</w:t>
      </w:r>
      <w:r>
        <w:rPr>
          <w:sz w:val="20"/>
          <w:vertAlign w:val="subscript"/>
        </w:rPr>
        <w:t xml:space="preserve">с</w:t>
      </w:r>
      <w:r>
        <w:rPr>
          <w:sz w:val="20"/>
        </w:rPr>
        <w:t xml:space="preserve"> + П</w:t>
      </w:r>
      <w:r>
        <w:rPr>
          <w:sz w:val="20"/>
          <w:vertAlign w:val="subscript"/>
        </w:rPr>
        <w:t xml:space="preserve">оп</w:t>
      </w:r>
      <w:r>
        <w:rPr>
          <w:sz w:val="20"/>
        </w:rPr>
        <w:t xml:space="preserve"> + П</w:t>
      </w:r>
      <w:r>
        <w:rPr>
          <w:sz w:val="20"/>
          <w:vertAlign w:val="subscript"/>
        </w:rPr>
        <w:t xml:space="preserve">ТКО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в</w:t>
      </w:r>
      <w:r>
        <w:rPr>
          <w:sz w:val="20"/>
        </w:rP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с</w:t>
      </w:r>
      <w:r>
        <w:rPr>
          <w:sz w:val="20"/>
        </w:rP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оп</w:t>
      </w:r>
      <w:r>
        <w:rPr>
          <w:sz w:val="20"/>
        </w:rP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ТКО</w:t>
      </w:r>
      <w:r>
        <w:rPr>
          <w:sz w:val="20"/>
        </w:rP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sz w:val="20"/>
          <w:vertAlign w:val="subscript"/>
        </w:rPr>
        <w:t xml:space="preserve">в</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952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вiф</w:t>
      </w:r>
      <w:r>
        <w:rPr>
          <w:sz w:val="20"/>
        </w:rPr>
        <w:t xml:space="preserve"> - фактический объем или масса выброса i-го загрязняющего вещества в предыдущем квартале, тонн (куб. м).</w:t>
      </w:r>
    </w:p>
    <w:p>
      <w:pPr>
        <w:pStyle w:val="0"/>
        <w:spacing w:before="200" w:line-rule="auto"/>
        <w:ind w:firstLine="540"/>
        <w:jc w:val="both"/>
      </w:pPr>
      <w:r>
        <w:rPr>
          <w:sz w:val="20"/>
        </w:rPr>
        <w:t xml:space="preserve">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sz w:val="20"/>
          <w:vertAlign w:val="subscript"/>
        </w:rPr>
        <w:t xml:space="preserve">с</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2286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сiф</w:t>
      </w:r>
      <w:r>
        <w:rPr>
          <w:sz w:val="20"/>
        </w:rPr>
        <w:t xml:space="preserve"> - фактический объем или масса сбросов i-го загрязняющего вещества в предыдущем квартале, тонн (куб. м).</w:t>
      </w:r>
    </w:p>
    <w:p>
      <w:pPr>
        <w:pStyle w:val="0"/>
        <w:spacing w:before="200" w:line-rule="auto"/>
        <w:ind w:firstLine="540"/>
        <w:jc w:val="both"/>
      </w:pPr>
      <w:r>
        <w:rPr>
          <w:sz w:val="20"/>
        </w:rPr>
        <w:t xml:space="preserve">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sz w:val="20"/>
          <w:vertAlign w:val="subscript"/>
        </w:rPr>
        <w:t xml:space="preserve">оп</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276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опj</w:t>
      </w:r>
      <w:r>
        <w:rPr>
          <w:sz w:val="20"/>
        </w:rPr>
        <w:t xml:space="preserve"> - фактический объем или масса размещенных отходов производства j-го класса опасности в предыдущем квартале, тонн (куб. м).</w:t>
      </w:r>
    </w:p>
    <w:p>
      <w:pPr>
        <w:pStyle w:val="0"/>
        <w:spacing w:before="200" w:line-rule="auto"/>
        <w:ind w:firstLine="540"/>
        <w:jc w:val="both"/>
      </w:pPr>
      <w:r>
        <w:rPr>
          <w:sz w:val="20"/>
        </w:rPr>
        <w:t xml:space="preserve">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sz w:val="20"/>
          <w:vertAlign w:val="subscript"/>
        </w:rPr>
        <w:t xml:space="preserve">ТКО</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324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оТКОj</w:t>
      </w:r>
      <w:r>
        <w:rPr>
          <w:sz w:val="20"/>
        </w:rPr>
        <w:t xml:space="preserve"> - фактический объем или масса размещенных твердых коммунальных отходов j-го класса опасности в предыдущем квартале, тонн (куб. м).</w:t>
      </w:r>
    </w:p>
    <w:p>
      <w:pPr>
        <w:pStyle w:val="0"/>
        <w:spacing w:before="200" w:line-rule="auto"/>
        <w:ind w:firstLine="540"/>
        <w:jc w:val="both"/>
      </w:pPr>
      <w:r>
        <w:rPr>
          <w:sz w:val="20"/>
        </w:rPr>
        <w:t xml:space="preserve">58. Квартальные авансовые платежи не вносятся в текущем отчетном периоде лицами, обязанными вносить плату:</w:t>
      </w:r>
    </w:p>
    <w:p>
      <w:pPr>
        <w:pStyle w:val="0"/>
        <w:spacing w:before="200" w:line-rule="auto"/>
        <w:ind w:firstLine="540"/>
        <w:jc w:val="both"/>
      </w:pPr>
      <w:r>
        <w:rPr>
          <w:sz w:val="20"/>
        </w:rPr>
        <w:t xml:space="preserve">а) в случае начала осуществления ими хозяйственной и (или) иной деятельности в течение этого отчетного периода;</w:t>
      </w:r>
    </w:p>
    <w:p>
      <w:pPr>
        <w:pStyle w:val="0"/>
        <w:spacing w:before="200" w:line-rule="auto"/>
        <w:ind w:firstLine="540"/>
        <w:jc w:val="both"/>
      </w:pPr>
      <w:r>
        <w:rPr>
          <w:sz w:val="20"/>
        </w:rPr>
        <w:t xml:space="preserve">б) в отношении побочных продуктов животноводства, признанных отходами в соответствии с </w:t>
      </w:r>
      <w:hyperlink w:history="0" r:id="rId9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в) в отношении побочных продуктов производства, признанных отходами в соответствии с </w:t>
      </w:r>
      <w:hyperlink w:history="0" r:id="rId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г) в отношении вскрышных и вмещающих горных пород, признанных отходами производства и потребления в соответствии со </w:t>
      </w:r>
      <w:hyperlink w:history="0" r:id="rId97"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bookmarkStart w:id="313" w:name="P313"/>
    <w:bookmarkEnd w:id="313"/>
    <w:p>
      <w:pPr>
        <w:pStyle w:val="0"/>
        <w:spacing w:before="200" w:line-rule="auto"/>
        <w:ind w:firstLine="540"/>
        <w:jc w:val="both"/>
      </w:pPr>
      <w:r>
        <w:rPr>
          <w:sz w:val="20"/>
        </w:rP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w:history="0" r:id="rId9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а также по месту выявления нарушений, указанных в </w:t>
      </w:r>
      <w:hyperlink w:history="0" r:id="rId99"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части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pPr>
        <w:pStyle w:val="0"/>
        <w:spacing w:before="200" w:line-rule="auto"/>
        <w:ind w:firstLine="540"/>
        <w:jc w:val="both"/>
      </w:pPr>
      <w:r>
        <w:rPr>
          <w:sz w:val="20"/>
        </w:rPr>
        <w:t xml:space="preserve">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pPr>
        <w:pStyle w:val="0"/>
        <w:spacing w:before="200" w:line-rule="auto"/>
        <w:ind w:firstLine="540"/>
        <w:jc w:val="both"/>
      </w:pPr>
      <w:r>
        <w:rPr>
          <w:sz w:val="20"/>
        </w:rPr>
        <w:t xml:space="preserve">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pPr>
        <w:pStyle w:val="0"/>
        <w:spacing w:before="200" w:line-rule="auto"/>
        <w:ind w:firstLine="540"/>
        <w:jc w:val="both"/>
      </w:pPr>
      <w:r>
        <w:rPr>
          <w:sz w:val="20"/>
        </w:rPr>
        <w:t xml:space="preserve">Зачет и возврат сумм излишне уплаченной (взысканной) платы за негативное воздействие осуществляются в </w:t>
      </w:r>
      <w:hyperlink w:history="0" r:id="rId100"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порядке</w:t>
        </w:r>
      </w:hyperlink>
      <w:r>
        <w:rPr>
          <w:sz w:val="20"/>
        </w:rPr>
        <w:t xml:space="preserve">, установленном администратором платы, на основании </w:t>
      </w:r>
      <w:r>
        <w:rPr>
          <w:sz w:val="20"/>
        </w:rPr>
        <w:t xml:space="preserve">заявления</w:t>
      </w:r>
      <w:r>
        <w:rPr>
          <w:sz w:val="20"/>
        </w:rPr>
        <w:t xml:space="preserve"> лица, обязанного вносить плату, не позднее 3 месяцев с даты получения администратором платы соответствующего заявления.</w:t>
      </w:r>
    </w:p>
    <w:p>
      <w:pPr>
        <w:pStyle w:val="0"/>
        <w:spacing w:before="200" w:line-rule="auto"/>
        <w:ind w:firstLine="540"/>
        <w:jc w:val="both"/>
      </w:pPr>
      <w:r>
        <w:rPr>
          <w:sz w:val="20"/>
        </w:rPr>
        <w:t xml:space="preserve">61. Контроль за исчислением платы осуществляется администратором платы:</w:t>
      </w:r>
    </w:p>
    <w:p>
      <w:pPr>
        <w:pStyle w:val="0"/>
        <w:spacing w:before="200" w:line-rule="auto"/>
        <w:ind w:firstLine="540"/>
        <w:jc w:val="both"/>
      </w:pPr>
      <w:r>
        <w:rPr>
          <w:sz w:val="20"/>
        </w:rPr>
        <w:t xml:space="preserve">а) в течение 9 месяцев со дня приема декларации о плате;</w:t>
      </w:r>
    </w:p>
    <w:p>
      <w:pPr>
        <w:pStyle w:val="0"/>
        <w:spacing w:before="200" w:line-rule="auto"/>
        <w:ind w:firstLine="540"/>
        <w:jc w:val="both"/>
      </w:pPr>
      <w:r>
        <w:rPr>
          <w:sz w:val="20"/>
        </w:rPr>
        <w:t xml:space="preserve">б) при проведении государственного экологического контроля (надзора) в соответствии с процедурами, предусмотренными Федеральным </w:t>
      </w:r>
      <w:hyperlink w:history="0" r:id="rId10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pPr>
        <w:pStyle w:val="0"/>
        <w:spacing w:before="200" w:line-rule="auto"/>
        <w:ind w:firstLine="540"/>
        <w:jc w:val="both"/>
      </w:pPr>
      <w:r>
        <w:rPr>
          <w:sz w:val="20"/>
        </w:rPr>
        <w:t xml:space="preserve">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pPr>
        <w:pStyle w:val="0"/>
        <w:spacing w:before="200" w:line-rule="auto"/>
        <w:ind w:firstLine="540"/>
        <w:jc w:val="both"/>
      </w:pPr>
      <w:r>
        <w:rPr>
          <w:sz w:val="20"/>
        </w:rPr>
        <w:t xml:space="preserve">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bookmarkStart w:id="323" w:name="P323"/>
    <w:bookmarkEnd w:id="323"/>
    <w:p>
      <w:pPr>
        <w:pStyle w:val="0"/>
        <w:spacing w:before="200" w:line-rule="auto"/>
        <w:ind w:firstLine="540"/>
        <w:jc w:val="both"/>
      </w:pPr>
      <w:r>
        <w:rPr>
          <w:sz w:val="20"/>
        </w:rPr>
        <w:t xml:space="preserve">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pPr>
        <w:pStyle w:val="0"/>
        <w:spacing w:before="200" w:line-rule="auto"/>
        <w:ind w:firstLine="540"/>
        <w:jc w:val="both"/>
      </w:pPr>
      <w:r>
        <w:rPr>
          <w:sz w:val="20"/>
        </w:rPr>
        <w:t xml:space="preserve">65. В случае несогласия с фактами, изложенными в требовании, указанном в </w:t>
      </w:r>
      <w:hyperlink w:history="0" w:anchor="P323" w:tooltip="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w:r>
          <w:rPr>
            <w:sz w:val="20"/>
            <w:color w:val="0000ff"/>
          </w:rPr>
          <w:t xml:space="preserve">пункте 64</w:t>
        </w:r>
      </w:hyperlink>
      <w:r>
        <w:rPr>
          <w:sz w:val="20"/>
        </w:rP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bookmarkStart w:id="325" w:name="P325"/>
    <w:bookmarkEnd w:id="325"/>
    <w:p>
      <w:pPr>
        <w:pStyle w:val="0"/>
        <w:spacing w:before="200" w:line-rule="auto"/>
        <w:ind w:firstLine="540"/>
        <w:jc w:val="both"/>
      </w:pPr>
      <w:r>
        <w:rPr>
          <w:sz w:val="20"/>
        </w:rPr>
        <w:t xml:space="preserve">66. В случае, указанном в </w:t>
      </w:r>
      <w:hyperlink w:history="0" w:anchor="P323" w:tooltip="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w:r>
          <w:rPr>
            <w:sz w:val="20"/>
            <w:color w:val="0000ff"/>
          </w:rPr>
          <w:t xml:space="preserve">пункте 64</w:t>
        </w:r>
      </w:hyperlink>
      <w:r>
        <w:rPr>
          <w:sz w:val="20"/>
        </w:rP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В течение 20 рабочих дней со дня получения от администратора платы соответствующего </w:t>
      </w:r>
      <w:hyperlink w:history="0" r:id="rId102"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лицо, обязанное вносить плату, обязано направить администратору платы копии указанных в требовании документов.</w:t>
      </w:r>
    </w:p>
    <w:p>
      <w:pPr>
        <w:pStyle w:val="0"/>
        <w:spacing w:before="200" w:line-rule="auto"/>
        <w:ind w:firstLine="540"/>
        <w:jc w:val="both"/>
      </w:pPr>
      <w:r>
        <w:rPr>
          <w:sz w:val="20"/>
        </w:rPr>
        <w:t xml:space="preserve">Копии документов, затребованные в соответствии с </w:t>
      </w:r>
      <w:hyperlink w:history="0" w:anchor="P325" w:tooltip="66. В случае, указанном в пункте 64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пункте 49 настоящих Правил. В течение 20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
        <w:r>
          <w:rPr>
            <w:sz w:val="20"/>
            <w:color w:val="0000ff"/>
          </w:rPr>
          <w:t xml:space="preserve">абзацем первым</w:t>
        </w:r>
      </w:hyperlink>
      <w:r>
        <w:rPr>
          <w:sz w:val="20"/>
        </w:rP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w:history="0" r:id="rId10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history="0" w:anchor="P218" w:tooltip="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пункте 49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
        <w:r>
          <w:rPr>
            <w:sz w:val="20"/>
            <w:color w:val="0000ff"/>
          </w:rPr>
          <w:t xml:space="preserve">пункте 50</w:t>
        </w:r>
      </w:hyperlink>
      <w:r>
        <w:rPr>
          <w:sz w:val="20"/>
        </w:rPr>
        <w:t xml:space="preserve"> настоящих Правил, а также непредставление (представление не в полном объеме) таким лицом копий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в срок, предусмотренный </w:t>
      </w:r>
      <w:hyperlink w:history="0" w:anchor="P325" w:tooltip="66. В случае, указанном в пункте 64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пункте 49 настоящих Правил. В течение 20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
        <w:r>
          <w:rPr>
            <w:sz w:val="20"/>
            <w:color w:val="0000ff"/>
          </w:rPr>
          <w:t xml:space="preserve">пунктом 66</w:t>
        </w:r>
      </w:hyperlink>
      <w:r>
        <w:rPr>
          <w:sz w:val="20"/>
        </w:rPr>
        <w:t xml:space="preserve"> настоящих Правил, является основанием для выставления администратором платы лицу, обязанному вносить плату, </w:t>
      </w:r>
      <w:hyperlink w:history="0" r:id="rId104"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о ее доначислении и довнесении в бюджеты бюджетной системы Российской Федерации.</w:t>
      </w:r>
    </w:p>
    <w:p>
      <w:pPr>
        <w:pStyle w:val="0"/>
        <w:spacing w:before="200" w:line-rule="auto"/>
        <w:ind w:firstLine="540"/>
        <w:jc w:val="both"/>
      </w:pPr>
      <w:r>
        <w:rPr>
          <w:sz w:val="20"/>
        </w:rPr>
        <w:t xml:space="preserve">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pPr>
        <w:pStyle w:val="0"/>
        <w:spacing w:before="200" w:line-rule="auto"/>
        <w:ind w:firstLine="540"/>
        <w:jc w:val="both"/>
      </w:pPr>
      <w:r>
        <w:rPr>
          <w:sz w:val="20"/>
        </w:rP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w:history="0" r:id="rId105"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w:history="0" r:id="rId106" w:tooltip="Приказ Росприроднадзора от 11.10.2021 N 691 &quot;Об утверждении Порядка составления акта проведения контроля за исчислением платы за негативное воздействие на окружающую среду и его формы&quot; (Зарегистрировано в Минюсте России 06.04.2022 N 68087) {КонсультантПлюс}">
        <w:r>
          <w:rPr>
            <w:sz w:val="20"/>
            <w:color w:val="0000ff"/>
          </w:rPr>
          <w:t xml:space="preserve">порядке</w:t>
        </w:r>
      </w:hyperlink>
      <w:r>
        <w:rPr>
          <w:sz w:val="20"/>
        </w:rPr>
        <w:t xml:space="preserve"> и по </w:t>
      </w:r>
      <w:hyperlink w:history="0" r:id="rId107" w:tooltip="Приказ Росприроднадзора от 11.10.2021 N 691 &quot;Об утверждении Порядка составления акта проведения контроля за исчислением платы за негативное воздействие на окружающую среду и его формы&quot; (Зарегистрировано в Минюсте России 06.04.2022 N 68087) {КонсультантПлюс}">
        <w:r>
          <w:rPr>
            <w:sz w:val="20"/>
            <w:color w:val="0000ff"/>
          </w:rPr>
          <w:t xml:space="preserve">форме</w:t>
        </w:r>
      </w:hyperlink>
      <w:r>
        <w:rPr>
          <w:sz w:val="20"/>
        </w:rPr>
        <w:t xml:space="preserve">, которые устанавливаются администратором платы.</w:t>
      </w:r>
    </w:p>
    <w:p>
      <w:pPr>
        <w:pStyle w:val="0"/>
        <w:spacing w:before="200" w:line-rule="auto"/>
        <w:ind w:firstLine="540"/>
        <w:jc w:val="both"/>
      </w:pPr>
      <w:r>
        <w:rPr>
          <w:sz w:val="20"/>
        </w:rPr>
        <w:t xml:space="preserve">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pPr>
        <w:pStyle w:val="0"/>
        <w:spacing w:before="200" w:line-rule="auto"/>
        <w:ind w:firstLine="540"/>
        <w:jc w:val="both"/>
      </w:pPr>
      <w:r>
        <w:rPr>
          <w:sz w:val="20"/>
        </w:rPr>
        <w:t xml:space="preserve">69. В акте проведения контроля за исчислением платы указываются:</w:t>
      </w:r>
    </w:p>
    <w:p>
      <w:pPr>
        <w:pStyle w:val="0"/>
        <w:spacing w:before="200" w:line-rule="auto"/>
        <w:ind w:firstLine="540"/>
        <w:jc w:val="both"/>
      </w:pPr>
      <w:r>
        <w:rPr>
          <w:sz w:val="20"/>
        </w:rPr>
        <w:t xml:space="preserve">а) дата составления акта проведения контроля за исчислением платы;</w:t>
      </w:r>
    </w:p>
    <w:p>
      <w:pPr>
        <w:pStyle w:val="0"/>
        <w:spacing w:before="200" w:line-rule="auto"/>
        <w:ind w:firstLine="540"/>
        <w:jc w:val="both"/>
      </w:pPr>
      <w:r>
        <w:rPr>
          <w:sz w:val="20"/>
        </w:rPr>
        <w:t xml:space="preserve">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pPr>
        <w:pStyle w:val="0"/>
        <w:spacing w:before="200" w:line-rule="auto"/>
        <w:ind w:firstLine="540"/>
        <w:jc w:val="both"/>
      </w:pPr>
      <w:r>
        <w:rPr>
          <w:sz w:val="20"/>
        </w:rPr>
        <w:t xml:space="preserve">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pPr>
        <w:pStyle w:val="0"/>
        <w:spacing w:before="200" w:line-rule="auto"/>
        <w:ind w:firstLine="540"/>
        <w:jc w:val="both"/>
      </w:pPr>
      <w:r>
        <w:rPr>
          <w:sz w:val="20"/>
        </w:rPr>
        <w:t xml:space="preserve">г) дата представления декларации о плате и иных документов;</w:t>
      </w:r>
    </w:p>
    <w:p>
      <w:pPr>
        <w:pStyle w:val="0"/>
        <w:spacing w:before="200" w:line-rule="auto"/>
        <w:ind w:firstLine="540"/>
        <w:jc w:val="both"/>
      </w:pPr>
      <w:r>
        <w:rPr>
          <w:sz w:val="20"/>
        </w:rPr>
        <w:t xml:space="preserve">д) перечень документов, представленных проверяемым лицом в ходе проведения контроля за исчислением платы;</w:t>
      </w:r>
    </w:p>
    <w:p>
      <w:pPr>
        <w:pStyle w:val="0"/>
        <w:spacing w:before="200" w:line-rule="auto"/>
        <w:ind w:firstLine="540"/>
        <w:jc w:val="both"/>
      </w:pPr>
      <w:r>
        <w:rPr>
          <w:sz w:val="20"/>
        </w:rPr>
        <w:t xml:space="preserve">е) период, за который проведен контроль за исчислением платы;</w:t>
      </w:r>
    </w:p>
    <w:p>
      <w:pPr>
        <w:pStyle w:val="0"/>
        <w:spacing w:before="200" w:line-rule="auto"/>
        <w:ind w:firstLine="540"/>
        <w:jc w:val="both"/>
      </w:pPr>
      <w:r>
        <w:rPr>
          <w:sz w:val="20"/>
        </w:rPr>
        <w:t xml:space="preserve">ж) наименование видов платы за негативное воздействие, в отношении которых проводился контроль за исчислением платы;</w:t>
      </w:r>
    </w:p>
    <w:p>
      <w:pPr>
        <w:pStyle w:val="0"/>
        <w:spacing w:before="200" w:line-rule="auto"/>
        <w:ind w:firstLine="540"/>
        <w:jc w:val="both"/>
      </w:pPr>
      <w:r>
        <w:rPr>
          <w:sz w:val="20"/>
        </w:rPr>
        <w:t xml:space="preserve">з) сведения о контрольных (надзорных) мероприятиях, осуществленных при проведении контроля за исчислением платы;</w:t>
      </w:r>
    </w:p>
    <w:p>
      <w:pPr>
        <w:pStyle w:val="0"/>
        <w:spacing w:before="200" w:line-rule="auto"/>
        <w:ind w:firstLine="540"/>
        <w:jc w:val="both"/>
      </w:pPr>
      <w:r>
        <w:rPr>
          <w:sz w:val="20"/>
        </w:rPr>
        <w:t xml:space="preserve">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pPr>
        <w:pStyle w:val="0"/>
        <w:spacing w:before="200" w:line-rule="auto"/>
        <w:ind w:firstLine="540"/>
        <w:jc w:val="both"/>
      </w:pPr>
      <w:r>
        <w:rPr>
          <w:sz w:val="20"/>
        </w:rPr>
        <w:t xml:space="preserve">к) выводы и предложения по устранению выявленных ошибок в расчетах и несоответствий (противоречий) в документах.</w:t>
      </w:r>
    </w:p>
    <w:bookmarkStart w:id="342" w:name="P342"/>
    <w:bookmarkEnd w:id="342"/>
    <w:p>
      <w:pPr>
        <w:pStyle w:val="0"/>
        <w:spacing w:before="200" w:line-rule="auto"/>
        <w:ind w:firstLine="540"/>
        <w:jc w:val="both"/>
      </w:pPr>
      <w:r>
        <w:rPr>
          <w:sz w:val="20"/>
        </w:rPr>
        <w:t xml:space="preserve">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pPr>
        <w:pStyle w:val="0"/>
        <w:spacing w:before="200" w:line-rule="auto"/>
        <w:ind w:firstLine="540"/>
        <w:jc w:val="both"/>
      </w:pPr>
      <w:r>
        <w:rPr>
          <w:sz w:val="20"/>
        </w:rPr>
        <w:t xml:space="preserve">71. При неисполнении в течение 10 календарных дней лицом, обязанным вносить плату, требования, указанного в </w:t>
      </w:r>
      <w:hyperlink w:history="0" w:anchor="P342" w:tooltip="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
        <w:r>
          <w:rPr>
            <w:sz w:val="20"/>
            <w:color w:val="0000ff"/>
          </w:rPr>
          <w:t xml:space="preserve">пункте 70</w:t>
        </w:r>
      </w:hyperlink>
      <w:r>
        <w:rPr>
          <w:sz w:val="20"/>
        </w:rPr>
        <w:t xml:space="preserve"> настоящих Правил, администратор платы начинает процедуру взыскания платы за негативное воздействие в судебном порядке.</w:t>
      </w:r>
    </w:p>
    <w:p>
      <w:pPr>
        <w:pStyle w:val="0"/>
        <w:spacing w:before="200" w:line-rule="auto"/>
        <w:ind w:firstLine="540"/>
        <w:jc w:val="both"/>
      </w:pPr>
      <w:r>
        <w:rPr>
          <w:sz w:val="20"/>
        </w:rPr>
        <w:t xml:space="preserve">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pPr>
        <w:pStyle w:val="0"/>
        <w:spacing w:before="200" w:line-rule="auto"/>
        <w:ind w:firstLine="540"/>
        <w:jc w:val="both"/>
      </w:pPr>
      <w:r>
        <w:rPr>
          <w:sz w:val="20"/>
        </w:rPr>
        <w:t xml:space="preserve">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w:t>
      </w:r>
      <w:r>
        <w:rPr>
          <w:sz w:val="20"/>
        </w:rPr>
        <w:t xml:space="preserve">заявление</w:t>
      </w:r>
      <w:r>
        <w:rPr>
          <w:sz w:val="20"/>
        </w:rPr>
        <w:t xml:space="preserve"> о возврате в установленном порядке суммы излишне внесенной платы за негативное воздействие.</w:t>
      </w:r>
    </w:p>
    <w:p>
      <w:pPr>
        <w:pStyle w:val="0"/>
        <w:spacing w:before="200" w:line-rule="auto"/>
        <w:ind w:firstLine="540"/>
        <w:jc w:val="both"/>
      </w:pPr>
      <w:r>
        <w:rPr>
          <w:sz w:val="20"/>
        </w:rPr>
        <w:t xml:space="preserve">Решения</w:t>
      </w:r>
      <w:r>
        <w:rPr>
          <w:sz w:val="20"/>
        </w:rPr>
        <w:t xml:space="preserve">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bookmarkStart w:id="347" w:name="P347"/>
    <w:bookmarkEnd w:id="347"/>
    <w:p>
      <w:pPr>
        <w:pStyle w:val="0"/>
        <w:spacing w:before="200" w:line-rule="auto"/>
        <w:ind w:firstLine="540"/>
        <w:jc w:val="both"/>
      </w:pPr>
      <w:r>
        <w:rPr>
          <w:sz w:val="20"/>
        </w:rP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history="0" w:anchor="P313" w:tooltip="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подпунктом 2 пункта 8 статьи 51.1 Федерального закона &quot;Об охране окружающей среды&quot;, а также по месту выявления нарушений, указанных в части 6 статьи 5 Федера...">
        <w:r>
          <w:rPr>
            <w:sz w:val="20"/>
            <w:color w:val="0000ff"/>
          </w:rPr>
          <w:t xml:space="preserve">пунктом 59</w:t>
        </w:r>
      </w:hyperlink>
      <w:r>
        <w:rPr>
          <w:sz w:val="20"/>
        </w:rP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w:history="0" r:id="rId10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16.4</w:t>
        </w:r>
      </w:hyperlink>
      <w:r>
        <w:rPr>
          <w:sz w:val="20"/>
        </w:rP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history="0" w:anchor="P228" w:tooltip="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
        <w:r>
          <w:rPr>
            <w:sz w:val="20"/>
            <w:color w:val="0000ff"/>
          </w:rPr>
          <w:t xml:space="preserve">пунктом 53</w:t>
        </w:r>
      </w:hyperlink>
      <w:r>
        <w:rPr>
          <w:sz w:val="20"/>
        </w:rPr>
        <w:t xml:space="preserve"> настоящих Правил.</w:t>
      </w:r>
    </w:p>
    <w:p>
      <w:pPr>
        <w:pStyle w:val="0"/>
        <w:spacing w:before="200" w:line-rule="auto"/>
        <w:ind w:firstLine="540"/>
        <w:jc w:val="both"/>
      </w:pPr>
      <w:r>
        <w:rPr>
          <w:sz w:val="20"/>
        </w:rP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history="0" w:anchor="P347" w:tooltip="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пунктом 59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статьей 16.4 Федерального закона &quot;Об охране окружающе...">
        <w:r>
          <w:rPr>
            <w:sz w:val="20"/>
            <w:color w:val="0000ff"/>
          </w:rPr>
          <w:t xml:space="preserve">абзаце первом</w:t>
        </w:r>
      </w:hyperlink>
      <w:r>
        <w:rPr>
          <w:sz w:val="20"/>
        </w:rP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pPr>
        <w:pStyle w:val="0"/>
        <w:spacing w:before="200" w:line-rule="auto"/>
        <w:ind w:firstLine="540"/>
        <w:jc w:val="both"/>
      </w:pPr>
      <w:r>
        <w:rPr>
          <w:sz w:val="20"/>
        </w:rPr>
        <w:t xml:space="preserve">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pPr>
        <w:pStyle w:val="0"/>
        <w:spacing w:before="200" w:line-rule="auto"/>
        <w:ind w:firstLine="540"/>
        <w:jc w:val="both"/>
      </w:pPr>
      <w:r>
        <w:rPr>
          <w:sz w:val="20"/>
        </w:rPr>
        <w:t xml:space="preserve">75. </w:t>
      </w:r>
      <w:r>
        <w:rPr>
          <w:sz w:val="20"/>
        </w:rPr>
        <w:t xml:space="preserve">Формы</w:t>
      </w:r>
      <w:r>
        <w:rPr>
          <w:sz w:val="20"/>
        </w:rPr>
        <w:t xml:space="preserve">,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pPr>
        <w:pStyle w:val="0"/>
        <w:spacing w:before="200" w:line-rule="auto"/>
        <w:ind w:firstLine="540"/>
        <w:jc w:val="both"/>
      </w:pPr>
      <w:r>
        <w:rPr>
          <w:sz w:val="20"/>
        </w:rPr>
        <w:t xml:space="preserve">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pPr>
        <w:pStyle w:val="0"/>
        <w:spacing w:before="200" w:line-rule="auto"/>
        <w:ind w:firstLine="540"/>
        <w:jc w:val="both"/>
      </w:pPr>
      <w:r>
        <w:rPr>
          <w:sz w:val="20"/>
        </w:rPr>
        <w:t xml:space="preserve">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pPr>
        <w:pStyle w:val="0"/>
        <w:spacing w:before="200" w:line-rule="auto"/>
        <w:ind w:firstLine="540"/>
        <w:jc w:val="both"/>
      </w:pPr>
      <w:r>
        <w:rPr>
          <w:sz w:val="20"/>
        </w:rPr>
        <w:t xml:space="preserve">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31 мая 2023 г. N 881</w:t>
      </w:r>
    </w:p>
    <w:p>
      <w:pPr>
        <w:pStyle w:val="0"/>
        <w:jc w:val="both"/>
      </w:pPr>
      <w:r>
        <w:rPr>
          <w:sz w:val="20"/>
        </w:rPr>
      </w:r>
    </w:p>
    <w:bookmarkStart w:id="364" w:name="P364"/>
    <w:bookmarkEnd w:id="364"/>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2"/>
        <w:jc w:val="center"/>
      </w:pPr>
      <w:r>
        <w:rPr>
          <w:sz w:val="20"/>
        </w:rPr>
        <w:t xml:space="preserve">И ОТДЕЛЬНОГО ПОЛОЖЕНИЯ АКТА ПРАВИТЕЛЬСТВА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w:t>
      </w:r>
      <w:hyperlink w:history="0" r:id="rId109"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pPr>
        <w:pStyle w:val="0"/>
        <w:spacing w:before="200" w:line-rule="auto"/>
        <w:ind w:firstLine="540"/>
        <w:jc w:val="both"/>
      </w:pPr>
      <w:r>
        <w:rPr>
          <w:sz w:val="20"/>
        </w:rPr>
        <w:t xml:space="preserve">2. </w:t>
      </w:r>
      <w:hyperlink w:history="0" r:id="rId110" w:tooltip="Постановление Правительства РФ от 29.06.2018 N 758 (ред. от 16.02.2019) &quo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pPr>
        <w:pStyle w:val="0"/>
        <w:spacing w:before="200" w:line-rule="auto"/>
        <w:ind w:firstLine="540"/>
        <w:jc w:val="both"/>
      </w:pPr>
      <w:r>
        <w:rPr>
          <w:sz w:val="20"/>
        </w:rPr>
        <w:t xml:space="preserve">3. </w:t>
      </w:r>
      <w:hyperlink w:history="0" r:id="rId111" w:tooltip="Постановление Правительства РФ от 09.12.2019 N 1624 &quot;О внесении изменений в Правила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pPr>
        <w:pStyle w:val="0"/>
        <w:spacing w:before="200" w:line-rule="auto"/>
        <w:ind w:firstLine="540"/>
        <w:jc w:val="both"/>
      </w:pPr>
      <w:r>
        <w:rPr>
          <w:sz w:val="20"/>
        </w:rPr>
        <w:t xml:space="preserve">4. </w:t>
      </w:r>
      <w:hyperlink w:history="0" r:id="rId112" w:tooltip="Постановление Правительства РФ от 27.12.2019 N 1904 &quot;О внесении изменений в постановление Правительства Российской Федерации от 3 марта 2017 г. N 25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pPr>
        <w:pStyle w:val="0"/>
        <w:spacing w:before="200" w:line-rule="auto"/>
        <w:ind w:firstLine="540"/>
        <w:jc w:val="both"/>
      </w:pPr>
      <w:r>
        <w:rPr>
          <w:sz w:val="20"/>
        </w:rPr>
        <w:t xml:space="preserve">5. </w:t>
      </w:r>
      <w:hyperlink w:history="0" r:id="rId113" w:tooltip="Постановление Правительства РФ от 17.08.2020 N 1250 &quot;О внесении изменений в Правила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31.05.2023 N 881</w:t>
            <w:br/>
            <w:t>"Об утверждении Правил исчисления и взимания платы за негативное возд...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13B7C71B87E31C91A3CB4B515B4368AC08154638CCD8B6E34580DC9B84D95B453B2EF4228C5A0E92A458D04D5283F057D078889DkCI0L" TargetMode = "External"/>
	<Relationship Id="rId8" Type="http://schemas.openxmlformats.org/officeDocument/2006/relationships/hyperlink" Target="consultantplus://offline/ref=4F13B7C71B87E31C91A3CB4B515B4368AC08154638CCD8B6E34580DC9B84D95B453B2EF1278D565ACAEB598C0B0490F355D07B8981C1B2C0k8IDL" TargetMode = "External"/>
	<Relationship Id="rId9" Type="http://schemas.openxmlformats.org/officeDocument/2006/relationships/hyperlink" Target="consultantplus://offline/ref=4F13B7C71B87E31C91A3CB4B515B4368AC08154638CCD8B6E34580DC9B84D95B453B2EF4218E5A0E92A458D04D5283F057D078889DkCI0L" TargetMode = "External"/>
	<Relationship Id="rId10" Type="http://schemas.openxmlformats.org/officeDocument/2006/relationships/hyperlink" Target="consultantplus://offline/ref=4F13B7C71B87E31C91A3CB4B515B4368AC0E12413FC4D8B6E34580DC9B84D95B453B2EF1278D515BC3EB598C0B0490F355D07B8981C1B2C0k8IDL" TargetMode = "External"/>
	<Relationship Id="rId11" Type="http://schemas.openxmlformats.org/officeDocument/2006/relationships/hyperlink" Target="consultantplus://offline/ref=4F13B7C71B87E31C91A3CB4B515B4368AC08154638CCD8B6E34580DC9B84D95B453B2EF1278E585197B1498842539EEF57CF648A9FC1kBI1L" TargetMode = "External"/>
	<Relationship Id="rId12" Type="http://schemas.openxmlformats.org/officeDocument/2006/relationships/hyperlink" Target="consultantplus://offline/ref=4F13B7C71B87E31C91A3CB4B515B4368AC08104E39CAD8B6E34580DC9B84D95B453B2EF8268E5A0E92A458D04D5283F057D078889DkCI0L" TargetMode = "External"/>
	<Relationship Id="rId13" Type="http://schemas.openxmlformats.org/officeDocument/2006/relationships/hyperlink" Target="consultantplus://offline/ref=4F13B7C71B87E31C91A3CB4B515B4368AC0F104139CBD8B6E34580DC9B84D95B453B2EF1278D5159C6EB598C0B0490F355D07B8981C1B2C0k8IDL" TargetMode = "External"/>
	<Relationship Id="rId14" Type="http://schemas.openxmlformats.org/officeDocument/2006/relationships/hyperlink" Target="consultantplus://offline/ref=4F13B7C71B87E31C91A3CB4B515B4368AB0911453FC4D8B6E34580DC9B84D95B453B2EF1278D505BC7EB598C0B0490F355D07B8981C1B2C0k8IDL" TargetMode = "External"/>
	<Relationship Id="rId15" Type="http://schemas.openxmlformats.org/officeDocument/2006/relationships/hyperlink" Target="consultantplus://offline/ref=4F13B7C71B87E31C91A3CB4B515B4368AC0F104139CBD8B6E34580DC9B84D95B453B2EF1278D5159C6EB598C0B0490F355D07B8981C1B2C0k8IDL" TargetMode = "External"/>
	<Relationship Id="rId16" Type="http://schemas.openxmlformats.org/officeDocument/2006/relationships/hyperlink" Target="consultantplus://offline/ref=4F13B7C71B87E31C91A3CB4B515B4368AC08154638CCD8B6E34580DC9B84D95B453B2EF1278E585197B1498842539EEF57CF648A9FC1kBI1L" TargetMode = "External"/>
	<Relationship Id="rId17" Type="http://schemas.openxmlformats.org/officeDocument/2006/relationships/hyperlink" Target="consultantplus://offline/ref=4F13B7C71B87E31C91A3CB4B515B4368AC08104E39CAD8B6E34580DC9B84D95B453B2EF8268E5A0E92A458D04D5283F057D078889DkCI0L" TargetMode = "External"/>
	<Relationship Id="rId18" Type="http://schemas.openxmlformats.org/officeDocument/2006/relationships/hyperlink" Target="consultantplus://offline/ref=4F13B7C71B87E31C91A3CB4B515B4368AC08104E39CAD8B6E34580DC9B84D95B453B2EF6248C5A0E92A458D04D5283F057D078889DkCI0L" TargetMode = "External"/>
	<Relationship Id="rId19" Type="http://schemas.openxmlformats.org/officeDocument/2006/relationships/hyperlink" Target="consultantplus://offline/ref=4F13B7C71B87E31C91A3CB4B515B4368AC08104E39CAD8B6E34580DC9B84D95B453B2EF8258D5A0E92A458D04D5283F057D078889DkCI0L" TargetMode = "External"/>
	<Relationship Id="rId20" Type="http://schemas.openxmlformats.org/officeDocument/2006/relationships/hyperlink" Target="consultantplus://offline/ref=4F13B7C71B87E31C91A3CB4B515B4368AC08104E39CAD8B6E34580DC9B84D95B573B76FD258E4F5BC2FE0FDD4Dk5I2L" TargetMode = "External"/>
	<Relationship Id="rId21" Type="http://schemas.openxmlformats.org/officeDocument/2006/relationships/hyperlink" Target="consultantplus://offline/ref=4F13B7C71B87E31C91A3CB4B515B4368AC08104E39CAD8B6E34580DC9B84D95B453B2EF8258C5A0E92A458D04D5283F057D078889DkCI0L" TargetMode = "External"/>
	<Relationship Id="rId22" Type="http://schemas.openxmlformats.org/officeDocument/2006/relationships/hyperlink" Target="consultantplus://offline/ref=4F13B7C71B87E31C91A3CB4B515B4368AC08154638CCD8B6E34580DC9B84D95B453B2EF12789595197B1498842539EEF57CF648A9FC1kBI1L" TargetMode = "External"/>
	<Relationship Id="rId23" Type="http://schemas.openxmlformats.org/officeDocument/2006/relationships/hyperlink" Target="consultantplus://offline/ref=4F13B7C71B87E31C91A3CB4B515B4368AC08104E39CAD8B6E34580DC9B84D95B453B2EF8268E5A0E92A458D04D5283F057D078889DkCI0L" TargetMode = "External"/>
	<Relationship Id="rId24" Type="http://schemas.openxmlformats.org/officeDocument/2006/relationships/hyperlink" Target="consultantplus://offline/ref=4F13B7C71B87E31C91A3CB4B515B4368AC08154638CCD8B6E34580DC9B84D95B573B76FD258E4F5BC2FE0FDD4Dk5I2L" TargetMode = "External"/>
	<Relationship Id="rId25" Type="http://schemas.openxmlformats.org/officeDocument/2006/relationships/hyperlink" Target="consultantplus://offline/ref=4F13B7C71B87E31C91A3CB4B515B4368AB0F154138CED8B6E34580DC9B84D95B453B2EF1278D515AC5EB598C0B0490F355D07B8981C1B2C0k8IDL" TargetMode = "External"/>
	<Relationship Id="rId26" Type="http://schemas.openxmlformats.org/officeDocument/2006/relationships/hyperlink" Target="consultantplus://offline/ref=4F13B7C71B87E31C91A3CB4B515B4368AC08154638CCD8B6E34580DC9B84D95B453B2EF425845A0E92A458D04D5283F057D078889DkCI0L" TargetMode = "External"/>
	<Relationship Id="rId27" Type="http://schemas.openxmlformats.org/officeDocument/2006/relationships/hyperlink" Target="consultantplus://offline/ref=4F13B7C71B87E31C91A3CB4B515B4368AB09124E37C5D8B6E34580DC9B84D95B573B76FD258E4F5BC2FE0FDD4Dk5I2L" TargetMode = "External"/>
	<Relationship Id="rId28" Type="http://schemas.openxmlformats.org/officeDocument/2006/relationships/hyperlink" Target="consultantplus://offline/ref=4F13B7C71B87E31C91A3CB4B515B4368AB0911453FC4D8B6E34580DC9B84D95B573B76FD258E4F5BC2FE0FDD4Dk5I2L" TargetMode = "External"/>
	<Relationship Id="rId29" Type="http://schemas.openxmlformats.org/officeDocument/2006/relationships/hyperlink" Target="consultantplus://offline/ref=4F13B7C71B87E31C91A3CB4B515B4368AC08154638CCD8B6E34580DC9B84D95B453B2EF1278E585197B1498842539EEF57CF648A9FC1kBI1L" TargetMode = "External"/>
	<Relationship Id="rId30" Type="http://schemas.openxmlformats.org/officeDocument/2006/relationships/hyperlink" Target="consultantplus://offline/ref=4F13B7C71B87E31C91A3CB4B515B4368AC0F104139CBD8B6E34580DC9B84D95B453B2EF1278D5159C6EB598C0B0490F355D07B8981C1B2C0k8IDL" TargetMode = "External"/>
	<Relationship Id="rId31" Type="http://schemas.openxmlformats.org/officeDocument/2006/relationships/hyperlink" Target="consultantplus://offline/ref=4F13B7C71B87E31C91A3CB4B515B4368AC08154638CCD8B6E34580DC9B84D95B453B2EF1278E585197B1498842539EEF57CF648A9FC1kBI1L" TargetMode = "External"/>
	<Relationship Id="rId32" Type="http://schemas.openxmlformats.org/officeDocument/2006/relationships/hyperlink" Target="consultantplus://offline/ref=4F13B7C71B87E31C91A3CB4B515B4368AC08104E39CAD8B6E34580DC9B84D95B453B2EF8268E5A0E92A458D04D5283F057D078889DkCI0L" TargetMode = "External"/>
	<Relationship Id="rId33" Type="http://schemas.openxmlformats.org/officeDocument/2006/relationships/hyperlink" Target="consultantplus://offline/ref=4F13B7C71B87E31C91A3CB4B515B4368AB0F154138CED8B6E34580DC9B84D95B453B2EF1278D515AC5EB598C0B0490F355D07B8981C1B2C0k8IDL" TargetMode = "External"/>
	<Relationship Id="rId34" Type="http://schemas.openxmlformats.org/officeDocument/2006/relationships/hyperlink" Target="consultantplus://offline/ref=4F13B7C71B87E31C91A3CB4B515B4368AC0E114536CBD8B6E34580DC9B84D95B453B2EF1278D515BC5EB598C0B0490F355D07B8981C1B2C0k8IDL" TargetMode = "External"/>
	<Relationship Id="rId35" Type="http://schemas.openxmlformats.org/officeDocument/2006/relationships/hyperlink" Target="consultantplus://offline/ref=4F13B7C71B87E31C91A3CB4B515B4368AC0E114536CBD8B6E34580DC9B84D95B453B2EF32CD9001E96ED0FDE51509CEF54CE78k8IBL" TargetMode = "External"/>
	<Relationship Id="rId36" Type="http://schemas.openxmlformats.org/officeDocument/2006/relationships/hyperlink" Target="consultantplus://offline/ref=4F13B7C71B87E31C91A3CB4B515B4368AB0B184139C5D8B6E34580DC9B84D95B453B2EF1278D515BC2EB598C0B0490F355D07B8981C1B2C0k8IDL" TargetMode = "External"/>
	<Relationship Id="rId37" Type="http://schemas.openxmlformats.org/officeDocument/2006/relationships/hyperlink" Target="consultantplus://offline/ref=0EC2AE599AAD608543BE3F3213B5569B79A687239AFF047A86954C6ACFA9FF4D4EA34A4C5463A21F97DD24049D613D740FD27B01E60Cl5I8L" TargetMode = "External"/>
	<Relationship Id="rId38" Type="http://schemas.openxmlformats.org/officeDocument/2006/relationships/hyperlink" Target="consultantplus://offline/ref=0EC2AE599AAD608543BE3F3213B5569B79A182249BF8047A86954C6ACFA9FF4D4EA34A4C5460AB17C6873400D43633680DCD6402F80C5B1Fl4I3L" TargetMode = "External"/>
	<Relationship Id="rId39" Type="http://schemas.openxmlformats.org/officeDocument/2006/relationships/hyperlink" Target="consultantplus://offline/ref=0EC2AE599AAD608543BE3F3213B5569B79A687239AFF047A86954C6ACFA9FF4D4EA34A4C5464A21F97DD24049D613D740FD27B01E60Cl5I8L" TargetMode = "External"/>
	<Relationship Id="rId40" Type="http://schemas.openxmlformats.org/officeDocument/2006/relationships/hyperlink" Target="consultantplus://offline/ref=0EC2AE599AAD608543BE3F3213B5569B79A6822B9BF9047A86954C6ACFA9FF4D4EA34A455563A04092C8355C9260206B0FCD6703E4l0IDL" TargetMode = "External"/>
	<Relationship Id="rId41" Type="http://schemas.openxmlformats.org/officeDocument/2006/relationships/image" Target="media/image2.wmf"/>
	<Relationship Id="rId42" Type="http://schemas.openxmlformats.org/officeDocument/2006/relationships/hyperlink" Target="consultantplus://offline/ref=0EC2AE599AAD608543BE3F3213B5569B7EA5812599FB047A86954C6ACFA9FF4D4EA34A4C5460AB14CB873400D43633680DCD6402F80C5B1Fl4I3L" TargetMode = "External"/>
	<Relationship Id="rId43" Type="http://schemas.openxmlformats.org/officeDocument/2006/relationships/hyperlink" Target="consultantplus://offline/ref=0EC2AE599AAD608543BE3F3213B5569B79A687239AFF047A86954C6ACFA9FF4D4EA34A495669A04092C8355C9260206B0FCD6703E4l0IDL" TargetMode = "External"/>
	<Relationship Id="rId44" Type="http://schemas.openxmlformats.org/officeDocument/2006/relationships/image" Target="media/image3.wmf"/>
	<Relationship Id="rId45" Type="http://schemas.openxmlformats.org/officeDocument/2006/relationships/hyperlink" Target="consultantplus://offline/ref=0EC2AE599AAD608543BE3F3213B5569B79A687239AFF047A86954C6ACFA9FF4D4EA34A495769A04092C8355C9260206B0FCD6703E4l0IDL" TargetMode = "External"/>
	<Relationship Id="rId46" Type="http://schemas.openxmlformats.org/officeDocument/2006/relationships/hyperlink" Target="consultantplus://offline/ref=0EC2AE599AAD608543BE3F3213B5569B79A687239AFF047A86954C6ACFA9FF4D4EA34A4C5461AC1F97DD24049D613D740FD27B01E60Cl5I8L" TargetMode = "External"/>
	<Relationship Id="rId47" Type="http://schemas.openxmlformats.org/officeDocument/2006/relationships/hyperlink" Target="consultantplus://offline/ref=0EC2AE599AAD608543BE3F3213B5569B79A687239AFF047A86954C6ACFA9FF4D4EA34A4C5460AD12C1873400D43633680DCD6402F80C5B1Fl4I3L" TargetMode = "External"/>
	<Relationship Id="rId48" Type="http://schemas.openxmlformats.org/officeDocument/2006/relationships/hyperlink" Target="consultantplus://offline/ref=0EC2AE599AAD608543BE3F3213B5569B79A687239AFF047A86954C6ACFA9FF4D4EA34A495060A04092C8355C9260206B0FCD6703E4l0IDL" TargetMode = "External"/>
	<Relationship Id="rId49" Type="http://schemas.openxmlformats.org/officeDocument/2006/relationships/hyperlink" Target="consultantplus://offline/ref=0EC2AE599AAD608543BE3F3213B5569B79A687239AFF047A86954C6ACFA9FF4D4EA34A495063A04092C8355C9260206B0FCD6703E4l0IDL" TargetMode = "External"/>
	<Relationship Id="rId50" Type="http://schemas.openxmlformats.org/officeDocument/2006/relationships/image" Target="media/image4.wmf"/>
	<Relationship Id="rId51" Type="http://schemas.openxmlformats.org/officeDocument/2006/relationships/image" Target="media/image5.wmf"/>
	<Relationship Id="rId52" Type="http://schemas.openxmlformats.org/officeDocument/2006/relationships/image" Target="media/image6.wmf"/>
	<Relationship Id="rId53" Type="http://schemas.openxmlformats.org/officeDocument/2006/relationships/image" Target="media/image7.wmf"/>
	<Relationship Id="rId54" Type="http://schemas.openxmlformats.org/officeDocument/2006/relationships/image" Target="media/image8.wmf"/>
	<Relationship Id="rId55" Type="http://schemas.openxmlformats.org/officeDocument/2006/relationships/image" Target="media/image9.wmf"/>
	<Relationship Id="rId56" Type="http://schemas.openxmlformats.org/officeDocument/2006/relationships/hyperlink" Target="consultantplus://offline/ref=0EC2AE599AAD608543BE3F3213B5569B79A687239AFF047A86954C6ACFA9FF4D4EA34A4C5463A21F97DD24049D613D740FD27B01E60Cl5I8L" TargetMode = "External"/>
	<Relationship Id="rId57" Type="http://schemas.openxmlformats.org/officeDocument/2006/relationships/image" Target="media/image10.wmf"/>
	<Relationship Id="rId58" Type="http://schemas.openxmlformats.org/officeDocument/2006/relationships/hyperlink" Target="consultantplus://offline/ref=0EC2AE599AAD608543BE3F3213B5569B79A687239AFF047A86954C6ACFA9FF4D4EA34A4C5463A21F97DD24049D613D740FD27B01E60Cl5I8L" TargetMode = "External"/>
	<Relationship Id="rId59" Type="http://schemas.openxmlformats.org/officeDocument/2006/relationships/hyperlink" Target="consultantplus://offline/ref=0EC2AE599AAD608543BE3F3213B5569B79A687239AFF047A86954C6ACFA9FF4D4EA34A4C5464AB1F97DD24049D613D740FD27B01E60Cl5I8L" TargetMode = "External"/>
	<Relationship Id="rId60" Type="http://schemas.openxmlformats.org/officeDocument/2006/relationships/hyperlink" Target="consultantplus://offline/ref=0EC2AE599AAD608543BE3F3213B5569B79A687239AFF047A86954C6ACFA9FF4D4EA34A4C5464AB1F97DD24049D613D740FD27B01E60Cl5I8L" TargetMode = "External"/>
	<Relationship Id="rId61" Type="http://schemas.openxmlformats.org/officeDocument/2006/relationships/hyperlink" Target="consultantplus://offline/ref=0EC2AE599AAD608543BE3F3213B5569B79A687239AFF047A86954C6ACFA9FF4D4EA34A4C5463A21F97DD24049D613D740FD27B01E60Cl5I8L" TargetMode = "External"/>
	<Relationship Id="rId62" Type="http://schemas.openxmlformats.org/officeDocument/2006/relationships/image" Target="media/image11.wmf"/>
	<Relationship Id="rId63" Type="http://schemas.openxmlformats.org/officeDocument/2006/relationships/hyperlink" Target="consultantplus://offline/ref=0EC2AE599AAD608543BE3F3213B5569B79A687239AFF047A86954C6ACFA9FF4D4EA34A4C5463A21F97DD24049D613D740FD27B01E60Cl5I8L" TargetMode = "External"/>
	<Relationship Id="rId64" Type="http://schemas.openxmlformats.org/officeDocument/2006/relationships/hyperlink" Target="consultantplus://offline/ref=0EC2AE599AAD608543BE3F3213B5569B79A687239AFF047A86954C6ACFA9FF4D4EA34A4C5464AA1F97DD24049D613D740FD27B01E60Cl5I8L" TargetMode = "External"/>
	<Relationship Id="rId65" Type="http://schemas.openxmlformats.org/officeDocument/2006/relationships/hyperlink" Target="consultantplus://offline/ref=0EC2AE599AAD608543BE3F3213B5569B79A182249BF8047A86954C6ACFA9FF4D4EA34A4C5460AB17C6873400D43633680DCD6402F80C5B1Fl4I3L" TargetMode = "External"/>
	<Relationship Id="rId66" Type="http://schemas.openxmlformats.org/officeDocument/2006/relationships/image" Target="media/image12.wmf"/>
	<Relationship Id="rId67" Type="http://schemas.openxmlformats.org/officeDocument/2006/relationships/hyperlink" Target="consultantplus://offline/ref=0EC2AE599AAD608543BE3F3213B5569B79A182249BF8047A86954C6ACFA9FF4D4EA34A4C5460AB17C6873400D43633680DCD6402F80C5B1Fl4I3L" TargetMode = "External"/>
	<Relationship Id="rId68" Type="http://schemas.openxmlformats.org/officeDocument/2006/relationships/hyperlink" Target="consultantplus://offline/ref=0EC2AE599AAD608543BE3F3213B5569B79A182249BF8047A86954C6ACFA9FF4D4EA34A4C5460AB17C6873400D43633680DCD6402F80C5B1Fl4I3L" TargetMode = "External"/>
	<Relationship Id="rId69" Type="http://schemas.openxmlformats.org/officeDocument/2006/relationships/hyperlink" Target="consultantplus://offline/ref=0EC2AE599AAD608543BE3F3213B5569B79A687239AFF047A86954C6ACFA9FF4D4EA34A4A5562A04092C8355C9260206B0FCD6703E4l0IDL" TargetMode = "External"/>
	<Relationship Id="rId70" Type="http://schemas.openxmlformats.org/officeDocument/2006/relationships/hyperlink" Target="consultantplus://offline/ref=0EC2AE599AAD608543BE3F3213B5569B79A687239AFF047A86954C6ACFA9FF4D4EA34A4F5761A04092C8355C9260206B0FCD6703E4l0IDL" TargetMode = "External"/>
	<Relationship Id="rId71" Type="http://schemas.openxmlformats.org/officeDocument/2006/relationships/hyperlink" Target="consultantplus://offline/ref=0EC2AE599AAD608543BE3F3213B5569B7EA783209DF7047A86954C6ACFA9FF4D5CA312405663B515C292625192l6I0L" TargetMode = "External"/>
	<Relationship Id="rId72" Type="http://schemas.openxmlformats.org/officeDocument/2006/relationships/hyperlink" Target="consultantplus://offline/ref=0EC2AE599AAD608543BE3F3213B5569B79A687239AFF047A86954C6ACFA9FF4D4EA34A4C5464AB1F97DD24049D613D740FD27B01E60Cl5I8L" TargetMode = "External"/>
	<Relationship Id="rId73" Type="http://schemas.openxmlformats.org/officeDocument/2006/relationships/hyperlink" Target="consultantplus://offline/ref=0EC2AE599AAD608543BE3F3213B5569B79A6822B9BF9047A86954C6ACFA9FF4D4EA34A455563A04092C8355C9260206B0FCD6703E4l0IDL" TargetMode = "External"/>
	<Relationship Id="rId74" Type="http://schemas.openxmlformats.org/officeDocument/2006/relationships/hyperlink" Target="consultantplus://offline/ref=0EC2AE599AAD608543BE3F3213B5569B79A687239AFF047A86954C6ACFA9FF4D4EA34A4C5464AA1F97DD24049D613D740FD27B01E60Cl5I8L" TargetMode = "External"/>
	<Relationship Id="rId75" Type="http://schemas.openxmlformats.org/officeDocument/2006/relationships/hyperlink" Target="consultantplus://offline/ref=0EC2AE599AAD608543BE3F3213B5569B79A182249BF8047A86954C6ACFA9FF4D4EA34A4C5460AB17C6873400D43633680DCD6402F80C5B1Fl4I3L" TargetMode = "External"/>
	<Relationship Id="rId76" Type="http://schemas.openxmlformats.org/officeDocument/2006/relationships/hyperlink" Target="consultantplus://offline/ref=0EC2AE599AAD608543BE3F3213B5569B79A182249BF8047A86954C6ACFA9FF4D4EA34A4C5460AB17C6873400D43633680DCD6402F80C5B1Fl4I3L" TargetMode = "External"/>
	<Relationship Id="rId77" Type="http://schemas.openxmlformats.org/officeDocument/2006/relationships/hyperlink" Target="consultantplus://offline/ref=0EC2AE599AAD608543BE3F3213B5569B79A687239AFF047A86954C6ACFA9FF4D4EA34A4C5463A21F97DD24049D613D740FD27B01E60Cl5I8L" TargetMode = "External"/>
	<Relationship Id="rId78" Type="http://schemas.openxmlformats.org/officeDocument/2006/relationships/hyperlink" Target="consultantplus://offline/ref=0EC2AE599AAD608543BE3F3213B5569B79A182249BF8047A86954C6ACFA9FF4D4EA34A4C5460AB17C6873400D43633680DCD6402F80C5B1Fl4I3L" TargetMode = "External"/>
	<Relationship Id="rId79" Type="http://schemas.openxmlformats.org/officeDocument/2006/relationships/hyperlink" Target="consultantplus://offline/ref=0EC2AE599AAD608543BE3F3213B5569B79A6822B9BF9047A86954C6ACFA9FF4D4EA34A455563A04092C8355C9260206B0FCD6703E4l0IDL" TargetMode = "External"/>
	<Relationship Id="rId80" Type="http://schemas.openxmlformats.org/officeDocument/2006/relationships/hyperlink" Target="consultantplus://offline/ref=0EC2AE599AAD608543BE3F3213B5569B79A687239AFF047A86954C6ACFA9FF4D4EA34A4C5460AD12C0873400D43633680DCD6402F80C5B1Fl4I3L" TargetMode = "External"/>
	<Relationship Id="rId81" Type="http://schemas.openxmlformats.org/officeDocument/2006/relationships/hyperlink" Target="consultantplus://offline/ref=0EC2AE599AAD608543BE3F3213B5569B79A687239AFF047A86954C6ACFA9FF4D4EA34A4A5762A04092C8355C9260206B0FCD6703E4l0IDL" TargetMode = "External"/>
	<Relationship Id="rId82" Type="http://schemas.openxmlformats.org/officeDocument/2006/relationships/image" Target="media/image13.wmf"/>
	<Relationship Id="rId83" Type="http://schemas.openxmlformats.org/officeDocument/2006/relationships/hyperlink" Target="consultantplus://offline/ref=0EC2AE599AAD608543BE3F3213B5569B79A687239AFF047A86954C6ACFA9FF4D4EA34A4C5460AD12C0873400D43633680DCD6402F80C5B1Fl4I3L" TargetMode = "External"/>
	<Relationship Id="rId84" Type="http://schemas.openxmlformats.org/officeDocument/2006/relationships/hyperlink" Target="consultantplus://offline/ref=0EC2AE599AAD608543BE3F3213B5569B79A687239AFF047A86954C6ACFA9FF4D4EA34A4A5762A04092C8355C9260206B0FCD6703E4l0IDL" TargetMode = "External"/>
	<Relationship Id="rId85" Type="http://schemas.openxmlformats.org/officeDocument/2006/relationships/hyperlink" Target="consultantplus://offline/ref=0EC2AE599AAD608543BE3F3213B5569B79A687239AFF047A86954C6ACFA9FF4D4EA34A495665A04092C8355C9260206B0FCD6703E4l0IDL" TargetMode = "External"/>
	<Relationship Id="rId86" Type="http://schemas.openxmlformats.org/officeDocument/2006/relationships/image" Target="media/image14.wmf"/>
	<Relationship Id="rId87" Type="http://schemas.openxmlformats.org/officeDocument/2006/relationships/image" Target="media/image15.wmf"/>
	<Relationship Id="rId88" Type="http://schemas.openxmlformats.org/officeDocument/2006/relationships/image" Target="media/image16.wmf"/>
	<Relationship Id="rId89" Type="http://schemas.openxmlformats.org/officeDocument/2006/relationships/image" Target="media/image17.wmf"/>
	<Relationship Id="rId90" Type="http://schemas.openxmlformats.org/officeDocument/2006/relationships/image" Target="media/image18.wmf"/>
	<Relationship Id="rId91" Type="http://schemas.openxmlformats.org/officeDocument/2006/relationships/image" Target="media/image19.wmf"/>
	<Relationship Id="rId92" Type="http://schemas.openxmlformats.org/officeDocument/2006/relationships/image" Target="media/image20.wmf"/>
	<Relationship Id="rId93" Type="http://schemas.openxmlformats.org/officeDocument/2006/relationships/image" Target="media/image21.wmf"/>
	<Relationship Id="rId94" Type="http://schemas.openxmlformats.org/officeDocument/2006/relationships/image" Target="media/image22.wmf"/>
	<Relationship Id="rId95" Type="http://schemas.openxmlformats.org/officeDocument/2006/relationships/hyperlink" Target="consultantplus://offline/ref=0EC2AE599AAD608543BE3F3213B5569B79A182249BF8047A86954C6ACFA9FF4D4EA34A4C5460AB17C6873400D43633680DCD6402F80C5B1Fl4I3L" TargetMode = "External"/>
	<Relationship Id="rId96" Type="http://schemas.openxmlformats.org/officeDocument/2006/relationships/hyperlink" Target="consultantplus://offline/ref=0EC2AE599AAD608543BE3F3213B5569B79A687239AFF047A86954C6ACFA9FF4D4EA34A4C5463A21F97DD24049D613D740FD27B01E60Cl5I8L" TargetMode = "External"/>
	<Relationship Id="rId97" Type="http://schemas.openxmlformats.org/officeDocument/2006/relationships/hyperlink" Target="consultantplus://offline/ref=0EC2AE599AAD608543BE3F3213B5569B79A6822B9BF9047A86954C6ACFA9FF4D4EA34A455563A04092C8355C9260206B0FCD6703E4l0IDL" TargetMode = "External"/>
	<Relationship Id="rId98" Type="http://schemas.openxmlformats.org/officeDocument/2006/relationships/hyperlink" Target="consultantplus://offline/ref=0EC2AE599AAD608543BE3F3213B5569B79A687239AFF047A86954C6ACFA9FF4D4EA34A4C5464AA1F97DD24049D613D740FD27B01E60Cl5I8L" TargetMode = "External"/>
	<Relationship Id="rId99" Type="http://schemas.openxmlformats.org/officeDocument/2006/relationships/hyperlink" Target="consultantplus://offline/ref=0EC2AE599AAD608543BE3F3213B5569B79A182249BF8047A86954C6ACFA9FF4D4EA34A4C5460AB17C6873400D43633680DCD6402F80C5B1Fl4I3L" TargetMode = "External"/>
	<Relationship Id="rId100" Type="http://schemas.openxmlformats.org/officeDocument/2006/relationships/hyperlink" Target="consultantplus://offline/ref=0EC2AE599AAD608543BE3F3213B5569B7EA5822A95F7047A86954C6ACFA9FF4D4EA34A4C5460AB15C3873400D43633680DCD6402F80C5B1Fl4I3L" TargetMode = "External"/>
	<Relationship Id="rId101" Type="http://schemas.openxmlformats.org/officeDocument/2006/relationships/hyperlink" Target="consultantplus://offline/ref=0EC2AE599AAD608543BE3F3213B5569B79A583239EF6047A86954C6ACFA9FF4D5CA312405663B515C292625192l6I0L" TargetMode = "External"/>
	<Relationship Id="rId102" Type="http://schemas.openxmlformats.org/officeDocument/2006/relationships/hyperlink" Target="consultantplus://offline/ref=0EC2AE599AAD608543BE3F3213B5569B7FA287249EF9047A86954C6ACFA9FF4D4EA34A4C5460A914C0873400D43633680DCD6402F80C5B1Fl4I3L" TargetMode = "External"/>
	<Relationship Id="rId103" Type="http://schemas.openxmlformats.org/officeDocument/2006/relationships/hyperlink" Target="consultantplus://offline/ref=0EC2AE599AAD608543BE3F3213B5569B79A687209CFB047A86954C6ACFA9FF4D5CA312405663B515C292625192l6I0L" TargetMode = "External"/>
	<Relationship Id="rId104" Type="http://schemas.openxmlformats.org/officeDocument/2006/relationships/hyperlink" Target="consultantplus://offline/ref=0EC2AE599AAD608543BE3F3213B5569B7FA287249EF9047A86954C6ACFA9FF4D4EA34A4C5460AB16C2873400D43633680DCD6402F80C5B1Fl4I3L" TargetMode = "External"/>
	<Relationship Id="rId105" Type="http://schemas.openxmlformats.org/officeDocument/2006/relationships/hyperlink" Target="consultantplus://offline/ref=0EC2AE599AAD608543BE3F3213B5569B7FA287249EF9047A86954C6ACFA9FF4D4EA34A4C5460AA1DC5873400D43633680DCD6402F80C5B1Fl4I3L" TargetMode = "External"/>
	<Relationship Id="rId106" Type="http://schemas.openxmlformats.org/officeDocument/2006/relationships/hyperlink" Target="consultantplus://offline/ref=0EC2AE599AAD608543BE3F3213B5569B79A2802A98FE047A86954C6ACFA9FF4D4EA34A4C5460AB15C1873400D43633680DCD6402F80C5B1Fl4I3L" TargetMode = "External"/>
	<Relationship Id="rId107" Type="http://schemas.openxmlformats.org/officeDocument/2006/relationships/hyperlink" Target="consultantplus://offline/ref=0EC2AE599AAD608543BE3F3213B5569B79A2802A98FE047A86954C6ACFA9FF4D4EA34A4C5460AB12C0873400D43633680DCD6402F80C5B1Fl4I3L" TargetMode = "External"/>
	<Relationship Id="rId108" Type="http://schemas.openxmlformats.org/officeDocument/2006/relationships/hyperlink" Target="consultantplus://offline/ref=0EC2AE599AAD608543BE3F3213B5569B79A687239AFF047A86954C6ACFA9FF4D4EA34A4C5460AC14C3873400D43633680DCD6402F80C5B1Fl4I3L" TargetMode = "External"/>
	<Relationship Id="rId109" Type="http://schemas.openxmlformats.org/officeDocument/2006/relationships/hyperlink" Target="consultantplus://offline/ref=0EC2AE599AAD608543BE3F3213B5569B7EA5832094F6047A86954C6ACFA9FF4D5CA312405663B515C292625192l6I0L" TargetMode = "External"/>
	<Relationship Id="rId110" Type="http://schemas.openxmlformats.org/officeDocument/2006/relationships/hyperlink" Target="consultantplus://offline/ref=0EC2AE599AAD608543BE3F3213B5569B7EA28B269DFC047A86954C6ACFA9FF4D4EA34A4C5460AB11C1873400D43633680DCD6402F80C5B1Fl4I3L" TargetMode = "External"/>
	<Relationship Id="rId111" Type="http://schemas.openxmlformats.org/officeDocument/2006/relationships/hyperlink" Target="consultantplus://offline/ref=0EC2AE599AAD608543BE3F3213B5569B7EA08A2A98F7047A86954C6ACFA9FF4D5CA312405663B515C292625192l6I0L" TargetMode = "External"/>
	<Relationship Id="rId112" Type="http://schemas.openxmlformats.org/officeDocument/2006/relationships/hyperlink" Target="consultantplus://offline/ref=0EC2AE599AAD608543BE3F3213B5569B7EA7812395FC047A86954C6ACFA9FF4D5CA312405663B515C292625192l6I0L" TargetMode = "External"/>
	<Relationship Id="rId113" Type="http://schemas.openxmlformats.org/officeDocument/2006/relationships/hyperlink" Target="consultantplus://offline/ref=0EC2AE599AAD608543BE3F3213B5569B7EA583209EFE047A86954C6ACFA9FF4D5CA312405663B515C292625192l6I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31.05.2023 N 881
"Об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dc:title>
  <dcterms:created xsi:type="dcterms:W3CDTF">2023-11-23T11:08:30Z</dcterms:created>
</cp:coreProperties>
</file>