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12.05.2014 N 205</w:t>
              <w:br/>
              <w:t xml:space="preserve">"Об утверждении Порядка определения сметы расходов на проведение государственной экологической экспертизы"</w:t>
              <w:br/>
              <w:t xml:space="preserve">(Зарегистрировано в Минюсте России 30.05.2014 N 32503)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мая 2014 г. N 32503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12 мая 2014 г. N 205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ОПРЕДЕЛЕНИЯ СМЕТЫ РАСХОДОВ НА ПРОВЕДЕНИЕ ГОСУДАРСТВЕННОЙ</w:t>
      </w:r>
    </w:p>
    <w:p>
      <w:pPr>
        <w:pStyle w:val="2"/>
        <w:jc w:val="center"/>
      </w:pPr>
      <w:r>
        <w:rPr>
          <w:sz w:val="20"/>
        </w:rPr>
        <w:t xml:space="preserve">ЭКОЛОГИЧЕСКОЙ ЭКСПЕРТИЗЫ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пунктом 1 статьи 28</w:t>
        </w:r>
      </w:hyperlink>
      <w:r>
        <w:rPr>
          <w:sz w:val="20"/>
        </w:rPr>
        <w:t xml:space="preserve"> Федерального закона от 23 ноября 1995 г. N 174-ФЗ "Об экологической экспертизе" (Собрание законодательства Российской Федерации, 1995, N 48, ст. 4556; 1998, N 16, ст. 1800; 2004, N 35, ст. 3607; N 52, ст. 5276; 2006, N 1, ст. 10; N 50, ст. 5279; N 52, ст. 5498; 2008, N 20, ст. 2260; N 26, ст. 3015; N 30, ст. 3616, ст. 3618; N 45, ст. 5148, 2009, N 1, ст. 17; N 15, ст. 1780; N 19, ст. 2283; N 51, ст. 6151; 2011, N 27, ст. 3880; N 30, ст. 4591, ст. 4594, ст. 4596; 2012, N 26, ст. 3446; N 31, ст. 4322; 2013, N 19, ст. 2331; N 23, ст. 2866; N 52, ст. 6971)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2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определения сметы расходов на проведение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8" w:tooltip="Приказ Госкомэкологии РФ от 22.04.1998 N 238 &quot;Об утверждении &quot;Положения о порядке определения стоимости проведения государственной экологической экспертизы документации&quot; (вместе с &quot;Положением ...&quot;, утв. Госкомэкологией РФ 21.04.1998) (Зарегистрировано в Минюсте РФ 01.06.1998 N 1533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Государственного комитета Российской Федерации по охране окружающей среды от 22 апреля 1998 г. N 238 "Об утверждении "Положения о порядке определения стоимости проведения государственной экологической экспертизы документации" (зарегистрирован Министерством юстиции Российской Федерации 1 июня 1998 г., регистрационный N 1533) (Бюллетень нормативных актов федеральных органов исполнительной власти, 1998, N 13);</w:t>
      </w:r>
    </w:p>
    <w:p>
      <w:pPr>
        <w:pStyle w:val="0"/>
        <w:spacing w:before="200" w:line-rule="auto"/>
        <w:ind w:firstLine="540"/>
        <w:jc w:val="both"/>
      </w:pPr>
      <w:hyperlink w:history="0" r:id="rId9" w:tooltip="Приказ Минприроды РФ от 08.07.2010 N 251 &quot;Об утверждении методики расчета платы за государственную экологическую экспертизу&quot; (Зарегистрировано в Минюсте РФ 09.07.2010 N 1776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природных ресурсов и экологии Российской Федерации от 8 июля 2010 г. N 251 "Об утверждении методики расчета платы за государственную экологическую экспертизу" (зарегистрирован Министерством юстиции Российской Федерации 9 июля 2010 г., регистрационный N 17766) (Бюллетень нормативных актов федеральных органов исполнительной власти, 2010, N 30).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заместителя Министра Р.Р. Гизатулина.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С.Е.ДОНСКОЙ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0"/>
        </w:rPr>
        <w:t xml:space="preserve">от 12 мая 2014 г. N 205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ОПРЕДЕЛЕНИЯ СМЕТЫ РАСХОДОВ НА ПРОВЕДЕНИЕ ГОСУДАРСТВЕННОЙ</w:t>
      </w:r>
    </w:p>
    <w:p>
      <w:pPr>
        <w:pStyle w:val="2"/>
        <w:jc w:val="center"/>
      </w:pPr>
      <w:r>
        <w:rPr>
          <w:sz w:val="20"/>
        </w:rPr>
        <w:t xml:space="preserve">ЭКОЛОГИЧЕСКОЙ ЭКСПЕРТИЗЫ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Настоящий Порядок устанавливает порядок определения сметы расходов на проведение государственной экологической экспертизы объектов государственной экологической экспертизы федерального и регионального уровней.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Финансовое обеспечение проведения государственной экологической экспертизы объектов государственной экологической экспертизы, в том числе ее повторное проведение, осуществляется за счет соответствующего бюджета при условии внесения заказчиком документации, подлежащей государственной экологической экспертизе, сбора, рассчитанного в соответствии со сметой расходов на проведение государственной экологической экспертизы, определяемой Федеральной службой по надзору в сфере природопользования (ее территориальным органом) и органами государственной власти субъектов Российской Федерации в соответствии с настоящим Порядком &lt;*&gt;.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</w:t>
      </w:r>
      <w:hyperlink w:history="0" r:id="rId10" w:tooltip="Федеральный закон от 23.11.1995 N 174-ФЗ (ред. от 08.08.2024) &quot;Об экологической экспертизе&quot; (с изм. и доп., вступ. в силу с 01.09.2024) ------------ Недействующая редакция {КонсультантПлюс}">
        <w:r>
          <w:rPr>
            <w:sz w:val="20"/>
            <w:color w:val="0000ff"/>
          </w:rPr>
          <w:t xml:space="preserve">Статья 28</w:t>
        </w:r>
      </w:hyperlink>
      <w:r>
        <w:rPr>
          <w:sz w:val="20"/>
        </w:rPr>
        <w:t xml:space="preserve"> Федерального закона от 23 ноября 1995 г. N 174-ФЗ "Об экологической экспертизе".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II. Определение сметы расходов на проведение</w:t>
      </w:r>
    </w:p>
    <w:p>
      <w:pPr>
        <w:pStyle w:val="0"/>
        <w:jc w:val="center"/>
      </w:pPr>
      <w:r>
        <w:rPr>
          <w:sz w:val="20"/>
        </w:rPr>
        <w:t xml:space="preserve">государственной экологической экспертизы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Расходы на проведение государственной экологической экспертизы определяются по каждому объекту экспертизы и складываются из основных и накладных расходов.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Основные расходы на проведение государственной экологической экспертизы включают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2.2.1. Расходы на оплату труда внештатных экспертов государственной экологической экспертизы (далее - внештатные эксперты).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2.2.2. Расходы на уплату страховых взносов в фонды Российской Федерации в порядке и размерах, установленных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Накладные расходы на проведение государственной экологической экспертизы определяются в соответствии с действующим законодательством Российской Федерации и состоят из расходов на компенсацию затрат, связанных с выездом внештатных экспертов на место реализации объекта экспертизы, и прочих накладных расходов.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2.3.1. Компенсация затрат, связанных с выездом внештатных экспертов на место реализации объекта экспертизы, определяются отдельной строкой в смете расходов на проведение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затрат, связанных с выездом внештатных экспертов на место реализации объекта экспертизы (наем жилого помещения, выплата суточных, проезд к месту реализации объекта экспертизы и обратно и другое), которые подлежат компенсации, определяется договором (контрактом), заключенным между Федеральной службой по надзору в сфере природопользования (ее территориальным органом) или органом государственной власти субъекта Российской Федерации в области экологической экспертизы и внештатным экспертом в соответствии с приказом об организации и проведении государственной экологической экспертизы по конкретному объекту.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2.3.2. Прочие накладные расходы составляют 50% к основным расходам.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Расходы на проведение государственной экологической экспертизы определяются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8"/>
        </w:rPr>
        <w:drawing>
          <wp:inline distT="0" distB="0" distL="0" distR="0">
            <wp:extent cx="1600200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 N - расходы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L - основные расходы на проведение государственной экологической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position w:val="-8"/>
        </w:rPr>
        <w:drawing>
          <wp:inline distT="0" distB="0" distL="0" distR="0">
            <wp:extent cx="209550" cy="228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компенсация затрат, связанных с выездом внештатных экспертов на место реализации объекта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L x 50% - прочие накладные расходы на проведение государственной экологической экспертизы.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Расходы на оплату труда внештатных экспертов государственной экологической экспертизы определяются в соответствии с </w:t>
      </w:r>
      <w:hyperlink w:history="0" r:id="rId13" w:tooltip="Приказ Минприроды России от 23.09.2013 N 404 &quot;Об утверждении Порядка оплаты труда внештатных экспертов государственной экологической экспертизы&quot; (Зарегистрировано в Минюсте России 01.04.2014 N 3179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Министерства природных ресурсов и экологии Российской Федерации от 23 сентября 2013 г. N 404 "Об утверждении Порядка оплаты труда внештатных экспертов государственной экологической экспертизы" (зарегистрирован Министерством юстиции Российской Федерации 1 апреля 2014 г., регистрационный N 31794) ("Российская газета", 2014, N 80).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Рекомендуемый образец оформления сметы расходов на проведение государственной экологической экспертизы приведен в </w:t>
      </w:r>
      <w:hyperlink w:history="0" w:anchor="P79" w:tooltip="                              Смета расходов">
        <w:r>
          <w:rPr>
            <w:sz w:val="20"/>
            <w:color w:val="0000ff"/>
          </w:rPr>
          <w:t xml:space="preserve">Приложении</w:t>
        </w:r>
      </w:hyperlink>
      <w:r>
        <w:rPr>
          <w:sz w:val="20"/>
        </w:rPr>
        <w:t xml:space="preserve"> к настоящему Порядку.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 определения</w:t>
      </w:r>
    </w:p>
    <w:p>
      <w:pPr>
        <w:pStyle w:val="0"/>
        <w:jc w:val="right"/>
      </w:pPr>
      <w:r>
        <w:rPr>
          <w:sz w:val="20"/>
        </w:rPr>
        <w:t xml:space="preserve">сметы расходов на проведение</w:t>
      </w:r>
    </w:p>
    <w:p>
      <w:pPr>
        <w:pStyle w:val="0"/>
        <w:jc w:val="right"/>
      </w:pPr>
      <w:r>
        <w:rPr>
          <w:sz w:val="20"/>
        </w:rPr>
        <w:t xml:space="preserve">государственной экологической</w:t>
      </w:r>
    </w:p>
    <w:p>
      <w:pPr>
        <w:pStyle w:val="0"/>
        <w:jc w:val="right"/>
      </w:pPr>
      <w:r>
        <w:rPr>
          <w:sz w:val="20"/>
        </w:rPr>
        <w:t xml:space="preserve">экспертизы, утвержденному</w:t>
      </w:r>
    </w:p>
    <w:p>
      <w:pPr>
        <w:pStyle w:val="0"/>
        <w:jc w:val="right"/>
      </w:pPr>
      <w:r>
        <w:rPr>
          <w:sz w:val="20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0"/>
        </w:rPr>
        <w:t xml:space="preserve">от 12.05.2014 N 205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Рекомендуемый образец</w:t>
      </w:r>
    </w:p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1"/>
        <w:jc w:val="both"/>
      </w:pPr>
      <w:r>
        <w:rPr>
          <w:sz w:val="20"/>
        </w:rPr>
        <w:t xml:space="preserve">                              Смета расходов</w:t>
      </w:r>
    </w:p>
    <w:p>
      <w:pPr>
        <w:pStyle w:val="1"/>
        <w:jc w:val="both"/>
      </w:pPr>
      <w:r>
        <w:rPr>
          <w:sz w:val="20"/>
        </w:rPr>
        <w:t xml:space="preserve">          на проведение государственной экологической экспертизы</w:t>
      </w:r>
    </w:p>
    <w:p>
      <w:pPr>
        <w:pStyle w:val="1"/>
        <w:jc w:val="both"/>
      </w:pPr>
      <w:r>
        <w:rPr>
          <w:sz w:val="20"/>
        </w:rPr>
        <w:t xml:space="preserve">           по 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(наименование представленных на экспертизу</w:t>
      </w:r>
    </w:p>
    <w:p>
      <w:pPr>
        <w:pStyle w:val="1"/>
        <w:jc w:val="both"/>
      </w:pPr>
      <w:r>
        <w:rPr>
          <w:sz w:val="20"/>
        </w:rPr>
        <w:t xml:space="preserve">                         документации или материалов)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2"/>
        <w:gridCol w:w="5221"/>
        <w:gridCol w:w="989"/>
        <w:gridCol w:w="859"/>
        <w:gridCol w:w="1022"/>
        <w:gridCol w:w="1086"/>
      </w:tblGrid>
      <w:tr>
        <w:tc>
          <w:tcPr>
            <w:tcW w:w="5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2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показателей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изм.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К-во</w:t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ФОТ (руб.)</w:t>
            </w:r>
          </w:p>
        </w:tc>
        <w:tc>
          <w:tcPr>
            <w:tcW w:w="10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Сумма (руб.)</w:t>
            </w:r>
          </w:p>
        </w:tc>
      </w:tr>
      <w:tr>
        <w:tc>
          <w:tcPr>
            <w:tcW w:w="5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52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9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08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22" w:type="dxa"/>
            <w:vMerge w:val="restart"/>
          </w:tcPr>
          <w:bookmarkStart w:id="97" w:name="P97"/>
          <w:bookmarkEnd w:id="97"/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221" w:type="dxa"/>
          </w:tcPr>
          <w:p>
            <w:pPr>
              <w:pStyle w:val="0"/>
            </w:pPr>
            <w:r>
              <w:rPr>
                <w:sz w:val="20"/>
              </w:rPr>
              <w:t xml:space="preserve">Расходы на оплату труда внештатных экспертов - всего, в том числе: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22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Руководитель экспертной комиссии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221" w:type="dxa"/>
          </w:tcPr>
          <w:p>
            <w:pPr>
              <w:pStyle w:val="0"/>
            </w:pPr>
            <w:r>
              <w:rPr>
                <w:sz w:val="20"/>
              </w:rPr>
              <w:t xml:space="preserve">Эксперт по отдельным разделам экспертируемых материалов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  <w:t xml:space="preserve">чел.</w:t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bookmarkStart w:id="113" w:name="P113"/>
          <w:bookmarkEnd w:id="113"/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22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Начисления на фонд оплаты труда внештатных экспертов - всего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bookmarkStart w:id="119" w:name="P119"/>
          <w:bookmarkEnd w:id="119"/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522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основные расходы (</w:t>
            </w:r>
            <w:hyperlink w:history="0" w:anchor="P97" w:tooltip="1.">
              <w:r>
                <w:rPr>
                  <w:sz w:val="20"/>
                  <w:color w:val="0000ff"/>
                </w:rPr>
                <w:t xml:space="preserve">п. 1</w:t>
              </w:r>
            </w:hyperlink>
            <w:r>
              <w:rPr>
                <w:sz w:val="20"/>
              </w:rPr>
              <w:t xml:space="preserve"> + </w:t>
            </w:r>
            <w:hyperlink w:history="0" w:anchor="P113" w:tooltip="2.">
              <w:r>
                <w:rPr>
                  <w:sz w:val="20"/>
                  <w:color w:val="0000ff"/>
                </w:rPr>
                <w:t xml:space="preserve">п. 2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bookmarkStart w:id="125" w:name="P125"/>
          <w:bookmarkEnd w:id="125"/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522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Компенсация затрат, связанных с выездом внештатных экспертов на место реализации объекта экспертизы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bookmarkStart w:id="131" w:name="P131"/>
          <w:bookmarkEnd w:id="131"/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522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Прочие накладные расходы (50% от </w:t>
            </w:r>
            <w:hyperlink w:history="0" w:anchor="P119" w:tooltip="3.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bookmarkStart w:id="137" w:name="P137"/>
          <w:bookmarkEnd w:id="137"/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5221" w:type="dxa"/>
          </w:tcPr>
          <w:p>
            <w:pPr>
              <w:pStyle w:val="0"/>
            </w:pPr>
            <w:r>
              <w:rPr>
                <w:sz w:val="20"/>
              </w:rPr>
              <w:t xml:space="preserve">Итого накладные расходы (</w:t>
            </w:r>
            <w:hyperlink w:history="0" w:anchor="P125" w:tooltip="4.">
              <w:r>
                <w:rPr>
                  <w:sz w:val="20"/>
                  <w:color w:val="0000ff"/>
                </w:rPr>
                <w:t xml:space="preserve">п. 4</w:t>
              </w:r>
            </w:hyperlink>
            <w:r>
              <w:rPr>
                <w:sz w:val="20"/>
              </w:rPr>
              <w:t xml:space="preserve"> + </w:t>
            </w:r>
            <w:hyperlink w:history="0" w:anchor="P131" w:tooltip="5.">
              <w:r>
                <w:rPr>
                  <w:sz w:val="20"/>
                  <w:color w:val="0000ff"/>
                </w:rPr>
                <w:t xml:space="preserve">п. 5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22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5221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 (</w:t>
            </w:r>
            <w:hyperlink w:history="0" w:anchor="P119" w:tooltip="3.">
              <w:r>
                <w:rPr>
                  <w:sz w:val="20"/>
                  <w:color w:val="0000ff"/>
                </w:rPr>
                <w:t xml:space="preserve">п. 3</w:t>
              </w:r>
            </w:hyperlink>
            <w:r>
              <w:rPr>
                <w:sz w:val="20"/>
              </w:rPr>
              <w:t xml:space="preserve"> + </w:t>
            </w:r>
            <w:hyperlink w:history="0" w:anchor="P137" w:tooltip="6.">
              <w:r>
                <w:rPr>
                  <w:sz w:val="20"/>
                  <w:color w:val="0000ff"/>
                </w:rPr>
                <w:t xml:space="preserve">п. 6</w:t>
              </w:r>
            </w:hyperlink>
            <w:r>
              <w:rPr>
                <w:sz w:val="20"/>
              </w:rPr>
              <w:t xml:space="preserve">)</w:t>
            </w:r>
          </w:p>
        </w:tc>
        <w:tc>
          <w:tcPr>
            <w:tcW w:w="98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9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8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НДС  не  облагается  в  соответствии  с  </w:t>
      </w:r>
      <w:hyperlink w:history="0" r:id="rId14" w:tooltip="&quot;Налоговый кодекс Российской Федерации (часть вторая)&quot; от 05.08.2000 N 117-ФЗ (ред. от 30.11.2024) ------------ Недействующая редакция {КонсультантПлюс}">
        <w:r>
          <w:rPr>
            <w:sz w:val="20"/>
            <w:color w:val="0000ff"/>
          </w:rPr>
          <w:t xml:space="preserve">подпунктом  4  пункта 2 статьи 146</w:t>
        </w:r>
      </w:hyperlink>
    </w:p>
    <w:p>
      <w:pPr>
        <w:pStyle w:val="1"/>
        <w:jc w:val="both"/>
      </w:pPr>
      <w:r>
        <w:rPr>
          <w:sz w:val="20"/>
        </w:rPr>
        <w:t xml:space="preserve">Налогового   кодекса   Российской   Федерации   (Собрание  законодательства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2000,  N 32, ст. 3340; 2001, N 1, ст. 18; N 33, ст.</w:t>
      </w:r>
    </w:p>
    <w:p>
      <w:pPr>
        <w:pStyle w:val="1"/>
        <w:jc w:val="both"/>
      </w:pPr>
      <w:r>
        <w:rPr>
          <w:sz w:val="20"/>
        </w:rPr>
        <w:t xml:space="preserve">3413;  2002,  N  22,  ст. 2026; 2004, N 34, ст. 3524; 2005, N 30, ст. 3129;</w:t>
      </w:r>
    </w:p>
    <w:p>
      <w:pPr>
        <w:pStyle w:val="1"/>
        <w:jc w:val="both"/>
      </w:pPr>
      <w:r>
        <w:rPr>
          <w:sz w:val="20"/>
        </w:rPr>
        <w:t xml:space="preserve">2006,  N  45,  ст. 4627; 2007, N 1, ст. 39; N 49, ст. 6071; 2009, N 48, ст.</w:t>
      </w:r>
    </w:p>
    <w:p>
      <w:pPr>
        <w:pStyle w:val="1"/>
        <w:jc w:val="both"/>
      </w:pPr>
      <w:r>
        <w:rPr>
          <w:sz w:val="20"/>
        </w:rPr>
        <w:t xml:space="preserve">5731;  2010,  N  15,  ст. 1737; N 48, ст. 6247; 2011, N 1, ст. 7; N 30, ст.</w:t>
      </w:r>
    </w:p>
    <w:p>
      <w:pPr>
        <w:pStyle w:val="1"/>
        <w:jc w:val="both"/>
      </w:pPr>
      <w:r>
        <w:rPr>
          <w:sz w:val="20"/>
        </w:rPr>
        <w:t xml:space="preserve">4587, ст. 4593; N 48, ст. 6729; N 49, ст. 7016; 2013, N 23, ст. 2866; N 30,</w:t>
      </w:r>
    </w:p>
    <w:p>
      <w:pPr>
        <w:pStyle w:val="1"/>
        <w:jc w:val="both"/>
      </w:pPr>
      <w:r>
        <w:rPr>
          <w:sz w:val="20"/>
        </w:rPr>
        <w:t xml:space="preserve">ст. 4049).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Составил: ФИО, должность &lt;*&gt;</w:t>
      </w:r>
    </w:p>
    <w:p>
      <w:pPr>
        <w:pStyle w:val="1"/>
        <w:jc w:val="both"/>
      </w:pPr>
      <w:r>
        <w:rPr>
          <w:sz w:val="20"/>
        </w:rPr>
        <w:t xml:space="preserve">подпись: _______________________________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Подписывается уполномоченным работником Федеральной службы по надзору в сфере природопользования (ее территориального органа) или органа исполнительной власти субъекта Российской Федерации в области экологической экспертизы.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12.05.2014 N 205</w:t>
            <w:br/>
            <w:t>"Об утверждении Порядка определения сметы расходов на проведение государств...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1027&amp;dst=100409" TargetMode = "External"/>
	<Relationship Id="rId8" Type="http://schemas.openxmlformats.org/officeDocument/2006/relationships/hyperlink" Target="https://login.consultant.ru/link/?req=doc&amp;base=LAW&amp;n=18935" TargetMode = "External"/>
	<Relationship Id="rId9" Type="http://schemas.openxmlformats.org/officeDocument/2006/relationships/hyperlink" Target="https://login.consultant.ru/link/?req=doc&amp;base=LAW&amp;n=102480" TargetMode = "External"/>
	<Relationship Id="rId10" Type="http://schemas.openxmlformats.org/officeDocument/2006/relationships/hyperlink" Target="https://login.consultant.ru/link/?req=doc&amp;base=LAW&amp;n=471027&amp;dst=100408" TargetMode = "External"/>
	<Relationship Id="rId11" Type="http://schemas.openxmlformats.org/officeDocument/2006/relationships/image" Target="media/image2.wmf"/>
	<Relationship Id="rId12" Type="http://schemas.openxmlformats.org/officeDocument/2006/relationships/image" Target="media/image3.wmf"/>
	<Relationship Id="rId13" Type="http://schemas.openxmlformats.org/officeDocument/2006/relationships/hyperlink" Target="https://login.consultant.ru/link/?req=doc&amp;base=LAW&amp;n=161453" TargetMode = "External"/>
	<Relationship Id="rId14" Type="http://schemas.openxmlformats.org/officeDocument/2006/relationships/hyperlink" Target="https://login.consultant.ru/link/?req=doc&amp;base=LAW&amp;n=492056&amp;dst=10005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12.05.2014 N 205
"Об утверждении Порядка определения сметы расходов на проведение государственной экологической экспертизы"
(Зарегистрировано в Минюсте России 30.05.2014 N 32503)</dc:title>
  <dcterms:created xsi:type="dcterms:W3CDTF">2025-01-13T14:32:18Z</dcterms:created>
</cp:coreProperties>
</file>