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pacing w:lineRule="exact" w:line="24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Spacing"/>
        <w:spacing w:lineRule="exact" w:line="240"/>
        <w:ind w:hanging="0"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ОБЗОР </w:t>
      </w:r>
    </w:p>
    <w:p>
      <w:pPr>
        <w:pStyle w:val="NoSpacing"/>
        <w:spacing w:lineRule="exact" w:line="240"/>
        <w:ind w:hanging="0"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обращений граждан, поступивших в </w:t>
      </w:r>
    </w:p>
    <w:p>
      <w:pPr>
        <w:pStyle w:val="NoSpacing"/>
        <w:spacing w:lineRule="exact" w:line="240"/>
        <w:ind w:hanging="0"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Северо-Западное межрегиональное управление Росприроднадзора (далее - Управление) за </w:t>
      </w:r>
      <w:r>
        <w:rPr>
          <w:rFonts w:cs="Times New Roman" w:ascii="Times New Roman" w:hAnsi="Times New Roman"/>
          <w:b/>
          <w:sz w:val="28"/>
          <w:szCs w:val="28"/>
        </w:rPr>
        <w:t>3</w:t>
      </w:r>
      <w:r>
        <w:rPr>
          <w:rFonts w:cs="Times New Roman" w:ascii="Times New Roman" w:hAnsi="Times New Roman"/>
          <w:b/>
          <w:sz w:val="28"/>
          <w:szCs w:val="28"/>
        </w:rPr>
        <w:t xml:space="preserve"> квартал 2025г.</w:t>
      </w:r>
    </w:p>
    <w:p>
      <w:pPr>
        <w:pStyle w:val="NoSpacing"/>
        <w:spacing w:lineRule="exact" w:line="240"/>
        <w:ind w:hanging="0"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Обращения граждан и организаций (далее – обращения) рассматриваются в Северо-Западном межрегиональном Управлении Росприроднадзора строго в соответствии с Федеральным законом Российской Федерации от 02.05.2006</w:t>
        <w:br/>
        <w:t>№ 59-ФЗ «О порядке рассмотрения обращений граждан Российской Федерации».</w:t>
      </w:r>
      <w:r>
        <w:rPr/>
        <w:t xml:space="preserve">  </w:t>
      </w:r>
      <w:r>
        <w:rPr>
          <w:rFonts w:cs="Times New Roman" w:ascii="Times New Roman" w:hAnsi="Times New Roman"/>
          <w:sz w:val="28"/>
          <w:szCs w:val="28"/>
        </w:rPr>
        <w:t>Внимание уделяется соблюдению сроков рассмотрения обращений. Все обращения граждан, поступившие в Управление, берутся на внутренний контроль и передаются на исполнение в отделы. В случае необходимости обращения рассматриваются с привлечением иных органов, служб и организаций, имеющих отношение к решению данного вопроса.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 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-й квартал 2025 года в Управление поступило 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968</w:t>
      </w:r>
      <w:r>
        <w:rPr>
          <w:rFonts w:cs="Times New Roman" w:ascii="Times New Roman" w:hAnsi="Times New Roman"/>
          <w:sz w:val="28"/>
          <w:szCs w:val="28"/>
        </w:rPr>
        <w:t xml:space="preserve"> обращени</w:t>
      </w:r>
      <w:r>
        <w:rPr>
          <w:rFonts w:cs="Times New Roman" w:ascii="Times New Roman" w:hAnsi="Times New Roman"/>
          <w:sz w:val="28"/>
          <w:szCs w:val="28"/>
        </w:rPr>
        <w:t>й</w:t>
      </w:r>
      <w:r>
        <w:rPr>
          <w:rFonts w:cs="Times New Roman" w:ascii="Times New Roman" w:hAnsi="Times New Roman"/>
          <w:sz w:val="28"/>
          <w:szCs w:val="28"/>
        </w:rPr>
        <w:t xml:space="preserve">, что на 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805</w:t>
      </w:r>
      <w:r>
        <w:rPr>
          <w:rFonts w:cs="Times New Roman" w:ascii="Times New Roman" w:hAnsi="Times New Roman"/>
          <w:sz w:val="28"/>
          <w:szCs w:val="28"/>
        </w:rPr>
        <w:t xml:space="preserve"> обращени</w:t>
      </w:r>
      <w:r>
        <w:rPr>
          <w:rFonts w:cs="Times New Roman" w:ascii="Times New Roman" w:hAnsi="Times New Roman"/>
          <w:sz w:val="28"/>
          <w:szCs w:val="28"/>
        </w:rPr>
        <w:t>я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меньше</w:t>
      </w:r>
      <w:r>
        <w:rPr>
          <w:rFonts w:cs="Times New Roman" w:ascii="Times New Roman" w:hAnsi="Times New Roman"/>
          <w:sz w:val="28"/>
          <w:szCs w:val="28"/>
        </w:rPr>
        <w:t>, чем за аналогичный период 2024 (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1773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обр.) года. 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том числе, поступивших на рассмотрение из: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- Ц</w:t>
      </w:r>
      <w:r>
        <w:rPr>
          <w:rFonts w:cs="Times New Roman" w:ascii="Times New Roman" w:hAnsi="Times New Roman"/>
          <w:color w:themeColor="text1" w:val="000000"/>
          <w:sz w:val="28"/>
          <w:szCs w:val="28"/>
          <w:shd w:fill="FFFFFF" w:val="clear"/>
        </w:rPr>
        <w:t xml:space="preserve">ентрального аппарата Росприроднадзора </w:t>
      </w: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69</w:t>
      </w:r>
      <w:r>
        <w:rPr>
          <w:rFonts w:cs="Times New Roman" w:ascii="Times New Roman" w:hAnsi="Times New Roman"/>
          <w:sz w:val="28"/>
          <w:szCs w:val="28"/>
        </w:rPr>
        <w:t xml:space="preserve"> обращени</w:t>
      </w:r>
      <w:r>
        <w:rPr>
          <w:rFonts w:cs="Times New Roman" w:ascii="Times New Roman" w:hAnsi="Times New Roman"/>
          <w:sz w:val="28"/>
          <w:szCs w:val="28"/>
        </w:rPr>
        <w:t>й</w:t>
      </w:r>
      <w:r>
        <w:rPr>
          <w:rFonts w:cs="Times New Roman" w:ascii="Times New Roman" w:hAnsi="Times New Roman"/>
          <w:sz w:val="28"/>
          <w:szCs w:val="28"/>
        </w:rPr>
        <w:t xml:space="preserve">;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- Общественных организаций и объединений –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4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9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обращени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й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- Непосредственно от граждан и юридических лиц </w:t>
      </w: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272</w:t>
      </w:r>
      <w:r>
        <w:rPr>
          <w:rFonts w:cs="Times New Roman" w:ascii="Times New Roman" w:hAnsi="Times New Roman"/>
          <w:sz w:val="28"/>
          <w:szCs w:val="28"/>
        </w:rPr>
        <w:t xml:space="preserve"> обращени</w:t>
      </w:r>
      <w:r>
        <w:rPr>
          <w:rFonts w:cs="Times New Roman" w:ascii="Times New Roman" w:hAnsi="Times New Roman"/>
          <w:sz w:val="28"/>
          <w:szCs w:val="28"/>
        </w:rPr>
        <w:t>я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из иных государственных учреждений – 5</w:t>
      </w:r>
      <w:r>
        <w:rPr>
          <w:rFonts w:cs="Times New Roman" w:ascii="Times New Roman" w:hAnsi="Times New Roman"/>
          <w:sz w:val="28"/>
          <w:szCs w:val="28"/>
        </w:rPr>
        <w:t>78</w:t>
      </w:r>
      <w:r>
        <w:rPr>
          <w:rFonts w:cs="Times New Roman" w:ascii="Times New Roman" w:hAnsi="Times New Roman"/>
          <w:sz w:val="28"/>
          <w:szCs w:val="28"/>
        </w:rPr>
        <w:t xml:space="preserve"> обращений.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5524500" cy="3828415"/>
            <wp:effectExtent l="0" t="0" r="0" b="0"/>
            <wp:docPr id="1" name="Диаграмма 6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inline>
        </w:drawing>
      </w:r>
    </w:p>
    <w:p>
      <w:pPr>
        <w:pStyle w:val="NoSpacing"/>
        <w:ind w:firstLine="709"/>
        <w:jc w:val="both"/>
        <w:rPr>
          <w:color w:val="242424"/>
          <w:sz w:val="28"/>
          <w:szCs w:val="28"/>
          <w:shd w:fill="F8F8F8" w:val="clear"/>
        </w:rPr>
      </w:pPr>
      <w:r>
        <w:rPr>
          <w:color w:val="242424"/>
          <w:sz w:val="28"/>
          <w:szCs w:val="28"/>
          <w:shd w:fill="F8F8F8" w:val="clear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Анализ источников поступления обращений показал, что за 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квартал 2025 года уменьшилось количество обращений направленных в форме электронного документа по сравнению с 2024 годом (</w:t>
      </w:r>
      <w:r>
        <w:rPr>
          <w:rFonts w:cs="Times New Roman" w:ascii="Times New Roman" w:hAnsi="Times New Roman"/>
          <w:sz w:val="28"/>
          <w:szCs w:val="28"/>
        </w:rPr>
        <w:t>276</w:t>
      </w:r>
      <w:r>
        <w:rPr>
          <w:rFonts w:cs="Times New Roman" w:ascii="Times New Roman" w:hAnsi="Times New Roman"/>
          <w:sz w:val="28"/>
          <w:szCs w:val="28"/>
        </w:rPr>
        <w:t xml:space="preserve"> обр./</w:t>
      </w:r>
      <w:r>
        <w:rPr>
          <w:rFonts w:cs="Times New Roman" w:ascii="Times New Roman" w:hAnsi="Times New Roman"/>
          <w:sz w:val="28"/>
          <w:szCs w:val="28"/>
        </w:rPr>
        <w:t>538</w:t>
      </w:r>
      <w:r>
        <w:rPr>
          <w:rFonts w:cs="Times New Roman" w:ascii="Times New Roman" w:hAnsi="Times New Roman"/>
          <w:sz w:val="28"/>
          <w:szCs w:val="28"/>
        </w:rPr>
        <w:t xml:space="preserve"> обр.),  граждане направили в Управление обращения путем заполнения специальной формы на Едином портале для подачи обращений граждан </w:t>
      </w:r>
      <w:r>
        <w:rPr>
          <w:rFonts w:cs="Times New Roman" w:ascii="Times New Roman" w:hAnsi="Times New Roman"/>
          <w:b/>
          <w:sz w:val="28"/>
          <w:szCs w:val="28"/>
        </w:rPr>
        <w:t>«Направить обращение»,</w:t>
      </w:r>
      <w:r>
        <w:rPr>
          <w:rFonts w:cs="Times New Roman" w:ascii="Times New Roman" w:hAnsi="Times New Roman"/>
          <w:sz w:val="28"/>
          <w:szCs w:val="28"/>
        </w:rPr>
        <w:t xml:space="preserve"> размещенном на официальном сайте Росприроднадзора. Все обращения, поступившие в Управление в 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 квартале 2025 года, рассмотрены.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Значительное количество обращений граждан от общего числа, рассмотренных в </w:t>
      </w:r>
      <w:r>
        <w:rPr>
          <w:rFonts w:cs="Times New Roman" w:ascii="Times New Roman" w:hAnsi="Times New Roman"/>
          <w:sz w:val="28"/>
          <w:szCs w:val="28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квартале 2025 года в Управлении, связано с </w:t>
      </w:r>
      <w:r>
        <w:rPr>
          <w:rFonts w:cs="Times New Roman" w:ascii="Times New Roman" w:hAnsi="Times New Roman"/>
          <w:sz w:val="28"/>
          <w:szCs w:val="28"/>
        </w:rPr>
        <w:t xml:space="preserve">прочими вопросами,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что составляет 23.7 % от поступивших обращений.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Второе место занимают обращения, </w:t>
      </w:r>
      <w:r>
        <w:rPr>
          <w:rFonts w:cs="Times New Roman" w:ascii="Times New Roman" w:hAnsi="Times New Roman"/>
          <w:sz w:val="28"/>
          <w:szCs w:val="28"/>
        </w:rPr>
        <w:t>связанные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с нарушениями водного законодательства в части застройки водоохранных зон, возведения гидротехнических сооружений и огораживания берегов водоемов, а также сбросов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различных отходов</w:t>
      </w:r>
      <w:r>
        <w:rPr>
          <w:rFonts w:cs="Times New Roman" w:ascii="Times New Roman" w:hAnsi="Times New Roman"/>
          <w:sz w:val="28"/>
          <w:szCs w:val="28"/>
        </w:rPr>
        <w:t xml:space="preserve"> - </w:t>
      </w:r>
      <w:r>
        <w:rPr>
          <w:rFonts w:cs="Times New Roman" w:ascii="Times New Roman" w:hAnsi="Times New Roman"/>
          <w:sz w:val="28"/>
          <w:szCs w:val="28"/>
        </w:rPr>
        <w:t>20.5 %.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</w:rPr>
        <w:t xml:space="preserve">На третьем месте </w:t>
      </w:r>
      <w:r>
        <w:rPr>
          <w:rFonts w:cs="Times New Roman" w:ascii="Times New Roman" w:hAnsi="Times New Roman"/>
          <w:sz w:val="28"/>
          <w:szCs w:val="28"/>
        </w:rPr>
        <w:t>о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храна атмосферного воздуха - 1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6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.5 %.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  <w:highlight w:val="none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В адрес ведомства в отчетном периоде, также поступали обращения граждан по вопросам: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  <w:highlight w:val="none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-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Н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есанкционированны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е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свалк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и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в Северо-Западном регионе - 1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%;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-Загрязнение окружающей среды выбросами и сбросами различных предприятий -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11.4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%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-Деятельность по сбору, накоплению, транспортированию, обработке, утилизации, обезвреживанию, размещению отходов ТКО и ТБО -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5.8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%;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-Защита животных -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3.5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%;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-Предполагаемое строительство объектов, деятельность которых может оказывать негативное воздействие на окружающую среду -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2.6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%;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  <w:t>-Д</w:t>
      </w:r>
      <w:r>
        <w:rPr>
          <w:rFonts w:cs="Times New Roman" w:ascii="Times New Roman" w:hAnsi="Times New Roman"/>
          <w:color w:themeColor="text1" w:val="000000"/>
          <w:sz w:val="28"/>
          <w:szCs w:val="28"/>
          <w:shd w:fill="FFFFFF" w:val="clear"/>
        </w:rPr>
        <w:t>еятельность полигонов ТКО и ТБО в Северо-Западном регионе - 2.</w:t>
      </w:r>
      <w:r>
        <w:rPr>
          <w:rFonts w:cs="Times New Roman" w:ascii="Times New Roman" w:hAnsi="Times New Roman"/>
          <w:color w:themeColor="text1" w:val="000000"/>
          <w:sz w:val="28"/>
          <w:szCs w:val="28"/>
          <w:shd w:fill="FFFFFF" w:val="clear"/>
        </w:rPr>
        <w:t>1</w:t>
      </w:r>
      <w:r>
        <w:rPr>
          <w:rFonts w:cs="Times New Roman" w:ascii="Times New Roman" w:hAnsi="Times New Roman"/>
          <w:color w:themeColor="text1" w:val="000000"/>
          <w:sz w:val="28"/>
          <w:szCs w:val="28"/>
          <w:shd w:fill="FFFFFF" w:val="clear"/>
        </w:rPr>
        <w:t xml:space="preserve"> %;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-Нарушение лесного законодательства - </w:t>
      </w:r>
      <w:r>
        <w:rPr>
          <w:rFonts w:cs="Times New Roman" w:ascii="Times New Roman" w:hAnsi="Times New Roman"/>
          <w:sz w:val="28"/>
          <w:szCs w:val="28"/>
        </w:rPr>
        <w:t>0.9</w:t>
      </w:r>
      <w:r>
        <w:rPr>
          <w:rFonts w:cs="Times New Roman" w:ascii="Times New Roman" w:hAnsi="Times New Roman"/>
          <w:sz w:val="28"/>
          <w:szCs w:val="28"/>
        </w:rPr>
        <w:t xml:space="preserve"> %;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</w:rPr>
        <w:t xml:space="preserve">-Недропользование - </w:t>
      </w:r>
      <w:r>
        <w:rPr>
          <w:rFonts w:cs="Times New Roman" w:ascii="Times New Roman" w:hAnsi="Times New Roman"/>
          <w:sz w:val="28"/>
          <w:szCs w:val="28"/>
        </w:rPr>
        <w:t>0.9</w:t>
      </w:r>
      <w:r>
        <w:rPr>
          <w:rFonts w:cs="Times New Roman" w:ascii="Times New Roman" w:hAnsi="Times New Roman"/>
          <w:sz w:val="28"/>
          <w:szCs w:val="28"/>
        </w:rPr>
        <w:t xml:space="preserve"> %;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Поступившие обращения, не входящие в компетенцию Управления, направлены на рассмотрение: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-МУ Роспотребнадзора по Санкт-Петербургу и Ленинградской области;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-Комитет государственного экологического надзора Ленинградской области;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-Комитет по природопользованию, охраны окружающей среды и обеспечения экологической безопасности;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</w:rPr>
        <w:t>Иные органы исполнительной власти;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-Администрации районов Санкт-Петербурга и Ленинградской области и др.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5713730" cy="4933950"/>
            <wp:effectExtent l="0" t="0" r="0" b="0"/>
            <wp:docPr id="2" name="Диаграмма 9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"/>
              </a:graphicData>
            </a:graphic>
          </wp:inline>
        </w:drawing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spacing w:before="0" w:after="200"/>
        <w:jc w:val="center"/>
        <w:rPr>
          <w:lang w:eastAsia="en-US"/>
        </w:rPr>
      </w:pPr>
      <w:r>
        <w:rPr>
          <w:lang w:eastAsia="en-US"/>
        </w:rPr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Consolas">
    <w:charset w:val="01"/>
    <w:family w:val="auto"/>
    <w:pitch w:val="variable"/>
  </w:font>
  <w:font w:name="Tahoma">
    <w:charset w:val="01"/>
    <w:family w:val="auto"/>
    <w:pitch w:val="variable"/>
  </w:font>
  <w:font w:name="Open Sans">
    <w:charset w:val="01"/>
    <w:family w:val="auto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Arial" w:cs="Arial" w:eastAsiaTheme="minorEastAsia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Текст Знак"/>
    <w:basedOn w:val="DefaultParagraphFont"/>
    <w:link w:val="PlainText"/>
    <w:uiPriority w:val="99"/>
    <w:semiHidden/>
    <w:qFormat/>
    <w:rPr>
      <w:rFonts w:ascii="Consolas" w:hAnsi="Consolas"/>
      <w:sz w:val="21"/>
      <w:szCs w:val="21"/>
    </w:rPr>
  </w:style>
  <w:style w:type="character" w:styleId="Style8" w:customStyle="1">
    <w:name w:val="Верхний колонтитул Знак"/>
    <w:basedOn w:val="DefaultParagraphFont"/>
    <w:uiPriority w:val="99"/>
    <w:qFormat/>
    <w:rPr>
      <w:rFonts w:eastAsia="Arial" w:eastAsiaTheme="minorEastAsia"/>
      <w:lang w:eastAsia="ru-RU"/>
    </w:rPr>
  </w:style>
  <w:style w:type="character" w:styleId="Style9" w:customStyle="1">
    <w:name w:val="Нижний колонтитул Знак"/>
    <w:basedOn w:val="DefaultParagraphFont"/>
    <w:uiPriority w:val="99"/>
    <w:qFormat/>
    <w:rPr>
      <w:rFonts w:eastAsia="Arial" w:eastAsiaTheme="minorEastAsia"/>
      <w:lang w:eastAsia="ru-RU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eastAsia="Arial" w:cs="Tahoma" w:eastAsiaTheme="minorEastAsia"/>
      <w:sz w:val="16"/>
      <w:szCs w:val="16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Droid San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PlainText">
    <w:name w:val="Plain Text"/>
    <w:basedOn w:val="Normal"/>
    <w:link w:val="Style7"/>
    <w:uiPriority w:val="99"/>
    <w:semiHidden/>
    <w:unhideWhenUsed/>
    <w:qFormat/>
    <w:pPr>
      <w:spacing w:lineRule="auto" w:line="240" w:before="0" w:after="0"/>
    </w:pPr>
    <w:rPr>
      <w:rFonts w:ascii="Consolas" w:hAnsi="Consolas" w:eastAsia="Calibri" w:eastAsiaTheme="minorHAnsi"/>
      <w:sz w:val="21"/>
      <w:szCs w:val="21"/>
      <w:lang w:eastAsia="en-U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pPr>
      <w:spacing w:lineRule="auto" w:line="240" w:before="0" w:after="0"/>
      <w:ind w:left="720"/>
    </w:pPr>
    <w:rPr>
      <w:rFonts w:ascii="Calibri" w:hAnsi="Calibri" w:eastAsia="Calibri" w:cs="Times New Roman" w:eastAsiaTheme="minorHAnsi"/>
      <w:lang w:eastAsia="en-US"/>
    </w:rPr>
  </w:style>
  <w:style w:type="numbering" w:styleId="Style13" w:default="1">
    <w:name w:val="Без списка"/>
    <w:uiPriority w:val="99"/>
    <w:semiHidden/>
    <w:unhideWhenUsed/>
    <w:qFormat/>
  </w:style>
  <w:style w:type="table" w:styleId="725">
    <w:name w:val="Table Grid"/>
    <w:basedOn w:val="85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Table Grid Light"/>
    <w:basedOn w:val="85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basedOn w:val="85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28">
    <w:name w:val="Plain Table 2"/>
    <w:basedOn w:val="85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2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3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5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5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75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75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6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76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76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76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76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76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76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6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6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7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7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7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7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7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7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7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7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7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7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9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9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9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9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9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9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1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1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1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1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1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1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1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1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1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2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2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2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2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2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82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2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2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2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2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30">
    <w:name w:val="Lined - Accent"/>
    <w:basedOn w:val="8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31">
    <w:name w:val="Lined - Accent 1"/>
    <w:basedOn w:val="8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32">
    <w:name w:val="Lined - Accent 2"/>
    <w:basedOn w:val="8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33">
    <w:name w:val="Lined - Accent 3"/>
    <w:basedOn w:val="8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34">
    <w:name w:val="Lined - Accent 4"/>
    <w:basedOn w:val="8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35">
    <w:name w:val="Lined - Accent 5"/>
    <w:basedOn w:val="8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36">
    <w:name w:val="Lined - Accent 6"/>
    <w:basedOn w:val="8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37">
    <w:name w:val="Bordered &amp; Lined - Accent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38">
    <w:name w:val="Bordered &amp; Lined - Accent 1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39">
    <w:name w:val="Bordered &amp; Lined - Accent 2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40">
    <w:name w:val="Bordered &amp; Lined - Accent 3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41">
    <w:name w:val="Bordered &amp; Lined - Accent 4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42">
    <w:name w:val="Bordered &amp; Lined - Accent 5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43">
    <w:name w:val="Bordered &amp; Lined - Accent 6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4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4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4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4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4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5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5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chart" Target="charts/chart2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autoTitleDeleted val="1"/>
    <c:view3D>
      <c:rotX val="15"/>
      <c:rotY val="20"/>
      <c:rAngAx val="1"/>
      <c:perspective val="30"/>
    </c:view3D>
    <c:floor>
      <c:spPr>
        <a:noFill/>
        <a:ln w="9360">
          <a:solidFill>
            <a:srgbClr val="878787"/>
          </a:solidFill>
          <a:round/>
        </a:ln>
      </c:spPr>
    </c:floor>
    <c:sideWall>
      <c:spPr>
        <a:solidFill>
          <a:srgbClr val="c3d69b"/>
        </a:solidFill>
        <a:ln w="9360">
          <a:solidFill>
            <a:srgbClr val="878787"/>
          </a:solidFill>
          <a:round/>
        </a:ln>
      </c:spPr>
    </c:sideWall>
    <c:backWall>
      <c:spPr>
        <a:solidFill>
          <a:srgbClr val="c3d69b"/>
        </a:solidFill>
        <a:ln w="9360">
          <a:solidFill>
            <a:srgbClr val="878787"/>
          </a:solidFill>
          <a:round/>
        </a:ln>
      </c:spPr>
    </c:backWall>
    <c:plotArea>
      <c:layout>
        <c:manualLayout>
          <c:layoutTarget val="inner"/>
          <c:xMode val="edge"/>
          <c:yMode val="edge"/>
          <c:x val="0.1229375"/>
          <c:y val="0.0637777777777778"/>
          <c:w val="0.7501875"/>
          <c:h val="0.82411111111111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2023г.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invertIfNegative val="0"/>
          <c:dLbls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  <a:ea typeface="Arial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4"/>
                <c:pt idx="0">
                  <c:v>Общее количество обращений</c:v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1673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2024г.</c:v>
                </c:pt>
              </c:strCache>
            </c:strRef>
          </c:tx>
          <c:spPr>
            <a:solidFill>
              <a:srgbClr val="c0504d"/>
            </a:solidFill>
            <a:ln w="0">
              <a:noFill/>
            </a:ln>
          </c:spPr>
          <c:invertIfNegative val="0"/>
          <c:dLbls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  <a:ea typeface="Arial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4"/>
                <c:pt idx="0">
                  <c:v>Общее количество обращений</c:v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1773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2025г.</c:v>
                </c:pt>
              </c:strCache>
            </c:strRef>
          </c:tx>
          <c:spPr>
            <a:solidFill>
              <a:srgbClr val="9bbb59"/>
            </a:solidFill>
            <a:ln w="0">
              <a:noFill/>
            </a:ln>
          </c:spPr>
          <c:invertIfNegative val="0"/>
          <c:dLbls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  <a:ea typeface="Arial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4"/>
                <c:pt idx="0">
                  <c:v>Общее количество обращений</c:v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</c:strCache>
            </c:strRef>
          </c:cat>
          <c:val>
            <c:numRef>
              <c:f>2</c:f>
              <c:numCache>
                <c:formatCode>General</c:formatCode>
                <c:ptCount val="4"/>
                <c:pt idx="0">
                  <c:v>968</c:v>
                </c:pt>
              </c:numCache>
            </c:numRef>
          </c:val>
        </c:ser>
        <c:gapWidth val="150"/>
        <c:shape val="cylinder"/>
        <c:axId val="70766943"/>
        <c:axId val="14320917"/>
        <c:axId val="0"/>
      </c:bar3DChart>
      <c:catAx>
        <c:axId val="70766943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trike="noStrike" u="none">
                <a:solidFill>
                  <a:srgbClr val="000000"/>
                </a:solidFill>
                <a:uFillTx/>
                <a:latin typeface="Calibri"/>
                <a:ea typeface="Arial"/>
              </a:defRPr>
            </a:pPr>
          </a:p>
        </c:txPr>
        <c:crossAx val="14320917"/>
        <c:crosses val="autoZero"/>
        <c:auto val="1"/>
        <c:lblAlgn val="ctr"/>
        <c:lblOffset val="100"/>
        <c:noMultiLvlLbl val="0"/>
      </c:catAx>
      <c:valAx>
        <c:axId val="14320917"/>
        <c:scaling>
          <c:orientation val="minMax"/>
        </c:scaling>
        <c:delete val="0"/>
        <c:axPos val="l"/>
        <c:majorGridlines>
          <c:spPr>
            <a:ln w="9360">
              <a:solidFill>
                <a:srgbClr val="d99694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trike="noStrike" u="none">
                <a:solidFill>
                  <a:srgbClr val="000000"/>
                </a:solidFill>
                <a:uFillTx/>
                <a:latin typeface="Calibri"/>
                <a:ea typeface="Arial"/>
              </a:defRPr>
            </a:pPr>
          </a:p>
        </c:txPr>
        <c:crossAx val="70766943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8375"/>
          <c:y val="0.0891111111111111"/>
          <c:w val="0.104569035564723"/>
          <c:h val="0.179908878764307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b="0" sz="1000" strike="noStrike" u="none">
              <a:solidFill>
                <a:srgbClr val="000000"/>
              </a:solidFill>
              <a:uFillTx/>
              <a:latin typeface="Calibri"/>
              <a:ea typeface="Arial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300" strike="noStrike" u="none">
                <a:uFillTx/>
                <a:latin typeface="Open Sans"/>
              </a:defRPr>
            </a:pPr>
            <a:r>
              <a:rPr b="1" lang="ru-RU" sz="1800" strike="noStrike" u="none">
                <a:solidFill>
                  <a:srgbClr val="000000"/>
                </a:solidFill>
                <a:uFillTx/>
                <a:latin typeface="Times New Roman"/>
                <a:ea typeface="Arial"/>
              </a:rPr>
              <a:t>Обращения граждан за 2025 г. %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413"/>
          <c:y val="0.211333333333333"/>
          <c:w val="0.5435625"/>
          <c:h val="0.72688888888888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Обращения за 3 квартал 2025г., %</c:v>
                </c:pt>
              </c:strCache>
            </c:strRef>
          </c:tx>
          <c:spPr>
            <a:solidFill>
              <a:srgbClr val="4f81bd"/>
            </a:solidFill>
            <a:ln w="0">
              <a:solidFill>
                <a:srgbClr val="4f81bd"/>
              </a:solidFill>
            </a:ln>
          </c:spPr>
          <c:invertIfNegative val="0"/>
          <c:dPt>
            <c:idx val="0"/>
            <c:invertIfNegative val="0"/>
            <c:spPr>
              <a:solidFill>
                <a:srgbClr val="4f81bd"/>
              </a:solidFill>
              <a:ln w="0">
                <a:solidFill>
                  <a:srgbClr val="4f81bd"/>
                </a:solidFill>
              </a:ln>
            </c:spPr>
          </c:dPt>
          <c:dPt>
            <c:idx val="1"/>
            <c:invertIfNegative val="0"/>
            <c:spPr>
              <a:solidFill>
                <a:srgbClr val="4f81bd"/>
              </a:solidFill>
              <a:ln w="0">
                <a:solidFill>
                  <a:srgbClr val="4f81bd"/>
                </a:solidFill>
              </a:ln>
            </c:spPr>
          </c:dPt>
          <c:dPt>
            <c:idx val="2"/>
            <c:invertIfNegative val="0"/>
            <c:spPr>
              <a:solidFill>
                <a:srgbClr val="4f81bd"/>
              </a:solidFill>
              <a:ln w="0">
                <a:solidFill>
                  <a:srgbClr val="4f81bd"/>
                </a:solidFill>
              </a:ln>
            </c:spPr>
          </c:dPt>
          <c:dPt>
            <c:idx val="3"/>
            <c:invertIfNegative val="0"/>
            <c:spPr>
              <a:solidFill>
                <a:srgbClr val="4f81bd"/>
              </a:solidFill>
              <a:ln w="0">
                <a:solidFill>
                  <a:srgbClr val="4f81bd"/>
                </a:solidFill>
              </a:ln>
            </c:spPr>
          </c:dPt>
          <c:dPt>
            <c:idx val="4"/>
            <c:invertIfNegative val="0"/>
            <c:spPr>
              <a:solidFill>
                <a:srgbClr val="4f81bd"/>
              </a:solidFill>
              <a:ln w="0">
                <a:solidFill>
                  <a:srgbClr val="4f81bd"/>
                </a:solidFill>
              </a:ln>
            </c:spPr>
          </c:dPt>
          <c:dPt>
            <c:idx val="5"/>
            <c:invertIfNegative val="0"/>
            <c:spPr>
              <a:solidFill>
                <a:srgbClr val="4f81bd"/>
              </a:solidFill>
              <a:ln w="0">
                <a:solidFill>
                  <a:srgbClr val="4f81bd"/>
                </a:solidFill>
              </a:ln>
            </c:spPr>
          </c:dPt>
          <c:dPt>
            <c:idx val="6"/>
            <c:invertIfNegative val="0"/>
            <c:spPr>
              <a:solidFill>
                <a:srgbClr val="4f81bd"/>
              </a:solidFill>
              <a:ln w="0">
                <a:solidFill>
                  <a:srgbClr val="4f81bd"/>
                </a:solidFill>
              </a:ln>
            </c:spPr>
          </c:dPt>
          <c:dPt>
            <c:idx val="7"/>
            <c:invertIfNegative val="0"/>
            <c:spPr>
              <a:solidFill>
                <a:srgbClr val="4f81bd"/>
              </a:solidFill>
              <a:ln w="0">
                <a:solidFill>
                  <a:srgbClr val="4f81bd"/>
                </a:solidFill>
              </a:ln>
            </c:spPr>
          </c:dPt>
          <c:dLbls>
            <c:numFmt formatCode="0.0%" sourceLinked="0"/>
            <c:dLbl>
              <c:idx val="0"/>
              <c:numFmt formatCode="0.0%" sourceLinked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1"/>
              <c:numFmt formatCode="0.0%" sourceLinked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2"/>
              <c:numFmt formatCode="0.0%" sourceLinked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3"/>
              <c:numFmt formatCode="0.0%" sourceLinked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4"/>
              <c:numFmt formatCode="0.0%" sourceLinked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5"/>
              <c:numFmt formatCode="0.0%" sourceLinked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6"/>
              <c:numFmt formatCode="0.0%" sourceLinked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7"/>
              <c:numFmt formatCode="0.0%" sourceLinked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  <a:ea typeface="Arial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eparator>; </c:separator>
            <c:showLeaderLines val="0"/>
            <c:leaderLines>
              <c:spPr>
                <a:ln>
                  <a:solidFill>
                    <a:srgbClr val="4f81bd"/>
                  </a:solidFill>
                </a:ln>
              </c:spPr>
            </c:leaderLines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12"/>
                <c:pt idx="0">
                  <c:v>Деятельность предприятий </c:v>
                </c:pt>
                <c:pt idx="1">
                  <c:v>Полигоны ТКО и ТБО</c:v>
                </c:pt>
                <c:pt idx="2">
                  <c:v>Нарушение водного законодательства</c:v>
                </c:pt>
                <c:pt idx="3">
                  <c:v>Свалки ТКО</c:v>
                </c:pt>
                <c:pt idx="4">
                  <c:v>Атмосферный воздух </c:v>
                </c:pt>
                <c:pt idx="5">
                  <c:v>Прочие </c:v>
                </c:pt>
                <c:pt idx="6">
                  <c:v>Строительство</c:v>
                </c:pt>
                <c:pt idx="7">
                  <c:v>Деятельность с отходами</c:v>
                </c:pt>
                <c:pt idx="8">
                  <c:v>Защита животных</c:v>
                </c:pt>
                <c:pt idx="9">
                  <c:v>Функционирование особо охраняемых природных территорий </c:v>
                </c:pt>
                <c:pt idx="10">
                  <c:v>Недропользование</c:v>
                </c:pt>
                <c:pt idx="11">
                  <c:v>Нарушение лесного законодательства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2"/>
                <c:pt idx="0">
                  <c:v>0.114</c:v>
                </c:pt>
                <c:pt idx="1">
                  <c:v>0.021</c:v>
                </c:pt>
                <c:pt idx="2">
                  <c:v>0.205</c:v>
                </c:pt>
                <c:pt idx="3">
                  <c:v>0.122</c:v>
                </c:pt>
                <c:pt idx="4">
                  <c:v>0.165</c:v>
                </c:pt>
                <c:pt idx="5">
                  <c:v>0.237</c:v>
                </c:pt>
                <c:pt idx="6">
                  <c:v>0.026</c:v>
                </c:pt>
                <c:pt idx="7">
                  <c:v>0.058</c:v>
                </c:pt>
                <c:pt idx="8">
                  <c:v>0.035</c:v>
                </c:pt>
                <c:pt idx="9">
                  <c:v>0</c:v>
                </c:pt>
                <c:pt idx="10">
                  <c:v>0.009</c:v>
                </c:pt>
                <c:pt idx="11">
                  <c:v>0.009</c:v>
                </c:pt>
              </c:numCache>
            </c:numRef>
          </c:val>
        </c:ser>
        <c:gapWidth val="100"/>
        <c:overlap val="0"/>
        <c:axId val="5448359"/>
        <c:axId val="25634214"/>
      </c:barChart>
      <c:catAx>
        <c:axId val="5448359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1" sz="1000" strike="noStrike" u="none">
                <a:solidFill>
                  <a:srgbClr val="000000"/>
                </a:solidFill>
                <a:uFillTx/>
                <a:latin typeface="Times New Roman"/>
                <a:ea typeface="Arial"/>
              </a:defRPr>
            </a:pPr>
          </a:p>
        </c:txPr>
        <c:crossAx val="25634214"/>
        <c:crosses val="autoZero"/>
        <c:auto val="1"/>
        <c:lblAlgn val="ctr"/>
        <c:lblOffset val="100"/>
        <c:noMultiLvlLbl val="0"/>
      </c:catAx>
      <c:valAx>
        <c:axId val="25634214"/>
        <c:scaling>
          <c:orientation val="minMax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0.0%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trike="noStrike" u="none">
                <a:solidFill>
                  <a:srgbClr val="000000"/>
                </a:solidFill>
                <a:uFillTx/>
                <a:latin typeface="Calibri"/>
                <a:ea typeface="Arial"/>
              </a:defRPr>
            </a:pPr>
          </a:p>
        </c:txPr>
        <c:crossAx val="5448359"/>
        <c:crosses val="autoZero"/>
        <c:crossBetween val="between"/>
      </c:valAx>
      <c:spPr>
        <a:solidFill>
          <a:srgbClr val="c3d69b"/>
        </a:solidFill>
        <a:ln w="0">
          <a:noFill/>
        </a:ln>
      </c:spPr>
    </c:plotArea>
    <c:legend>
      <c:legendPos val="t"/>
      <c:overlay val="0"/>
      <c:spPr>
        <a:noFill/>
        <a:ln w="0">
          <a:noFill/>
        </a:ln>
      </c:spPr>
      <c:txPr>
        <a:bodyPr/>
        <a:lstStyle/>
        <a:p>
          <a:pPr>
            <a:defRPr b="0" sz="1000" strike="noStrike" u="none">
              <a:solidFill>
                <a:srgbClr val="000000"/>
              </a:solidFill>
              <a:uFillTx/>
              <a:latin typeface="Calibri"/>
              <a:ea typeface="Arial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</c:chartSpace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633F4-9D55-4D2B-AD8F-03185CB44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LibreOffice/24.8.4.1$Linux_X86_64 LibreOffice_project/480$Build-1</Application>
  <AppVersion>15.0000</AppVersion>
  <Pages>3</Pages>
  <Words>405</Words>
  <Characters>2795</Characters>
  <CharactersWithSpaces>3183</CharactersWithSpaces>
  <Paragraphs>32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2024-04-12T04:58:00Z</dcterms:created>
  <dc:creator>mushnikovamy</dc:creator>
  <dc:description/>
  <dc:language>ru-RU</dc:language>
  <cp:lastModifiedBy/>
  <dcterms:modified xsi:type="dcterms:W3CDTF">2025-10-01T11:50:30Z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