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19.11.2021 N 871</w:t>
              <w:br/>
              <w:t xml:space="preserve">"Об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br/>
              <w:t xml:space="preserve">(Зарегистрировано в Минюсте России 30.11.2021 N 66125)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ноября 2021 г. N 66125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ноября 2021 г. N 871</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ИНВЕНТАРИЗАЦИИ СТАЦИОНАРНЫХ ИСТОЧНИКОВ И ВЫБРОСОВ</w:t>
      </w:r>
    </w:p>
    <w:p>
      <w:pPr>
        <w:pStyle w:val="2"/>
        <w:jc w:val="center"/>
      </w:pPr>
      <w:r>
        <w:rPr>
          <w:sz w:val="20"/>
        </w:rPr>
        <w:t xml:space="preserve">ЗАГРЯЗНЯЮЩИХ ВЕЩЕСТВ В АТМОСФЕРНЫЙ ВОЗДУХ, КОРРЕКТИРОВКИ</w:t>
      </w:r>
    </w:p>
    <w:p>
      <w:pPr>
        <w:pStyle w:val="2"/>
        <w:jc w:val="center"/>
      </w:pPr>
      <w:r>
        <w:rPr>
          <w:sz w:val="20"/>
        </w:rPr>
        <w:t xml:space="preserve">ЕЕ ДАННЫХ, ДОКУМЕНТИРОВАНИЯ И ХРАНЕНИЯ ДАННЫХ, ПОЛУЧЕННЫХ</w:t>
      </w:r>
    </w:p>
    <w:p>
      <w:pPr>
        <w:pStyle w:val="2"/>
        <w:jc w:val="center"/>
      </w:pPr>
      <w:r>
        <w:rPr>
          <w:sz w:val="20"/>
        </w:rPr>
        <w:t xml:space="preserve">В РЕЗУЛЬТАТЕ ПРОВЕДЕНИЯ ТАКИХ ИНВЕНТАРИЗАЦИИ И КОРРЕКТИРОВКИ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4.05.1999 N 96-ФЗ (ред. от 13.06.2023) &quot;Об охране атмосферного воздуха&quot; {КонсультантПлюс}">
        <w:r>
          <w:rPr>
            <w:sz w:val="20"/>
            <w:color w:val="0000ff"/>
          </w:rPr>
          <w:t xml:space="preserve">пунктом 4 статьи 22</w:t>
        </w:r>
      </w:hyperlink>
      <w:r>
        <w:rPr>
          <w:sz w:val="20"/>
        </w:rP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и </w:t>
      </w:r>
      <w:hyperlink w:history="0" r:id="rId8" w:tooltip="Постановление Правительства РФ от 11.11.2015 N 1219 (ред. от 05.10.2023)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КонсультантПлюс}">
        <w:r>
          <w:rPr>
            <w:sz w:val="20"/>
            <w:color w:val="0000ff"/>
          </w:rPr>
          <w:t xml:space="preserve">подпунктом 5.2.55 пункта 5</w:t>
        </w:r>
      </w:hyperlink>
      <w:r>
        <w:rPr>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pPr>
        <w:pStyle w:val="0"/>
        <w:spacing w:before="200" w:line-rule="auto"/>
        <w:ind w:firstLine="540"/>
        <w:jc w:val="both"/>
      </w:pPr>
      <w:r>
        <w:rPr>
          <w:sz w:val="20"/>
        </w:rPr>
        <w:t xml:space="preserve">2. Документация по инвентаризации стационарных источников и выбросов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history="0" w:anchor="P38" w:tooltip="ПОРЯДОК">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В случае, если для объекта, оказывающего негативное воздействие на окружающую среду,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 такая документация должна быть оформлена в соответствии с требованиями </w:t>
      </w:r>
      <w:hyperlink w:history="0" w:anchor="P38" w:tooltip="ПОРЯДОК">
        <w:r>
          <w:rPr>
            <w:sz w:val="20"/>
            <w:color w:val="0000ff"/>
          </w:rPr>
          <w:t xml:space="preserve">Порядка</w:t>
        </w:r>
      </w:hyperlink>
      <w:r>
        <w:rPr>
          <w:sz w:val="20"/>
        </w:rPr>
        <w:t xml:space="preserve"> и утверждена в срок не позднее одного года со дня вступления в силу настоящего приказа.</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приказ</w:t>
        </w:r>
      </w:hyperlink>
      <w:r>
        <w:rPr>
          <w:sz w:val="20"/>
        </w:rPr>
        <w:t xml:space="preserve"> Минприроды России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(зарегистрирован Минюстом России 24 октября 2018 г., регистрационный N 52522);</w:t>
      </w:r>
    </w:p>
    <w:p>
      <w:pPr>
        <w:pStyle w:val="0"/>
        <w:spacing w:before="200" w:line-rule="auto"/>
        <w:ind w:firstLine="540"/>
        <w:jc w:val="both"/>
      </w:pPr>
      <w:hyperlink w:history="0" r:id="rId10" w:tooltip="Приказ Минприроды России от 17.09.2019 N 627 &quot;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quot; (Зарегистрировано в Минюсте России 13.12.2019 N 56797) ------------ Утратил силу или отменен {КонсультантПлюс}">
        <w:r>
          <w:rPr>
            <w:sz w:val="20"/>
            <w:color w:val="0000ff"/>
          </w:rPr>
          <w:t xml:space="preserve">приказ</w:t>
        </w:r>
      </w:hyperlink>
      <w:r>
        <w:rPr>
          <w:sz w:val="20"/>
        </w:rPr>
        <w:t xml:space="preserve"> Минприроды России от 17 сентября 2019 г. N 627 "О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 (зарегистрирован Минюстом России 13 декабря 2019 г., регистрационный N 56797).</w:t>
      </w:r>
    </w:p>
    <w:p>
      <w:pPr>
        <w:pStyle w:val="0"/>
        <w:spacing w:before="200" w:line-rule="auto"/>
        <w:ind w:firstLine="540"/>
        <w:jc w:val="both"/>
      </w:pPr>
      <w:r>
        <w:rPr>
          <w:sz w:val="20"/>
        </w:rPr>
        <w:t xml:space="preserve">4. Настоящий приказ вступает в силу 1 марта 2022 г. и действует шесть лет.</w:t>
      </w:r>
    </w:p>
    <w:p>
      <w:pPr>
        <w:pStyle w:val="0"/>
        <w:jc w:val="both"/>
      </w:pPr>
      <w:r>
        <w:rPr>
          <w:sz w:val="20"/>
        </w:rPr>
      </w:r>
    </w:p>
    <w:p>
      <w:pPr>
        <w:pStyle w:val="0"/>
        <w:jc w:val="right"/>
      </w:pPr>
      <w:r>
        <w:rPr>
          <w:sz w:val="20"/>
        </w:rPr>
        <w:t xml:space="preserve">Министр природных</w:t>
      </w:r>
    </w:p>
    <w:p>
      <w:pPr>
        <w:pStyle w:val="0"/>
        <w:jc w:val="right"/>
      </w:pPr>
      <w:r>
        <w:rPr>
          <w:sz w:val="20"/>
        </w:rPr>
        <w:t xml:space="preserve">ресурсов и экологии</w:t>
      </w:r>
    </w:p>
    <w:p>
      <w:pPr>
        <w:pStyle w:val="0"/>
        <w:jc w:val="right"/>
      </w:pPr>
      <w:r>
        <w:rPr>
          <w:sz w:val="20"/>
        </w:rPr>
        <w:t xml:space="preserve">Российской Федерации</w:t>
      </w:r>
    </w:p>
    <w:p>
      <w:pPr>
        <w:pStyle w:val="0"/>
        <w:jc w:val="right"/>
      </w:pPr>
      <w:r>
        <w:rPr>
          <w:sz w:val="20"/>
        </w:rPr>
        <w:t xml:space="preserve">А.А.КОЗЛОВ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Минприроды России</w:t>
      </w:r>
    </w:p>
    <w:p>
      <w:pPr>
        <w:pStyle w:val="0"/>
        <w:jc w:val="right"/>
      </w:pPr>
      <w:r>
        <w:rPr>
          <w:sz w:val="20"/>
        </w:rPr>
        <w:t xml:space="preserve">от 19.11.2021 N 871</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ПРОВЕДЕНИЯ ИНВЕНТАРИЗАЦИИ СТАЦИОНАРНЫХ ИСТОЧНИКОВ И ВЫБРОСОВ</w:t>
      </w:r>
    </w:p>
    <w:p>
      <w:pPr>
        <w:pStyle w:val="2"/>
        <w:jc w:val="center"/>
      </w:pPr>
      <w:r>
        <w:rPr>
          <w:sz w:val="20"/>
        </w:rPr>
        <w:t xml:space="preserve">ЗАГРЯЗНЯЮЩИХ ВЕЩЕСТВ В АТМОСФЕРНЫЙ ВОЗДУХ, КОРРЕКТИРОВКИ</w:t>
      </w:r>
    </w:p>
    <w:p>
      <w:pPr>
        <w:pStyle w:val="2"/>
        <w:jc w:val="center"/>
      </w:pPr>
      <w:r>
        <w:rPr>
          <w:sz w:val="20"/>
        </w:rPr>
        <w:t xml:space="preserve">ЕЕ ДАННЫХ, ДОКУМЕНТИРОВАНИЯ И ХРАНЕНИЯ ДАННЫХ, ПОЛУЧЕННЫХ</w:t>
      </w:r>
    </w:p>
    <w:p>
      <w:pPr>
        <w:pStyle w:val="2"/>
        <w:jc w:val="center"/>
      </w:pPr>
      <w:r>
        <w:rPr>
          <w:sz w:val="20"/>
        </w:rPr>
        <w:t xml:space="preserve">В РЕЗУЛЬТАТЕ ПРОВЕДЕНИЯ ТАКИХ ИНВЕНТАРИЗАЦИИ И КОРРЕКТИРОВКИ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Инвентаризация стационарных источников и выбросов загрязняющих веществ в атмосферный воздух (далее -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на объектах, оказывающих негативное воздействие на окружающую среду (далее - объект ОНВ), с использованием стационарных источников выбросов загрязняющих веществ в атмосферный воздух (далее также - источники загрязнения атмосферного воздуха, ИЗАВ, выбросы, загрязняющие вещества, ЗВ).</w:t>
      </w:r>
    </w:p>
    <w:p>
      <w:pPr>
        <w:pStyle w:val="0"/>
        <w:spacing w:before="200" w:line-rule="auto"/>
        <w:ind w:firstLine="540"/>
        <w:jc w:val="both"/>
      </w:pPr>
      <w:r>
        <w:rPr>
          <w:sz w:val="20"/>
        </w:rPr>
        <w:t xml:space="preserve">2. 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pPr>
        <w:pStyle w:val="0"/>
        <w:spacing w:before="200" w:line-rule="auto"/>
        <w:ind w:firstLine="540"/>
        <w:jc w:val="both"/>
      </w:pPr>
      <w:r>
        <w:rPr>
          <w:sz w:val="20"/>
        </w:rPr>
        <w:t xml:space="preserve">Инвентаризация стационарных ИЗАВ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04.05.1999 N 96-ФЗ (ред. от 13.06.2023) &quot;Об охране атмосферного воздуха&quot; {КонсультантПлюс}">
        <w:r>
          <w:rPr>
            <w:sz w:val="20"/>
            <w:color w:val="0000ff"/>
          </w:rPr>
          <w:t xml:space="preserve">Пункт 3 статьи 22</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pPr>
        <w:pStyle w:val="0"/>
        <w:jc w:val="both"/>
      </w:pPr>
      <w:r>
        <w:rPr>
          <w:sz w:val="20"/>
        </w:rPr>
      </w:r>
    </w:p>
    <w:p>
      <w:pPr>
        <w:pStyle w:val="0"/>
        <w:ind w:firstLine="540"/>
        <w:jc w:val="both"/>
      </w:pPr>
      <w:r>
        <w:rPr>
          <w:sz w:val="20"/>
        </w:rPr>
        <w:t xml:space="preserve">3. При проведении инвентаризации выбросов выявляются и учитываются все стационарные и передвижные ИЗАВ, устанавливаются их характеристики, а также определяются количественные и качественные показатели выбросов из всех стационарных, а также передвижных ИЗАВ, которые постоянно или временно эксплуатируются (функционируют) на объекте, оказывающем негативное воздействие на окружающую среду, систематизируются и документируются полученные результаты.</w:t>
      </w:r>
    </w:p>
    <w:p>
      <w:pPr>
        <w:pStyle w:val="0"/>
        <w:spacing w:before="200" w:line-rule="auto"/>
        <w:ind w:firstLine="540"/>
        <w:jc w:val="both"/>
      </w:pPr>
      <w:r>
        <w:rPr>
          <w:sz w:val="20"/>
        </w:rPr>
        <w:t xml:space="preserve">4. В качестве стационарных ИЗАВ при проведении инвентаризации выбросов учитываются:</w:t>
      </w:r>
    </w:p>
    <w:p>
      <w:pPr>
        <w:pStyle w:val="0"/>
        <w:spacing w:before="200" w:line-rule="auto"/>
        <w:ind w:firstLine="540"/>
        <w:jc w:val="both"/>
      </w:pPr>
      <w:r>
        <w:rPr>
          <w:sz w:val="20"/>
        </w:rPr>
        <w:t xml:space="preserve">ИЗАВ, из которых загрязняющие вещества поступают в атмосферный воздух через 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pPr>
        <w:pStyle w:val="0"/>
        <w:spacing w:before="200" w:line-rule="auto"/>
        <w:ind w:firstLine="540"/>
        <w:jc w:val="both"/>
      </w:pPr>
      <w:r>
        <w:rPr>
          <w:sz w:val="20"/>
        </w:rPr>
        <w:t xml:space="preserve">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pPr>
        <w:pStyle w:val="0"/>
        <w:spacing w:before="200" w:line-rule="auto"/>
        <w:ind w:firstLine="540"/>
        <w:jc w:val="both"/>
      </w:pPr>
      <w:r>
        <w:rPr>
          <w:sz w:val="20"/>
        </w:rPr>
        <w:t xml:space="preserve">ИЗАВ, из которых загрязняющие вещества поступают в атмосферный воздух из установленного отверстия (далее - точечные ИЗАВ, относящиеся к организованным ИЗАВ);</w:t>
      </w:r>
    </w:p>
    <w:p>
      <w:pPr>
        <w:pStyle w:val="0"/>
        <w:spacing w:before="200" w:line-rule="auto"/>
        <w:ind w:firstLine="540"/>
        <w:jc w:val="both"/>
      </w:pPr>
      <w:r>
        <w:rPr>
          <w:sz w:val="20"/>
        </w:rPr>
        <w:t xml:space="preserve">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pPr>
        <w:pStyle w:val="0"/>
        <w:spacing w:before="200" w:line-rule="auto"/>
        <w:ind w:firstLine="540"/>
        <w:jc w:val="both"/>
      </w:pPr>
      <w:r>
        <w:rPr>
          <w:sz w:val="20"/>
        </w:rPr>
        <w:t xml:space="preserve">ИЗАВ, из которых загрязняющие вещества поступают в атмосферный воздух с установленной ограниченной поверхности или площади (далее - площадные ИЗАВ, относящиеся к неорганизованным ИЗАВ).</w:t>
      </w:r>
    </w:p>
    <w:bookmarkStart w:id="59" w:name="P59"/>
    <w:bookmarkEnd w:id="59"/>
    <w:p>
      <w:pPr>
        <w:pStyle w:val="0"/>
        <w:spacing w:before="200" w:line-rule="auto"/>
        <w:ind w:firstLine="540"/>
        <w:jc w:val="both"/>
      </w:pPr>
      <w:r>
        <w:rPr>
          <w:sz w:val="20"/>
        </w:rPr>
        <w:t xml:space="preserve">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w:t>
      </w:r>
    </w:p>
    <w:p>
      <w:pPr>
        <w:pStyle w:val="0"/>
        <w:spacing w:before="200" w:line-rule="auto"/>
        <w:ind w:firstLine="540"/>
        <w:jc w:val="both"/>
      </w:pPr>
      <w:r>
        <w:rPr>
          <w:sz w:val="20"/>
        </w:rPr>
        <w:t xml:space="preserve">Хозяйствующий субъект вправе не учитывать выбросы передвижных ИЗАВ в случае, если на объекте ОНВ не осуществляется промышленное производство и если на объекте эксплуатируются исключительно легковые автомобили и (или) автобусы для перевозки людей в количестве не более двадцати единиц в день и грузовые автомобили в количестве не более трех единиц в день.</w:t>
      </w:r>
    </w:p>
    <w:p>
      <w:pPr>
        <w:pStyle w:val="0"/>
        <w:spacing w:before="200" w:line-rule="auto"/>
        <w:ind w:firstLine="540"/>
        <w:jc w:val="both"/>
      </w:pPr>
      <w:r>
        <w:rPr>
          <w:sz w:val="20"/>
        </w:rPr>
        <w:t xml:space="preserve">При проведении инвентаризации выбросов учитываются передвижные ИЗАВ следующих видов:</w:t>
      </w:r>
    </w:p>
    <w:p>
      <w:pPr>
        <w:pStyle w:val="0"/>
        <w:spacing w:before="200" w:line-rule="auto"/>
        <w:ind w:firstLine="540"/>
        <w:jc w:val="both"/>
      </w:pPr>
      <w:r>
        <w:rPr>
          <w:sz w:val="20"/>
        </w:rPr>
        <w:t xml:space="preserve">автомобильный транспорт, строительная, сельскохозяйственная, дорожная и иная техника, которая относится к передвижным источникам выбросов, постоянно или временно эксплуатирующаяся (функционирующая) на объекте ОНВ;</w:t>
      </w:r>
    </w:p>
    <w:p>
      <w:pPr>
        <w:pStyle w:val="0"/>
        <w:spacing w:before="200" w:line-rule="auto"/>
        <w:ind w:firstLine="540"/>
        <w:jc w:val="both"/>
      </w:pPr>
      <w:r>
        <w:rPr>
          <w:sz w:val="20"/>
        </w:rPr>
        <w:t xml:space="preserve">самолеты и иные воздушные суда, постоянно или временно эксплуатирующиеся (функционирующие) на объекте ОНВ;</w:t>
      </w:r>
    </w:p>
    <w:p>
      <w:pPr>
        <w:pStyle w:val="0"/>
        <w:spacing w:before="200" w:line-rule="auto"/>
        <w:ind w:firstLine="540"/>
        <w:jc w:val="both"/>
      </w:pPr>
      <w:r>
        <w:rPr>
          <w:sz w:val="20"/>
        </w:rPr>
        <w:t xml:space="preserve">железнодорожный транспорт, постоянно или временно эксплуатирующийся (функционирующий) на объекте ОНВ;</w:t>
      </w:r>
    </w:p>
    <w:p>
      <w:pPr>
        <w:pStyle w:val="0"/>
        <w:spacing w:before="200" w:line-rule="auto"/>
        <w:ind w:firstLine="540"/>
        <w:jc w:val="both"/>
      </w:pPr>
      <w:r>
        <w:rPr>
          <w:sz w:val="20"/>
        </w:rPr>
        <w:t xml:space="preserve">водные суда, постоянно или временно эксплуатирующиеся (функционирующие) на объекте ОНВ.</w:t>
      </w:r>
    </w:p>
    <w:p>
      <w:pPr>
        <w:pStyle w:val="0"/>
        <w:spacing w:before="200" w:line-rule="auto"/>
        <w:ind w:firstLine="540"/>
        <w:jc w:val="both"/>
      </w:pPr>
      <w:r>
        <w:rPr>
          <w:sz w:val="20"/>
        </w:rPr>
        <w:t xml:space="preserve">Также учитываются выбросы от передвижных ИЗАВ на стоянках и сооружениях, где осуществляется работа, обслуживание и ремонт передвижных ИЗАВ, погрузка и разгрузка передвижных ИЗАВ.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 повторный учет выбросов на данных стоянках и сооружениях не требуется.</w:t>
      </w:r>
    </w:p>
    <w:p>
      <w:pPr>
        <w:pStyle w:val="0"/>
        <w:jc w:val="both"/>
      </w:pPr>
      <w:r>
        <w:rPr>
          <w:sz w:val="20"/>
        </w:rPr>
      </w:r>
    </w:p>
    <w:bookmarkStart w:id="68" w:name="P68"/>
    <w:bookmarkEnd w:id="68"/>
    <w:p>
      <w:pPr>
        <w:pStyle w:val="2"/>
        <w:outlineLvl w:val="1"/>
        <w:jc w:val="center"/>
      </w:pPr>
      <w:r>
        <w:rPr>
          <w:sz w:val="20"/>
        </w:rPr>
        <w:t xml:space="preserve">II. Содержание работ при проведении инвентаризации выбросов</w:t>
      </w:r>
    </w:p>
    <w:p>
      <w:pPr>
        <w:pStyle w:val="0"/>
        <w:jc w:val="both"/>
      </w:pPr>
      <w:r>
        <w:rPr>
          <w:sz w:val="20"/>
        </w:rPr>
      </w:r>
    </w:p>
    <w:p>
      <w:pPr>
        <w:pStyle w:val="0"/>
        <w:ind w:firstLine="540"/>
        <w:jc w:val="both"/>
      </w:pPr>
      <w:r>
        <w:rPr>
          <w:sz w:val="20"/>
        </w:rPr>
        <w:t xml:space="preserve">6. При проведении инвентаризации выбросов:</w:t>
      </w:r>
    </w:p>
    <w:p>
      <w:pPr>
        <w:pStyle w:val="0"/>
        <w:spacing w:before="200" w:line-rule="auto"/>
        <w:ind w:firstLine="540"/>
        <w:jc w:val="both"/>
      </w:pPr>
      <w:r>
        <w:rPr>
          <w:sz w:val="20"/>
        </w:rPr>
        <w:t xml:space="preserve">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контроля (надзора) за период действия предыдущей инвентаризации выбросов;</w:t>
      </w:r>
    </w:p>
    <w:p>
      <w:pPr>
        <w:pStyle w:val="0"/>
        <w:spacing w:before="200" w:line-rule="auto"/>
        <w:ind w:firstLine="540"/>
        <w:jc w:val="both"/>
      </w:pPr>
      <w:r>
        <w:rPr>
          <w:sz w:val="20"/>
        </w:rPr>
        <w:t xml:space="preserve">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также - источники выделения, ИВ), и выявляются все стационарные ИЗАВ, в том числе стационарные источники залповых выбросов, и передвижные ИЗАВ, из которых непосредственно в атмосферный воздух поступает поток газа, содержащий загрязняющие вещества;</w:t>
      </w:r>
    </w:p>
    <w:p>
      <w:pPr>
        <w:pStyle w:val="0"/>
        <w:spacing w:before="200" w:line-rule="auto"/>
        <w:ind w:firstLine="540"/>
        <w:jc w:val="both"/>
      </w:pPr>
      <w:r>
        <w:rPr>
          <w:sz w:val="20"/>
        </w:rPr>
        <w:t xml:space="preserve">систематизируются сведения о пространственном размещении ИЗАВ на объекте ОНВ;</w:t>
      </w:r>
    </w:p>
    <w:p>
      <w:pPr>
        <w:pStyle w:val="0"/>
        <w:spacing w:before="200" w:line-rule="auto"/>
        <w:ind w:firstLine="540"/>
        <w:jc w:val="both"/>
      </w:pPr>
      <w:r>
        <w:rPr>
          <w:sz w:val="20"/>
        </w:rPr>
        <w:t xml:space="preserve">изучаются состояние и условия эксплуатации установок очистки газа;</w:t>
      </w:r>
    </w:p>
    <w:p>
      <w:pPr>
        <w:pStyle w:val="0"/>
        <w:spacing w:before="200" w:line-rule="auto"/>
        <w:ind w:firstLine="540"/>
        <w:jc w:val="both"/>
      </w:pPr>
      <w:r>
        <w:rPr>
          <w:sz w:val="20"/>
        </w:rPr>
        <w:t xml:space="preserve">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стационарных ИЗАВ (длина, ширина, высота, при наличии устья - вид и размеры устья источника), а также виды передвижных ИЗАВ с указанием их количества и используемого топлива;</w:t>
      </w:r>
    </w:p>
    <w:p>
      <w:pPr>
        <w:pStyle w:val="0"/>
        <w:spacing w:before="200" w:line-rule="auto"/>
        <w:ind w:firstLine="540"/>
        <w:jc w:val="both"/>
      </w:pPr>
      <w:r>
        <w:rPr>
          <w:sz w:val="20"/>
        </w:rPr>
        <w:t xml:space="preserve">определяются координаты стационарных ИЗАВ, мест эксплуатации, стоянки, обслуживания и ремонта, а также маршрутов перемещения передвижных ИЗАВ по объекту ОНВ;</w:t>
      </w:r>
    </w:p>
    <w:p>
      <w:pPr>
        <w:pStyle w:val="0"/>
        <w:spacing w:before="200" w:line-rule="auto"/>
        <w:ind w:firstLine="540"/>
        <w:jc w:val="both"/>
      </w:pPr>
      <w:r>
        <w:rPr>
          <w:sz w:val="20"/>
        </w:rPr>
        <w:t xml:space="preserve">определяются показатели выбросов от стационарных и передвижных ИЗАВ,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(список ЗВ и их концентрации), а также для стационарных ИЗАВ определяются показатели отходящих газов (скорость, температура, давление, влажность, плотность, объемный расход и мощность выброса), для стационарных источников залповых выбросов определяются периодичность, продолжительность и условия, при которых возможны залповые выбросы;</w:t>
      </w:r>
    </w:p>
    <w:p>
      <w:pPr>
        <w:pStyle w:val="0"/>
        <w:spacing w:before="200" w:line-rule="auto"/>
        <w:ind w:firstLine="540"/>
        <w:jc w:val="both"/>
      </w:pPr>
      <w:r>
        <w:rPr>
          <w:sz w:val="20"/>
        </w:rPr>
        <w:t xml:space="preserve">документируются ход и результаты инвентаризации выбросов.</w:t>
      </w:r>
    </w:p>
    <w:p>
      <w:pPr>
        <w:pStyle w:val="0"/>
        <w:spacing w:before="200" w:line-rule="auto"/>
        <w:ind w:firstLine="540"/>
        <w:jc w:val="both"/>
      </w:pPr>
      <w:r>
        <w:rPr>
          <w:sz w:val="20"/>
        </w:rPr>
        <w:t xml:space="preserve">7.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w:t>
      </w:r>
    </w:p>
    <w:p>
      <w:pPr>
        <w:pStyle w:val="0"/>
        <w:spacing w:before="200" w:line-rule="auto"/>
        <w:ind w:firstLine="540"/>
        <w:jc w:val="both"/>
      </w:pPr>
      <w:r>
        <w:rPr>
          <w:sz w:val="20"/>
        </w:rPr>
        <w:t xml:space="preserve">8. Определение характеристик ИЗАВ и показателей выбросов осуществляется:</w:t>
      </w:r>
    </w:p>
    <w:p>
      <w:pPr>
        <w:pStyle w:val="0"/>
        <w:spacing w:before="200" w:line-rule="auto"/>
        <w:ind w:firstLine="540"/>
        <w:jc w:val="both"/>
      </w:pPr>
      <w:r>
        <w:rPr>
          <w:sz w:val="20"/>
        </w:rPr>
        <w:t xml:space="preserve">при эксплуатации технологического оборудования с максимальной производительностью, допускаемой установленным регламентом работы;</w:t>
      </w:r>
    </w:p>
    <w:p>
      <w:pPr>
        <w:pStyle w:val="0"/>
        <w:spacing w:before="200" w:line-rule="auto"/>
        <w:ind w:firstLine="540"/>
        <w:jc w:val="both"/>
      </w:pPr>
      <w:r>
        <w:rPr>
          <w:sz w:val="20"/>
        </w:rPr>
        <w:t xml:space="preserve">при эксплуатации систем вентиляции и установок очистки газа в режиме их наибольшей допустимой нагрузки, определяемой инструкциями по их эксплуатации.</w:t>
      </w:r>
    </w:p>
    <w:p>
      <w:pPr>
        <w:pStyle w:val="0"/>
        <w:spacing w:before="200" w:line-rule="auto"/>
        <w:ind w:firstLine="540"/>
        <w:jc w:val="both"/>
      </w:pPr>
      <w:r>
        <w:rPr>
          <w:sz w:val="20"/>
        </w:rPr>
        <w:t xml:space="preserve">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pPr>
        <w:pStyle w:val="0"/>
        <w:spacing w:before="200" w:line-rule="auto"/>
        <w:ind w:firstLine="540"/>
        <w:jc w:val="both"/>
      </w:pPr>
      <w:r>
        <w:rPr>
          <w:sz w:val="20"/>
        </w:rPr>
        <w:t xml:space="preserve">9. В ходе инвентаризации выбросов при определении качественных и количественных показателей выбросов от стационарных ИЗАВ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выбросов).</w:t>
      </w:r>
    </w:p>
    <w:p>
      <w:pPr>
        <w:pStyle w:val="0"/>
        <w:spacing w:before="200" w:line-rule="auto"/>
        <w:ind w:firstLine="540"/>
        <w:jc w:val="both"/>
      </w:pPr>
      <w:r>
        <w:rPr>
          <w:sz w:val="20"/>
        </w:rPr>
        <w:t xml:space="preserve">Для передвижных ИЗАВ определяются скорости движения по объекту ОНВ и режимы эксплуатации (функционирования).</w:t>
      </w:r>
    </w:p>
    <w:p>
      <w:pPr>
        <w:pStyle w:val="0"/>
        <w:spacing w:before="200" w:line-rule="auto"/>
        <w:ind w:firstLine="540"/>
        <w:jc w:val="both"/>
      </w:pPr>
      <w:r>
        <w:rPr>
          <w:sz w:val="20"/>
        </w:rPr>
        <w:t xml:space="preserve">10.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w:t>
      </w:r>
    </w:p>
    <w:p>
      <w:pPr>
        <w:pStyle w:val="0"/>
        <w:spacing w:before="200" w:line-rule="auto"/>
        <w:ind w:firstLine="540"/>
        <w:jc w:val="both"/>
      </w:pPr>
      <w:r>
        <w:rPr>
          <w:sz w:val="20"/>
        </w:rPr>
        <w:t xml:space="preserve">Для стационарных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pPr>
        <w:pStyle w:val="0"/>
        <w:spacing w:before="200" w:line-rule="auto"/>
        <w:ind w:firstLine="540"/>
        <w:jc w:val="both"/>
      </w:pPr>
      <w:r>
        <w:rPr>
          <w:sz w:val="20"/>
        </w:rPr>
        <w:t xml:space="preserve">Рекомендуемые образцы таблиц для документирования данных при нестационарности выбросов приведены в </w:t>
      </w:r>
      <w:hyperlink w:history="0" w:anchor="P305" w:tooltip="Документирование данных при нестационарности выбросов">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По каждому из рассматриваемых стационарных ИЗАВ раздельно описываются режимы и временные характеристики их работы, при необходимости - расход сырья, материалов или топлива. Режим работы ИЗАВ характеризуется режимами работы относящихся к ним ИВ. Данные о режимах работы ИЗАВ при нестационарности выбросов оформляются в форме таблицы, рекомендуемый образец которой приведен в </w:t>
      </w:r>
      <w:hyperlink w:history="0" w:anchor="P308" w:tooltip="Таблица N 1.1">
        <w:r>
          <w:rPr>
            <w:sz w:val="20"/>
            <w:color w:val="0000ff"/>
          </w:rPr>
          <w:t xml:space="preserve">таблице N 1.1</w:t>
        </w:r>
      </w:hyperlink>
      <w:r>
        <w:rPr>
          <w:sz w:val="20"/>
        </w:rPr>
        <w:t xml:space="preserve"> приложения N 1 к настоящему Порядку.</w:t>
      </w:r>
    </w:p>
    <w:p>
      <w:pPr>
        <w:pStyle w:val="0"/>
        <w:spacing w:before="200" w:line-rule="auto"/>
        <w:ind w:firstLine="540"/>
        <w:jc w:val="both"/>
      </w:pPr>
      <w:hyperlink w:history="0" w:anchor="P343" w:tooltip="Таблица N 1.2">
        <w:r>
          <w:rPr>
            <w:sz w:val="20"/>
            <w:color w:val="0000ff"/>
          </w:rPr>
          <w:t xml:space="preserve">Таблицы N 1.2</w:t>
        </w:r>
      </w:hyperlink>
      <w:r>
        <w:rPr>
          <w:sz w:val="20"/>
        </w:rPr>
        <w:t xml:space="preserve"> и </w:t>
      </w:r>
      <w:hyperlink w:history="0" w:anchor="P381" w:tooltip="Таблица N 1.3">
        <w:r>
          <w:rPr>
            <w:sz w:val="20"/>
            <w:color w:val="0000ff"/>
          </w:rPr>
          <w:t xml:space="preserve">N 1.3</w:t>
        </w:r>
      </w:hyperlink>
      <w:r>
        <w:rPr>
          <w:sz w:val="20"/>
        </w:rPr>
        <w:t xml:space="preserve">, рекомендуемые образцы которых приведены в приложении N 1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работ определяются на основании документации, регламентирующей порядок проведения технологических операций и процессов на объекте ОНВ, и графика работы производства; данные о концентрации загрязняющего вещества (мг/мЗ) и максимальных значениях выбросов (граммах в секунду) (далее - г/с) на каждой стадии выбираются по результатам инвентаризации.</w:t>
      </w:r>
    </w:p>
    <w:p>
      <w:pPr>
        <w:pStyle w:val="0"/>
        <w:spacing w:before="200" w:line-rule="auto"/>
        <w:ind w:firstLine="540"/>
        <w:jc w:val="both"/>
      </w:pPr>
      <w:r>
        <w:rPr>
          <w:sz w:val="20"/>
        </w:rPr>
        <w:t xml:space="preserve">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pPr>
        <w:pStyle w:val="0"/>
        <w:spacing w:before="200" w:line-rule="auto"/>
        <w:ind w:firstLine="540"/>
        <w:jc w:val="both"/>
      </w:pPr>
      <w:r>
        <w:rPr>
          <w:sz w:val="20"/>
        </w:rPr>
        <w:t xml:space="preserve">Для передвижных ИЗАВ список выбрасываемых загрязняющих веществ составляется на основе данных об эксплуатирующихся (функционирующих) на объекте ОНВ передвижных ИЗАВ, а также используемом топливе.</w:t>
      </w:r>
    </w:p>
    <w:p>
      <w:pPr>
        <w:pStyle w:val="0"/>
        <w:spacing w:before="200" w:line-rule="auto"/>
        <w:ind w:firstLine="540"/>
        <w:jc w:val="both"/>
      </w:pPr>
      <w:r>
        <w:rPr>
          <w:sz w:val="20"/>
        </w:rPr>
        <w:t xml:space="preserve">11. 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разрабатываемые в соответствии со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28.1</w:t>
        </w:r>
      </w:hyperlink>
      <w:r>
        <w:rPr>
          <w:sz w:val="20"/>
        </w:rPr>
        <w:t xml:space="preserve"> Федерального закона от 10.01.2002 N 7-ФЗ "Об охране окружающей среды" &lt;2&gt;, и методики расчета выбросов, включенные в перечень методик расчета выбросов ЗВ, который формируется и ведется Министерством природных ресурсов и экологии Российской Федерации &lt;3&gt;.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включаются в том числе маркерные вещества.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2002, N 2, ст. 133; 2019, N 52, ст. 7771.</w:t>
      </w:r>
    </w:p>
    <w:p>
      <w:pPr>
        <w:pStyle w:val="0"/>
        <w:spacing w:before="200" w:line-rule="auto"/>
        <w:ind w:firstLine="540"/>
        <w:jc w:val="both"/>
      </w:pPr>
      <w:r>
        <w:rPr>
          <w:sz w:val="20"/>
        </w:rPr>
        <w:t xml:space="preserve">&lt;3&gt; </w:t>
      </w:r>
      <w:hyperlink w:history="0" r:id="rId13" w:tooltip="Постановление Правительства РФ от 16.05.2016 N 422 &quot;Об утверждении Правил разработки и утверждения методик расчета выбросов вредных (загрязняющих) веществ в атмосферный воздух стационарными источниками&quot; {КонсультантПлюс}">
        <w:r>
          <w:rPr>
            <w:sz w:val="20"/>
            <w:color w:val="0000ff"/>
          </w:rPr>
          <w:t xml:space="preserve">Правила</w:t>
        </w:r>
      </w:hyperlink>
      <w:r>
        <w:rPr>
          <w:sz w:val="20"/>
        </w:rP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 мая 2016 г. N 422 (Собрание законодательства Российской Федерации, 2016, N 21, ст. 3018).</w:t>
      </w:r>
    </w:p>
    <w:p>
      <w:pPr>
        <w:pStyle w:val="0"/>
        <w:jc w:val="both"/>
      </w:pPr>
      <w:r>
        <w:rPr>
          <w:sz w:val="20"/>
        </w:rPr>
      </w:r>
    </w:p>
    <w:p>
      <w:pPr>
        <w:pStyle w:val="2"/>
        <w:outlineLvl w:val="1"/>
        <w:jc w:val="center"/>
      </w:pPr>
      <w:r>
        <w:rPr>
          <w:sz w:val="20"/>
        </w:rPr>
        <w:t xml:space="preserve">III. Систематизация сведений при проведении</w:t>
      </w:r>
    </w:p>
    <w:p>
      <w:pPr>
        <w:pStyle w:val="2"/>
        <w:jc w:val="center"/>
      </w:pPr>
      <w:r>
        <w:rPr>
          <w:sz w:val="20"/>
        </w:rPr>
        <w:t xml:space="preserve">инвентаризации выбросов</w:t>
      </w:r>
    </w:p>
    <w:p>
      <w:pPr>
        <w:pStyle w:val="0"/>
        <w:jc w:val="both"/>
      </w:pPr>
      <w:r>
        <w:rPr>
          <w:sz w:val="20"/>
        </w:rPr>
      </w:r>
    </w:p>
    <w:p>
      <w:pPr>
        <w:pStyle w:val="0"/>
        <w:ind w:firstLine="540"/>
        <w:jc w:val="both"/>
      </w:pPr>
      <w:r>
        <w:rPr>
          <w:sz w:val="20"/>
        </w:rPr>
        <w:t xml:space="preserve">12. Систематизация сведений о пространственном размещении выявленных ИЗАВ осуществляется путем определения координат стационарных ИЗАВ, присвоения стационарным ИЗАВ порядковых номеров и подготовки карты-схемы объекта ОНВ в целом или его части (далее - карта-схема).</w:t>
      </w:r>
    </w:p>
    <w:p>
      <w:pPr>
        <w:pStyle w:val="0"/>
        <w:spacing w:before="200" w:line-rule="auto"/>
        <w:ind w:firstLine="540"/>
        <w:jc w:val="both"/>
      </w:pPr>
      <w:r>
        <w:rPr>
          <w:sz w:val="20"/>
        </w:rPr>
        <w:t xml:space="preserve">На карту-схему наносятся маршруты перемещения, места эксплуатации, стоянки и ремонта (обслуживания) передвижных ИЗАВ.</w:t>
      </w:r>
    </w:p>
    <w:p>
      <w:pPr>
        <w:pStyle w:val="0"/>
        <w:spacing w:before="200" w:line-rule="auto"/>
        <w:ind w:firstLine="540"/>
        <w:jc w:val="both"/>
      </w:pPr>
      <w:r>
        <w:rPr>
          <w:sz w:val="20"/>
        </w:rPr>
        <w:t xml:space="preserve">13.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определяется в системе координат, используемой для ведения Единого государственного реестра недвижимости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Федеральный </w:t>
      </w:r>
      <w:hyperlink w:history="0" r:id="rId1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w:t>
        </w:r>
      </w:hyperlink>
      <w:r>
        <w:rPr>
          <w:sz w:val="20"/>
        </w:rPr>
        <w:t xml:space="preserve"> от 13.07.2015 N 218-ФЗ "О государственной регистрации недвижимости" (Собрание законодательства Российской Федерации, 2015, N 29, ст. 4344; 2021, N 27, ст. 5171).</w:t>
      </w:r>
    </w:p>
    <w:p>
      <w:pPr>
        <w:pStyle w:val="0"/>
        <w:jc w:val="both"/>
      </w:pPr>
      <w:r>
        <w:rPr>
          <w:sz w:val="20"/>
        </w:rPr>
      </w:r>
    </w:p>
    <w:bookmarkStart w:id="107" w:name="P107"/>
    <w:bookmarkEnd w:id="107"/>
    <w:p>
      <w:pPr>
        <w:pStyle w:val="0"/>
        <w:ind w:firstLine="540"/>
        <w:jc w:val="both"/>
      </w:pPr>
      <w:r>
        <w:rPr>
          <w:sz w:val="20"/>
        </w:rPr>
        <w:t xml:space="preserve">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pPr>
        <w:pStyle w:val="0"/>
        <w:spacing w:before="200" w:line-rule="auto"/>
        <w:ind w:firstLine="540"/>
        <w:jc w:val="both"/>
      </w:pPr>
      <w:r>
        <w:rPr>
          <w:sz w:val="20"/>
        </w:rPr>
        <w:t xml:space="preserve">15. При присвоении стационарным ИЗАВ порядковых номеров используется единая, последовательная (сквозная) нумерация:</w:t>
      </w:r>
    </w:p>
    <w:p>
      <w:pPr>
        <w:pStyle w:val="0"/>
        <w:spacing w:before="200" w:line-rule="auto"/>
        <w:ind w:firstLine="540"/>
        <w:jc w:val="both"/>
      </w:pPr>
      <w:r>
        <w:rPr>
          <w:sz w:val="20"/>
        </w:rPr>
        <w:t xml:space="preserve">отдельных территорий объекта ОНВ - в рамках территории объекта ОНВ в целом;</w:t>
      </w:r>
    </w:p>
    <w:p>
      <w:pPr>
        <w:pStyle w:val="0"/>
        <w:spacing w:before="200" w:line-rule="auto"/>
        <w:ind w:firstLine="540"/>
        <w:jc w:val="both"/>
      </w:pPr>
      <w:r>
        <w:rPr>
          <w:sz w:val="20"/>
        </w:rPr>
        <w:t xml:space="preserve">цехов - в рамках отдельных территорий объекта ОНВ;</w:t>
      </w:r>
    </w:p>
    <w:p>
      <w:pPr>
        <w:pStyle w:val="0"/>
        <w:spacing w:before="200" w:line-rule="auto"/>
        <w:ind w:firstLine="540"/>
        <w:jc w:val="both"/>
      </w:pPr>
      <w:r>
        <w:rPr>
          <w:sz w:val="20"/>
        </w:rPr>
        <w:t xml:space="preserve">участков - в рамках территорий цехов;</w:t>
      </w:r>
    </w:p>
    <w:p>
      <w:pPr>
        <w:pStyle w:val="0"/>
        <w:spacing w:before="200" w:line-rule="auto"/>
        <w:ind w:firstLine="540"/>
        <w:jc w:val="both"/>
      </w:pPr>
      <w:r>
        <w:rPr>
          <w:sz w:val="20"/>
        </w:rPr>
        <w:t xml:space="preserve">стационарных ИЗАВ - в рамках участков, цехов, отдельных территорий объекта ОНВ или объекта ОНВ в целом (при наличии только одной территории);</w:t>
      </w:r>
    </w:p>
    <w:p>
      <w:pPr>
        <w:pStyle w:val="0"/>
        <w:spacing w:before="200" w:line-rule="auto"/>
        <w:ind w:firstLine="540"/>
        <w:jc w:val="both"/>
      </w:pPr>
      <w:r>
        <w:rPr>
          <w:sz w:val="20"/>
        </w:rPr>
        <w:t xml:space="preserve">источников выделения, режимов (стадий) работы источников выделения, режимов выбросов - в рамках соответствующих стационарных ИЗАВ.</w:t>
      </w:r>
    </w:p>
    <w:p>
      <w:pPr>
        <w:pStyle w:val="0"/>
        <w:spacing w:before="200" w:line-rule="auto"/>
        <w:ind w:firstLine="540"/>
        <w:jc w:val="both"/>
      </w:pPr>
      <w:r>
        <w:rPr>
          <w:sz w:val="20"/>
        </w:rPr>
        <w:t xml:space="preserve">Нумерация начинается с N 0001 в возрастающей последовательности.</w:t>
      </w:r>
    </w:p>
    <w:p>
      <w:pPr>
        <w:pStyle w:val="0"/>
        <w:spacing w:before="200" w:line-rule="auto"/>
        <w:ind w:firstLine="540"/>
        <w:jc w:val="both"/>
      </w:pPr>
      <w:r>
        <w:rPr>
          <w:sz w:val="20"/>
        </w:rPr>
        <w:t xml:space="preserve">Всем организованным источникам выбросов присваивают номера от 0001 до 5999, всем неорганизованным источникам - с 6001.</w:t>
      </w:r>
    </w:p>
    <w:p>
      <w:pPr>
        <w:pStyle w:val="0"/>
        <w:spacing w:before="200" w:line-rule="auto"/>
        <w:ind w:firstLine="540"/>
        <w:jc w:val="both"/>
      </w:pPr>
      <w:r>
        <w:rPr>
          <w:sz w:val="20"/>
        </w:rPr>
        <w:t xml:space="preserve">Принятая нумерация не может быть изменена при проведении следующей инвентаризации выбросов.</w:t>
      </w:r>
    </w:p>
    <w:p>
      <w:pPr>
        <w:pStyle w:val="0"/>
        <w:spacing w:before="200" w:line-rule="auto"/>
        <w:ind w:firstLine="540"/>
        <w:jc w:val="both"/>
      </w:pPr>
      <w:r>
        <w:rPr>
          <w:sz w:val="20"/>
        </w:rPr>
        <w:t xml:space="preserve">При появлении новых ИЗАВ им присваивают номера, ранее не использовавшиеся при инвентаризации выбросов. При ликвидации (консервации) стационарных ИЗАВ их номера в дальнейшем не используются.</w:t>
      </w:r>
    </w:p>
    <w:p>
      <w:pPr>
        <w:pStyle w:val="0"/>
        <w:spacing w:before="200" w:line-rule="auto"/>
        <w:ind w:firstLine="540"/>
        <w:jc w:val="both"/>
      </w:pPr>
      <w:r>
        <w:rPr>
          <w:sz w:val="20"/>
        </w:rPr>
        <w:t xml:space="preserve">Для объектов ОНВ, на которых функционирует более 50 стационарных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например, первому ИЗАВ в цехе N 1 присваивается номер 1.0001 для организованных источников и 1.6001 - для неорганизованных.</w:t>
      </w:r>
    </w:p>
    <w:p>
      <w:pPr>
        <w:pStyle w:val="0"/>
        <w:spacing w:before="200" w:line-rule="auto"/>
        <w:ind w:firstLine="540"/>
        <w:jc w:val="both"/>
      </w:pPr>
      <w:r>
        <w:rPr>
          <w:sz w:val="20"/>
        </w:rPr>
        <w:t xml:space="preserve">Нумерация стационарных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w:t>
      </w:r>
      <w:hyperlink w:history="0" w:anchor="P193" w:tooltip="V. Документирование и хранение данных, полученных">
        <w:r>
          <w:rPr>
            <w:sz w:val="20"/>
            <w:color w:val="0000ff"/>
          </w:rPr>
          <w:t xml:space="preserve">главой V</w:t>
        </w:r>
      </w:hyperlink>
      <w:r>
        <w:rPr>
          <w:sz w:val="20"/>
        </w:rPr>
        <w:t xml:space="preserve"> настоящего Порядка.</w:t>
      </w:r>
    </w:p>
    <w:p>
      <w:pPr>
        <w:pStyle w:val="0"/>
        <w:spacing w:before="200" w:line-rule="auto"/>
        <w:ind w:firstLine="540"/>
        <w:jc w:val="both"/>
      </w:pPr>
      <w:r>
        <w:rPr>
          <w:sz w:val="20"/>
        </w:rPr>
        <w:t xml:space="preserve">На реконструируемых или вновь строящихся объектах ОНВ для стационарных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pPr>
        <w:pStyle w:val="0"/>
        <w:spacing w:before="200" w:line-rule="auto"/>
        <w:ind w:firstLine="540"/>
        <w:jc w:val="both"/>
      </w:pPr>
      <w:r>
        <w:rPr>
          <w:sz w:val="20"/>
        </w:rPr>
        <w:t xml:space="preserve">Передвижные ИЗАВ на объекте ОНВ нумеруются отдельно, при нумерации передвижных ИЗАВ используется индекс "п".</w:t>
      </w:r>
    </w:p>
    <w:p>
      <w:pPr>
        <w:pStyle w:val="0"/>
        <w:spacing w:before="200" w:line-rule="auto"/>
        <w:ind w:firstLine="540"/>
        <w:jc w:val="both"/>
      </w:pPr>
      <w:r>
        <w:rPr>
          <w:sz w:val="20"/>
        </w:rPr>
        <w:t xml:space="preserve">Нумерация передвижных ИЗАВ начинается с N 0001п и ведется в возрастающей последовательности.</w:t>
      </w:r>
    </w:p>
    <w:p>
      <w:pPr>
        <w:pStyle w:val="0"/>
        <w:spacing w:before="200" w:line-rule="auto"/>
        <w:ind w:firstLine="540"/>
        <w:jc w:val="both"/>
      </w:pPr>
      <w:r>
        <w:rPr>
          <w:sz w:val="20"/>
        </w:rPr>
        <w:t xml:space="preserve">В случае необходимости при нумерации передвижных ИЗАВ вместе с индексом "п" могут быть использованы дополнительные индексы, указывающие на вид передвижных ИЗАВ. В таком случае приводится расшифровка значений данных индексов.</w:t>
      </w:r>
    </w:p>
    <w:p>
      <w:pPr>
        <w:pStyle w:val="0"/>
        <w:spacing w:before="200" w:line-rule="auto"/>
        <w:ind w:firstLine="540"/>
        <w:jc w:val="both"/>
      </w:pPr>
      <w:r>
        <w:rPr>
          <w:sz w:val="20"/>
        </w:rPr>
        <w:t xml:space="preserve">Допускается нумерация стоянок и иных мест и сооружений, где эксплуатируются (функционируют) передвижные ИЗАВ, в порядке, предусмотренном настоящим пунктом для стационарных ИЗАВ.</w:t>
      </w:r>
    </w:p>
    <w:bookmarkStart w:id="126" w:name="P126"/>
    <w:bookmarkEnd w:id="126"/>
    <w:p>
      <w:pPr>
        <w:pStyle w:val="0"/>
        <w:spacing w:before="200" w:line-rule="auto"/>
        <w:ind w:firstLine="540"/>
        <w:jc w:val="both"/>
      </w:pPr>
      <w:r>
        <w:rPr>
          <w:sz w:val="20"/>
        </w:rPr>
        <w:t xml:space="preserve">16. На карте-схеме с соблюдением принятого масштаба отображаются:</w:t>
      </w:r>
    </w:p>
    <w:p>
      <w:pPr>
        <w:pStyle w:val="0"/>
        <w:spacing w:before="200" w:line-rule="auto"/>
        <w:ind w:firstLine="540"/>
        <w:jc w:val="both"/>
      </w:pPr>
      <w:r>
        <w:rPr>
          <w:sz w:val="20"/>
        </w:rPr>
        <w:t xml:space="preserve">все сооружения, здания, корпуса, установки на объекте ОНВ, границы его территории, стационарных ИЗАВ с указанием их номеров; маршруты перемещения, места стоянки и обслуживания передвижных ИЗАВ; границы санитарно-защитной зоны, устанавливаемой в соответствии с </w:t>
      </w:r>
      <w:hyperlink w:history="0" r:id="rId1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пунктом 2 статьи 12</w:t>
        </w:r>
      </w:hyperlink>
      <w:r>
        <w:rPr>
          <w:sz w:val="20"/>
        </w:rPr>
        <w:t xml:space="preserve"> Федерального закона от 30.03.1999 N 52-ФЗ "О санитарно-эпидемиологическом благополучии населения" &lt;5&gt;, ближайшей жилой застройки, территорий, выделенных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территорий размещения лечебно-профилактических учреждений длительного пребывания больных и центров реабилитации &lt;6&gt; (далее - зоны с особыми условиями использования территорий);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1999, N 14, ст. 1650; 2018, N 32, ст. 5135.</w:t>
      </w:r>
    </w:p>
    <w:p>
      <w:pPr>
        <w:pStyle w:val="0"/>
        <w:spacing w:before="200" w:line-rule="auto"/>
        <w:ind w:firstLine="540"/>
        <w:jc w:val="both"/>
      </w:pPr>
      <w:r>
        <w:rPr>
          <w:sz w:val="20"/>
        </w:rPr>
        <w:t xml:space="preserve">&lt;6&gt; </w:t>
      </w:r>
      <w:hyperlink w:history="0" r:id="rId1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(зарегистрировано Минюстом России 29.01.2021, регистрационный N 62297) с изменениями, внесенными постановлением Главного государственного санитарного врача Российской Федерации от 26.06.2021 N 16 (зарегистрировано Минюстом России 07.07.2021, регистрационный N 64146).</w:t>
      </w:r>
    </w:p>
    <w:p>
      <w:pPr>
        <w:pStyle w:val="0"/>
        <w:jc w:val="both"/>
      </w:pPr>
      <w:r>
        <w:rPr>
          <w:sz w:val="20"/>
        </w:rPr>
      </w:r>
    </w:p>
    <w:p>
      <w:pPr>
        <w:pStyle w:val="0"/>
        <w:ind w:firstLine="540"/>
        <w:jc w:val="both"/>
      </w:pPr>
      <w:r>
        <w:rPr>
          <w:sz w:val="20"/>
        </w:rPr>
        <w:t xml:space="preserve">масштаб (например, 1:500 или 1:1000), направления сторон света и принятая система координат (в соответствии с </w:t>
      </w:r>
      <w:hyperlink w:history="0" w:anchor="P107" w:tooltip="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Для объектов ОНВ, на которых функционирует более 50 стационарных ИЗАВ, при необходимости также составляется ситуационный план, схематично отображающий положение объекта ОНВ.</w:t>
      </w:r>
    </w:p>
    <w:p>
      <w:pPr>
        <w:pStyle w:val="0"/>
        <w:jc w:val="both"/>
      </w:pPr>
      <w:r>
        <w:rPr>
          <w:sz w:val="20"/>
        </w:rPr>
      </w:r>
    </w:p>
    <w:bookmarkStart w:id="135" w:name="P135"/>
    <w:bookmarkEnd w:id="135"/>
    <w:p>
      <w:pPr>
        <w:pStyle w:val="2"/>
        <w:outlineLvl w:val="1"/>
        <w:jc w:val="center"/>
      </w:pPr>
      <w:r>
        <w:rPr>
          <w:sz w:val="20"/>
        </w:rPr>
        <w:t xml:space="preserve">IV. Определение показателей выбросов при проведении</w:t>
      </w:r>
    </w:p>
    <w:p>
      <w:pPr>
        <w:pStyle w:val="2"/>
        <w:jc w:val="center"/>
      </w:pPr>
      <w:r>
        <w:rPr>
          <w:sz w:val="20"/>
        </w:rPr>
        <w:t xml:space="preserve">инвентаризации выбросов</w:t>
      </w:r>
    </w:p>
    <w:p>
      <w:pPr>
        <w:pStyle w:val="0"/>
        <w:jc w:val="both"/>
      </w:pPr>
      <w:r>
        <w:rPr>
          <w:sz w:val="20"/>
        </w:rPr>
      </w:r>
    </w:p>
    <w:p>
      <w:pPr>
        <w:pStyle w:val="0"/>
        <w:ind w:firstLine="540"/>
        <w:jc w:val="both"/>
      </w:pPr>
      <w:r>
        <w:rPr>
          <w:sz w:val="20"/>
        </w:rPr>
        <w:t xml:space="preserve">17. Определение качественного и количественного состава выбросов из выявленных ИЗАВ осуществляется инструментальными и расчетными методами.</w:t>
      </w:r>
    </w:p>
    <w:p>
      <w:pPr>
        <w:pStyle w:val="0"/>
        <w:spacing w:before="200" w:line-rule="auto"/>
        <w:ind w:firstLine="540"/>
        <w:jc w:val="both"/>
      </w:pPr>
      <w:r>
        <w:rPr>
          <w:sz w:val="20"/>
        </w:rPr>
        <w:t xml:space="preserve">18. Для определения показателей выбросов организованных ИЗАВ используются преимущественно инструментальные методы. Случаи, при которых допускается использование расчетных методов для определения качественного и количественного состава выбросов из выявленных ИЗАВ, указаны в </w:t>
      </w:r>
      <w:hyperlink w:history="0" w:anchor="P167" w:tooltip="26. Использование расчетных методов для определения показателей выбросов организованных ИЗАВ допускается в следующих случаях:">
        <w:r>
          <w:rPr>
            <w:sz w:val="20"/>
            <w:color w:val="0000ff"/>
          </w:rPr>
          <w:t xml:space="preserve">пунктах 26</w:t>
        </w:r>
      </w:hyperlink>
      <w:r>
        <w:rPr>
          <w:sz w:val="20"/>
        </w:rPr>
        <w:t xml:space="preserve"> - </w:t>
      </w:r>
      <w:hyperlink w:history="0" w:anchor="P175" w:tooltip="28.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
        <w:r>
          <w:rPr>
            <w:sz w:val="20"/>
            <w:color w:val="0000ff"/>
          </w:rPr>
          <w:t xml:space="preserve">28</w:t>
        </w:r>
      </w:hyperlink>
      <w:r>
        <w:rPr>
          <w:sz w:val="20"/>
        </w:rPr>
        <w:t xml:space="preserve"> настоящего Порядка. В случае использования расчетных методов в отчет о результатах инвентаризации выбросов, предусмотренный </w:t>
      </w:r>
      <w:hyperlink w:history="0" w:anchor="P193" w:tooltip="V. Документирование и хранение данных, полученных">
        <w:r>
          <w:rPr>
            <w:sz w:val="20"/>
            <w:color w:val="0000ff"/>
          </w:rPr>
          <w:t xml:space="preserve">главой V</w:t>
        </w:r>
      </w:hyperlink>
      <w:r>
        <w:rPr>
          <w:sz w:val="20"/>
        </w:rPr>
        <w:t xml:space="preserve"> настоящего Порядка, включается обоснование выбора и применения использованных методов.</w:t>
      </w:r>
    </w:p>
    <w:p>
      <w:pPr>
        <w:pStyle w:val="0"/>
        <w:spacing w:before="200" w:line-rule="auto"/>
        <w:ind w:firstLine="540"/>
        <w:jc w:val="both"/>
      </w:pPr>
      <w:r>
        <w:rPr>
          <w:sz w:val="20"/>
        </w:rPr>
        <w:t xml:space="preserve">Для определения показателей выбросов от передвижных ИЗАВ используются преимущественно расчетные методы.</w:t>
      </w:r>
    </w:p>
    <w:p>
      <w:pPr>
        <w:pStyle w:val="0"/>
        <w:spacing w:before="200" w:line-rule="auto"/>
        <w:ind w:firstLine="540"/>
        <w:jc w:val="both"/>
      </w:pPr>
      <w:r>
        <w:rPr>
          <w:sz w:val="20"/>
        </w:rPr>
        <w:t xml:space="preserve">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w:t>
      </w:r>
    </w:p>
    <w:p>
      <w:pPr>
        <w:pStyle w:val="0"/>
        <w:spacing w:before="200" w:line-rule="auto"/>
        <w:ind w:firstLine="540"/>
        <w:jc w:val="both"/>
      </w:pPr>
      <w:r>
        <w:rPr>
          <w:sz w:val="20"/>
        </w:rPr>
        <w:t xml:space="preserve">19. К основным показателям, которые определяются при инвентаризации выбросов, относятся максимальные разовые значения выбросов в г/с и значения суммарных годовых (валовых) выбросов в тоннах в год (далее - т/год).</w:t>
      </w:r>
    </w:p>
    <w:p>
      <w:pPr>
        <w:pStyle w:val="0"/>
        <w:spacing w:before="200" w:line-rule="auto"/>
        <w:ind w:firstLine="540"/>
        <w:jc w:val="both"/>
      </w:pPr>
      <w:r>
        <w:rPr>
          <w:sz w:val="20"/>
        </w:rPr>
        <w:t xml:space="preserve">Для передвижных ИЗАВ при инвентаризации выбросов определяются значения максимальных разовых выбросов в г/с и суммарных годовых (валовых) выбросов в т/год.</w:t>
      </w:r>
    </w:p>
    <w:p>
      <w:pPr>
        <w:pStyle w:val="0"/>
        <w:spacing w:before="200" w:line-rule="auto"/>
        <w:ind w:firstLine="540"/>
        <w:jc w:val="both"/>
      </w:pPr>
      <w:r>
        <w:rPr>
          <w:sz w:val="20"/>
        </w:rPr>
        <w:t xml:space="preserve">Для объектов ОНВ, работающих по сезонному графику, также определяются значения суммарных выбросов для каждого сезона в тоннах в сезон с указанием сезона.</w:t>
      </w:r>
    </w:p>
    <w:p>
      <w:pPr>
        <w:pStyle w:val="0"/>
        <w:spacing w:before="200" w:line-rule="auto"/>
        <w:ind w:firstLine="540"/>
        <w:jc w:val="both"/>
      </w:pPr>
      <w:r>
        <w:rPr>
          <w:sz w:val="20"/>
        </w:rPr>
        <w:t xml:space="preserve">20. На стационарных ИЗАВ, оснащенных установками очистки газа, определение показателей выбросов осуществляется только инструментальными методами в специально оборудованных местах отбора проб, предусмотренных Правилами эксплуатации установок очистки газа &lt;7&gt; и проектной документацией изготовителя установок очистки газа. При этом в качестве установок очистки газа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загрязняющих веществ непосредственно в атмосферный воздух.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7" w:tooltip="Приказ Минприроды России от 15.09.2017 N 498 &quot;Об утверждении Правил эксплуатации установок очистки газа&quot; (Зарегистрировано в Минюсте России 09.01.2018 N 49549) {КонсультантПлюс}">
        <w:r>
          <w:rPr>
            <w:sz w:val="20"/>
            <w:color w:val="0000ff"/>
          </w:rPr>
          <w:t xml:space="preserve">Правила</w:t>
        </w:r>
      </w:hyperlink>
      <w:r>
        <w:rPr>
          <w:sz w:val="20"/>
        </w:rPr>
        <w:t xml:space="preserve"> эксплуатации установок очистки газа, утвержденные приказом Минприроды России от 15.09.2017 N 498 (зарегистрирован Минюстом России 09.01.2018, регистрационный N 49549).</w:t>
      </w:r>
    </w:p>
    <w:p>
      <w:pPr>
        <w:pStyle w:val="0"/>
        <w:jc w:val="both"/>
      </w:pPr>
      <w:r>
        <w:rPr>
          <w:sz w:val="20"/>
        </w:rPr>
      </w:r>
    </w:p>
    <w:p>
      <w:pPr>
        <w:pStyle w:val="0"/>
        <w:ind w:firstLine="540"/>
        <w:jc w:val="both"/>
      </w:pPr>
      <w:r>
        <w:rPr>
          <w:sz w:val="20"/>
        </w:rPr>
        <w:t xml:space="preserve">Эффективность работы установок очистки газа, отражающая степень очистки выбросов, рассчитывается в соответствии с Правилами эксплуатации установок очистки газа.</w:t>
      </w:r>
    </w:p>
    <w:p>
      <w:pPr>
        <w:pStyle w:val="0"/>
        <w:spacing w:before="200" w:line-rule="auto"/>
        <w:ind w:firstLine="540"/>
        <w:jc w:val="both"/>
      </w:pPr>
      <w:r>
        <w:rPr>
          <w:sz w:val="20"/>
        </w:rPr>
        <w:t xml:space="preserve">Фактическая эффективность (степень очистки) установок очистки газа определяется исходя из фактических показателей работы установок очистки газа по результатам измерений, проводимых в соответствии с законодательством Российской Федерации об обеспечении единства измерений.</w:t>
      </w:r>
    </w:p>
    <w:p>
      <w:pPr>
        <w:pStyle w:val="0"/>
        <w:spacing w:before="200" w:line-rule="auto"/>
        <w:ind w:firstLine="540"/>
        <w:jc w:val="both"/>
      </w:pPr>
      <w:r>
        <w:rPr>
          <w:sz w:val="20"/>
        </w:rPr>
        <w:t xml:space="preserve">Фактический коэффициент обеспеченности очистки газа определяется как отношение времени в часах работы установок очистки газа за год (независимо от степени очистки) ко времени в часах работы технологического оборудования за год, выраженное в процентах.</w:t>
      </w:r>
    </w:p>
    <w:p>
      <w:pPr>
        <w:pStyle w:val="0"/>
        <w:spacing w:before="200" w:line-rule="auto"/>
        <w:ind w:firstLine="540"/>
        <w:jc w:val="both"/>
      </w:pPr>
      <w:r>
        <w:rPr>
          <w:sz w:val="20"/>
        </w:rPr>
        <w:t xml:space="preserve">21.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pPr>
        <w:pStyle w:val="0"/>
        <w:spacing w:before="200" w:line-rule="auto"/>
        <w:ind w:firstLine="540"/>
        <w:jc w:val="both"/>
      </w:pPr>
      <w:r>
        <w:rPr>
          <w:sz w:val="20"/>
        </w:rPr>
        <w:t xml:space="preserve">Для целей инвентаризации выбросов также могут использоваться результаты автоматического контроля выбросов.</w:t>
      </w:r>
    </w:p>
    <w:p>
      <w:pPr>
        <w:pStyle w:val="0"/>
        <w:spacing w:before="200" w:line-rule="auto"/>
        <w:ind w:firstLine="540"/>
        <w:jc w:val="both"/>
      </w:pPr>
      <w:r>
        <w:rPr>
          <w:sz w:val="20"/>
        </w:rPr>
        <w:t xml:space="preserve">22.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w:t>
      </w:r>
    </w:p>
    <w:bookmarkStart w:id="156" w:name="P156"/>
    <w:bookmarkEnd w:id="156"/>
    <w:p>
      <w:pPr>
        <w:pStyle w:val="0"/>
        <w:spacing w:before="200" w:line-rule="auto"/>
        <w:ind w:firstLine="540"/>
        <w:jc w:val="both"/>
      </w:pPr>
      <w:r>
        <w:rPr>
          <w:sz w:val="20"/>
        </w:rPr>
        <w:t xml:space="preserve">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w:t>
      </w:r>
      <w:hyperlink w:history="0" r:id="rId18" w:tooltip="Федеральный закон от 29.06.2015 N 162-ФЗ (ред. от 30.12.2020) &quot;О стандартизации в Российской Федерации&quot; {КонсультантПлюс}">
        <w:r>
          <w:rPr>
            <w:sz w:val="20"/>
            <w:color w:val="0000ff"/>
          </w:rPr>
          <w:t xml:space="preserve">законом</w:t>
        </w:r>
      </w:hyperlink>
      <w:r>
        <w:rPr>
          <w:sz w:val="20"/>
        </w:rPr>
        <w:t xml:space="preserve"> от 29.06.2015 N 162-ФЗ "О стандартизации в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2015, N 27, ст. 3953; 2021, N 1, ст. 62.</w:t>
      </w:r>
    </w:p>
    <w:p>
      <w:pPr>
        <w:pStyle w:val="0"/>
        <w:jc w:val="both"/>
      </w:pPr>
      <w:r>
        <w:rPr>
          <w:sz w:val="20"/>
        </w:rPr>
      </w:r>
    </w:p>
    <w:p>
      <w:pPr>
        <w:pStyle w:val="0"/>
        <w:ind w:firstLine="540"/>
        <w:jc w:val="both"/>
      </w:pPr>
      <w:r>
        <w:rPr>
          <w:sz w:val="20"/>
        </w:rPr>
        <w:t xml:space="preserve">24. Результаты инструментальных измерений документируются в виде таблицы, рекомендуемый образец которой приведен в </w:t>
      </w:r>
      <w:hyperlink w:history="0" w:anchor="P541" w:tooltip="Документирование результатов инструментального">
        <w:r>
          <w:rPr>
            <w:sz w:val="20"/>
            <w:color w:val="0000ff"/>
          </w:rPr>
          <w:t xml:space="preserve">приложении N 2</w:t>
        </w:r>
      </w:hyperlink>
      <w:r>
        <w:rPr>
          <w:sz w:val="20"/>
        </w:rP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pPr>
        <w:pStyle w:val="0"/>
        <w:spacing w:before="200" w:line-rule="auto"/>
        <w:ind w:firstLine="540"/>
        <w:jc w:val="both"/>
      </w:pPr>
      <w:r>
        <w:rPr>
          <w:sz w:val="20"/>
        </w:rPr>
        <w:t xml:space="preserve">25. Количество и нумерация граф в рекомендуемом образце </w:t>
      </w:r>
      <w:hyperlink w:history="0" w:anchor="P544" w:tooltip="Таблица N 2.1">
        <w:r>
          <w:rPr>
            <w:sz w:val="20"/>
            <w:color w:val="0000ff"/>
          </w:rPr>
          <w:t xml:space="preserve">таблицы N 2.1</w:t>
        </w:r>
      </w:hyperlink>
      <w:r>
        <w:rPr>
          <w:sz w:val="20"/>
        </w:rP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w:t>
      </w:r>
    </w:p>
    <w:p>
      <w:pPr>
        <w:pStyle w:val="0"/>
        <w:spacing w:before="200" w:line-rule="auto"/>
        <w:ind w:firstLine="540"/>
        <w:jc w:val="both"/>
      </w:pPr>
      <w:r>
        <w:rPr>
          <w:sz w:val="20"/>
        </w:rPr>
        <w:t xml:space="preserve">В </w:t>
      </w:r>
      <w:hyperlink w:history="0" w:anchor="P544" w:tooltip="Таблица N 2.1">
        <w:r>
          <w:rPr>
            <w:sz w:val="20"/>
            <w:color w:val="0000ff"/>
          </w:rPr>
          <w:t xml:space="preserve">таблице N 2.1</w:t>
        </w:r>
      </w:hyperlink>
      <w:r>
        <w:rPr>
          <w:sz w:val="20"/>
        </w:rPr>
        <w:t xml:space="preserve"> к настоящему Порядку, рекомендуемый образец которой приведен в приложении N 2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санитарные правила и нормы </w:t>
      </w:r>
      <w:hyperlink w:history="0" r:id="rId1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&lt;9&gt;, а также включенные в </w:t>
      </w:r>
      <w:hyperlink w:history="0" r:id="rId20"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8 июля 2015 г.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history="0" w:anchor="P156" w:tooltip="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законом от 29.06.2015 N 162-ФЗ &quot;О стандартизации в Российской Федерации&quot; &lt;8&gt;.">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Зарегистрировано Минюстом России 29.01.2021, регистрационный N 62296.</w:t>
      </w:r>
    </w:p>
    <w:p>
      <w:pPr>
        <w:pStyle w:val="0"/>
        <w:spacing w:before="200" w:line-rule="auto"/>
        <w:ind w:firstLine="540"/>
        <w:jc w:val="both"/>
      </w:pPr>
      <w:r>
        <w:rPr>
          <w:sz w:val="20"/>
        </w:rPr>
        <w:t xml:space="preserve">&lt;10&gt; Собрание законодательства Российской Федерации, 2015, N 29, ст. 4524; 2019, N 20, ст. 2472.</w:t>
      </w:r>
    </w:p>
    <w:p>
      <w:pPr>
        <w:pStyle w:val="0"/>
        <w:jc w:val="both"/>
      </w:pPr>
      <w:r>
        <w:rPr>
          <w:sz w:val="20"/>
        </w:rPr>
      </w:r>
    </w:p>
    <w:bookmarkStart w:id="167" w:name="P167"/>
    <w:bookmarkEnd w:id="167"/>
    <w:p>
      <w:pPr>
        <w:pStyle w:val="0"/>
        <w:ind w:firstLine="540"/>
        <w:jc w:val="both"/>
      </w:pPr>
      <w:r>
        <w:rPr>
          <w:sz w:val="20"/>
        </w:rPr>
        <w:t xml:space="preserve">26. Использование расчетных методов для определения показателей выбросов организованных ИЗАВ допускается в следующих случаях:</w:t>
      </w:r>
    </w:p>
    <w:p>
      <w:pPr>
        <w:pStyle w:val="0"/>
        <w:spacing w:before="200" w:line-rule="auto"/>
        <w:ind w:firstLine="540"/>
        <w:jc w:val="both"/>
      </w:pPr>
      <w:r>
        <w:rPr>
          <w:sz w:val="20"/>
        </w:rPr>
        <w:t xml:space="preserve">отсутствие аттестованных методик (методов) измерения &lt;11&gt; загрязняющего вещества;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 2 статьи 5</w:t>
        </w:r>
      </w:hyperlink>
      <w:r>
        <w:rPr>
          <w:sz w:val="20"/>
        </w:rPr>
        <w:t xml:space="preserve"> Федерального закона от 26.06.2008 N 102-ФЗ "Об обеспечении единства измерений" (Собрание законодательства Российской Федерации, 2008, N 26, ст. 3021).</w:t>
      </w:r>
    </w:p>
    <w:p>
      <w:pPr>
        <w:pStyle w:val="0"/>
        <w:jc w:val="both"/>
      </w:pPr>
      <w:r>
        <w:rPr>
          <w:sz w:val="20"/>
        </w:rPr>
      </w:r>
    </w:p>
    <w:p>
      <w:pPr>
        <w:pStyle w:val="0"/>
        <w:ind w:firstLine="540"/>
        <w:jc w:val="both"/>
      </w:pPr>
      <w:r>
        <w:rPr>
          <w:sz w:val="20"/>
        </w:rPr>
        <w:t xml:space="preserve">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ИЗАВ).</w:t>
      </w:r>
    </w:p>
    <w:p>
      <w:pPr>
        <w:pStyle w:val="0"/>
        <w:spacing w:before="200" w:line-rule="auto"/>
        <w:ind w:firstLine="540"/>
        <w:jc w:val="both"/>
      </w:pPr>
      <w:r>
        <w:rPr>
          <w:sz w:val="20"/>
        </w:rPr>
        <w:t xml:space="preserve">27. Использование расчетных методов для определения показателей выбросов допускается также для неорганизованных и (или) линейных стационарных ИЗАВ.</w:t>
      </w:r>
    </w:p>
    <w:bookmarkStart w:id="175" w:name="P175"/>
    <w:bookmarkEnd w:id="175"/>
    <w:p>
      <w:pPr>
        <w:pStyle w:val="0"/>
        <w:spacing w:before="200" w:line-rule="auto"/>
        <w:ind w:firstLine="540"/>
        <w:jc w:val="both"/>
      </w:pPr>
      <w:r>
        <w:rPr>
          <w:sz w:val="20"/>
        </w:rPr>
        <w:t xml:space="preserve">28.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pPr>
        <w:pStyle w:val="0"/>
        <w:spacing w:before="200" w:line-rule="auto"/>
        <w:ind w:firstLine="540"/>
        <w:jc w:val="both"/>
      </w:pPr>
      <w:r>
        <w:rPr>
          <w:sz w:val="20"/>
        </w:rPr>
        <w:t xml:space="preserve">от неорганизованных ИЗАВ;</w:t>
      </w:r>
    </w:p>
    <w:p>
      <w:pPr>
        <w:pStyle w:val="0"/>
        <w:spacing w:before="200" w:line-rule="auto"/>
        <w:ind w:firstLine="540"/>
        <w:jc w:val="both"/>
      </w:pPr>
      <w:r>
        <w:rPr>
          <w:sz w:val="20"/>
        </w:rPr>
        <w:t xml:space="preserve">от топливосжигающих установок мощностью не более 50 МВт;</w:t>
      </w:r>
    </w:p>
    <w:p>
      <w:pPr>
        <w:pStyle w:val="0"/>
        <w:spacing w:before="200" w:line-rule="auto"/>
        <w:ind w:firstLine="540"/>
        <w:jc w:val="both"/>
      </w:pPr>
      <w:r>
        <w:rPr>
          <w:sz w:val="20"/>
        </w:rPr>
        <w:t xml:space="preserve">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pPr>
        <w:pStyle w:val="0"/>
        <w:spacing w:before="200" w:line-rule="auto"/>
        <w:ind w:firstLine="540"/>
        <w:jc w:val="both"/>
      </w:pPr>
      <w:r>
        <w:rPr>
          <w:sz w:val="20"/>
        </w:rPr>
        <w:t xml:space="preserve">от инфраструктуры транспортных объектов, дизельных установок, бензоэлектростанций, бензопил и подобного оборудования;</w:t>
      </w:r>
    </w:p>
    <w:p>
      <w:pPr>
        <w:pStyle w:val="0"/>
        <w:spacing w:before="200" w:line-rule="auto"/>
        <w:ind w:firstLine="540"/>
        <w:jc w:val="both"/>
      </w:pPr>
      <w:r>
        <w:rPr>
          <w:sz w:val="20"/>
        </w:rPr>
        <w:t xml:space="preserve">от источников открытого хранения топлива, сырья, веществ, материалов, отходов, открытых поверхностей испарения;</w:t>
      </w:r>
    </w:p>
    <w:p>
      <w:pPr>
        <w:pStyle w:val="0"/>
        <w:spacing w:before="200" w:line-rule="auto"/>
        <w:ind w:firstLine="540"/>
        <w:jc w:val="both"/>
      </w:pPr>
      <w:r>
        <w:rPr>
          <w:sz w:val="20"/>
        </w:rPr>
        <w:t xml:space="preserve">от карьеров добычи полезных ископаемых и открытых участков обработки полезных ископаемых;</w:t>
      </w:r>
    </w:p>
    <w:p>
      <w:pPr>
        <w:pStyle w:val="0"/>
        <w:spacing w:before="200" w:line-rule="auto"/>
        <w:ind w:firstLine="540"/>
        <w:jc w:val="both"/>
      </w:pPr>
      <w:r>
        <w:rPr>
          <w:sz w:val="20"/>
        </w:rPr>
        <w:t xml:space="preserve">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pPr>
        <w:pStyle w:val="0"/>
        <w:spacing w:before="200" w:line-rule="auto"/>
        <w:ind w:firstLine="540"/>
        <w:jc w:val="both"/>
      </w:pPr>
      <w:r>
        <w:rPr>
          <w:sz w:val="20"/>
        </w:rPr>
        <w:t xml:space="preserve">для получения данных о показателях выбросов проектируемых, строящихся и реконструируемых объектов ОНВ.</w:t>
      </w:r>
    </w:p>
    <w:bookmarkStart w:id="184" w:name="P184"/>
    <w:bookmarkEnd w:id="184"/>
    <w:p>
      <w:pPr>
        <w:pStyle w:val="0"/>
        <w:spacing w:before="200" w:line-rule="auto"/>
        <w:ind w:firstLine="540"/>
        <w:jc w:val="both"/>
      </w:pPr>
      <w:r>
        <w:rPr>
          <w:sz w:val="20"/>
        </w:rPr>
        <w:t xml:space="preserve">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w:t>
      </w:r>
    </w:p>
    <w:p>
      <w:pPr>
        <w:pStyle w:val="0"/>
        <w:spacing w:before="200" w:line-rule="auto"/>
        <w:ind w:firstLine="540"/>
        <w:jc w:val="both"/>
      </w:pPr>
      <w:r>
        <w:rPr>
          <w:sz w:val="20"/>
        </w:rPr>
        <w:t xml:space="preserve">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pPr>
        <w:pStyle w:val="0"/>
        <w:spacing w:before="200" w:line-rule="auto"/>
        <w:ind w:firstLine="540"/>
        <w:jc w:val="both"/>
      </w:pPr>
      <w:r>
        <w:rPr>
          <w:sz w:val="20"/>
        </w:rPr>
        <w:t xml:space="preserve">Если перечень методик расчета выбросов, указанный в </w:t>
      </w:r>
      <w:hyperlink w:history="0" w:anchor="P184" w:tooltip="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
        <w:r>
          <w:rPr>
            <w:sz w:val="20"/>
            <w:color w:val="0000ff"/>
          </w:rPr>
          <w:t xml:space="preserve">абзаце первом</w:t>
        </w:r>
      </w:hyperlink>
      <w:r>
        <w:rPr>
          <w:sz w:val="20"/>
        </w:rP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pPr>
        <w:pStyle w:val="0"/>
        <w:spacing w:before="200" w:line-rule="auto"/>
        <w:ind w:firstLine="540"/>
        <w:jc w:val="both"/>
      </w:pPr>
      <w:r>
        <w:rPr>
          <w:sz w:val="20"/>
        </w:rPr>
        <w:t xml:space="preserve">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pPr>
        <w:pStyle w:val="0"/>
        <w:spacing w:before="200" w:line-rule="auto"/>
        <w:ind w:firstLine="540"/>
        <w:jc w:val="both"/>
      </w:pPr>
      <w:r>
        <w:rPr>
          <w:sz w:val="20"/>
        </w:rPr>
        <w:t xml:space="preserve">30. Определение показателей выбросов от передвижных ИЗАВ расчетным методом осуществляется с использованием методик расчета выбросов в соответствии с областью их применения с учетом количества функционирующих на объекте ОНВ передвижных ИЗАВ, их видов, а также используемого топлива.</w:t>
      </w:r>
    </w:p>
    <w:p>
      <w:pPr>
        <w:pStyle w:val="0"/>
        <w:spacing w:before="200" w:line-rule="auto"/>
        <w:ind w:firstLine="540"/>
        <w:jc w:val="both"/>
      </w:pPr>
      <w:r>
        <w:rPr>
          <w:sz w:val="20"/>
        </w:rPr>
        <w:t xml:space="preserve">31. Расчеты выбросов осуществляются отдельно для каждого из стационарных ИЗАВ и для передвижных ИЗАВ и документируются с приложением исходных данных, источников их получения и описанием процедуры расчета с указанием применяемых методик (методов) расчета.</w:t>
      </w:r>
    </w:p>
    <w:p>
      <w:pPr>
        <w:pStyle w:val="0"/>
        <w:spacing w:before="200" w:line-rule="auto"/>
        <w:ind w:firstLine="540"/>
        <w:jc w:val="both"/>
      </w:pPr>
      <w:r>
        <w:rPr>
          <w:sz w:val="20"/>
        </w:rPr>
        <w:t xml:space="preserve">32.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 а в случае невозможности использования инструментальных методов -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pPr>
        <w:pStyle w:val="0"/>
        <w:spacing w:before="200" w:line-rule="auto"/>
        <w:ind w:firstLine="540"/>
        <w:jc w:val="both"/>
      </w:pPr>
      <w:r>
        <w:rPr>
          <w:sz w:val="20"/>
        </w:rPr>
        <w:t xml:space="preserve">33. Если в период действия утвержденной инвентаризации выбросов приняты новые инструментальные методики (методы) измерения выбросов или методики расчета выбросов, то они используются для расчета выбросов при проведении очередной корректировки данных инвентаризации выбросов.</w:t>
      </w:r>
    </w:p>
    <w:p>
      <w:pPr>
        <w:pStyle w:val="0"/>
        <w:jc w:val="both"/>
      </w:pPr>
      <w:r>
        <w:rPr>
          <w:sz w:val="20"/>
        </w:rPr>
      </w:r>
    </w:p>
    <w:bookmarkStart w:id="193" w:name="P193"/>
    <w:bookmarkEnd w:id="193"/>
    <w:p>
      <w:pPr>
        <w:pStyle w:val="2"/>
        <w:outlineLvl w:val="1"/>
        <w:jc w:val="center"/>
      </w:pPr>
      <w:r>
        <w:rPr>
          <w:sz w:val="20"/>
        </w:rPr>
        <w:t xml:space="preserve">V. Документирование и хранение данных, полученных</w:t>
      </w:r>
    </w:p>
    <w:p>
      <w:pPr>
        <w:pStyle w:val="2"/>
        <w:jc w:val="center"/>
      </w:pPr>
      <w:r>
        <w:rPr>
          <w:sz w:val="20"/>
        </w:rPr>
        <w:t xml:space="preserve">в результате инвентаризации выбросов, ее корректировки</w:t>
      </w:r>
    </w:p>
    <w:p>
      <w:pPr>
        <w:pStyle w:val="0"/>
        <w:jc w:val="both"/>
      </w:pPr>
      <w:r>
        <w:rPr>
          <w:sz w:val="20"/>
        </w:rPr>
      </w:r>
    </w:p>
    <w:p>
      <w:pPr>
        <w:pStyle w:val="0"/>
        <w:ind w:firstLine="540"/>
        <w:jc w:val="both"/>
      </w:pPr>
      <w:r>
        <w:rPr>
          <w:sz w:val="20"/>
        </w:rPr>
        <w:t xml:space="preserve">34. По результатам инвентаризации выбросов составляется отчет, содержащий данные инвентаризации и утверждаемый хозяйствующим субъектом, с указанием даты утверждения указанного отчета. Рекомендуемый образец содержания отчета по инвентаризации выбросов приведен в </w:t>
      </w:r>
      <w:hyperlink w:history="0" w:anchor="P1267" w:tooltip="РЕКОМЕНДУЕМЫЙ ОБРАЗЕЦ">
        <w:r>
          <w:rPr>
            <w:sz w:val="20"/>
            <w:color w:val="0000ff"/>
          </w:rPr>
          <w:t xml:space="preserve">приложении N 4</w:t>
        </w:r>
      </w:hyperlink>
      <w:r>
        <w:rPr>
          <w:sz w:val="20"/>
        </w:rPr>
        <w:t xml:space="preserve"> к настоящему Порядку.</w:t>
      </w:r>
    </w:p>
    <w:p>
      <w:pPr>
        <w:pStyle w:val="0"/>
        <w:spacing w:before="200" w:line-rule="auto"/>
        <w:ind w:firstLine="540"/>
        <w:jc w:val="both"/>
      </w:pPr>
      <w:r>
        <w:rPr>
          <w:sz w:val="20"/>
        </w:rPr>
        <w:t xml:space="preserve">Хозяйствующий субъект обязан хранить предыдущий отчет о проведенной инвентаризации выбросов. Срок хранения предыдущего отчета не ограничен.</w:t>
      </w:r>
    </w:p>
    <w:bookmarkStart w:id="198" w:name="P198"/>
    <w:bookmarkEnd w:id="198"/>
    <w:p>
      <w:pPr>
        <w:pStyle w:val="0"/>
        <w:spacing w:before="200" w:line-rule="auto"/>
        <w:ind w:firstLine="540"/>
        <w:jc w:val="both"/>
      </w:pPr>
      <w:r>
        <w:rPr>
          <w:sz w:val="20"/>
        </w:rPr>
        <w:t xml:space="preserve">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pPr>
        <w:pStyle w:val="0"/>
        <w:spacing w:before="200" w:line-rule="auto"/>
        <w:ind w:firstLine="540"/>
        <w:jc w:val="both"/>
      </w:pPr>
      <w:r>
        <w:rPr>
          <w:sz w:val="20"/>
        </w:rPr>
        <w:t xml:space="preserve">полное и сокращенное (при наличии) наименование хозяйствующего субъекта в соответствии с учредительными документами, организационно-правовую форму, адрес, место нахождения, основной государственный регистрационный номер (ОГРН) - для юридического лица; фамилия, имя, отчество (при наличии), место жительства в Российской Федерации, реквизиты основного документа, удостоверяющего личность гражданина Российской Федерации в Российской Федерации, основной государственный регистрационный номер индивидуального предпринимателя (ОГРНИП) - для индивидуального предпринимателя;</w:t>
      </w:r>
    </w:p>
    <w:p>
      <w:pPr>
        <w:pStyle w:val="0"/>
        <w:spacing w:before="200" w:line-rule="auto"/>
        <w:ind w:firstLine="540"/>
        <w:jc w:val="both"/>
      </w:pPr>
      <w:r>
        <w:rPr>
          <w:sz w:val="20"/>
        </w:rPr>
        <w:t xml:space="preserve">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установок очистки газа и мероприятиях по охране атмосферного воздуха, реализованных в период действия ранее проведенной инвентаризации выбросов;</w:t>
      </w:r>
    </w:p>
    <w:p>
      <w:pPr>
        <w:pStyle w:val="0"/>
        <w:spacing w:before="200" w:line-rule="auto"/>
        <w:ind w:firstLine="540"/>
        <w:jc w:val="both"/>
      </w:pPr>
      <w:r>
        <w:rPr>
          <w:sz w:val="20"/>
        </w:rPr>
        <w:t xml:space="preserve">сведения о произошедших на объекте ОНВ изменениях, повлекших изменение объемов выбросов загрязняющих веществ в атмосферный воздух, а также причинах таких изменений;</w:t>
      </w:r>
    </w:p>
    <w:p>
      <w:pPr>
        <w:pStyle w:val="0"/>
        <w:spacing w:before="200" w:line-rule="auto"/>
        <w:ind w:firstLine="540"/>
        <w:jc w:val="both"/>
      </w:pPr>
      <w:r>
        <w:rPr>
          <w:sz w:val="20"/>
        </w:rPr>
        <w:t xml:space="preserve">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w:t>
      </w:r>
    </w:p>
    <w:p>
      <w:pPr>
        <w:pStyle w:val="0"/>
        <w:spacing w:before="200" w:line-rule="auto"/>
        <w:ind w:firstLine="540"/>
        <w:jc w:val="both"/>
      </w:pPr>
      <w:r>
        <w:rPr>
          <w:sz w:val="20"/>
        </w:rPr>
        <w:t xml:space="preserve">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информацию о должностных лицах, ответственных за проведение инвентаризации выбросов.</w:t>
      </w:r>
    </w:p>
    <w:bookmarkStart w:id="205" w:name="P205"/>
    <w:bookmarkEnd w:id="205"/>
    <w:p>
      <w:pPr>
        <w:pStyle w:val="0"/>
        <w:spacing w:before="200" w:line-rule="auto"/>
        <w:ind w:firstLine="540"/>
        <w:jc w:val="both"/>
      </w:pPr>
      <w:r>
        <w:rPr>
          <w:sz w:val="20"/>
        </w:rPr>
        <w:t xml:space="preserve">36. 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w:t>
      </w:r>
      <w:hyperlink w:history="0" r:id="rId22" w:tooltip="Федеральный закон от 29.06.2015 N 162-ФЗ (ред. от 30.12.2020) &quot;О стандартизации в Российской Федерации&quot; {КонсультантПлюс}">
        <w:r>
          <w:rPr>
            <w:sz w:val="20"/>
            <w:color w:val="0000ff"/>
          </w:rPr>
          <w:t xml:space="preserve">законом</w:t>
        </w:r>
      </w:hyperlink>
      <w:r>
        <w:rPr>
          <w:sz w:val="20"/>
        </w:rPr>
        <w:t xml:space="preserve"> от 29.06.2015 N 162-ФЗ "О стандартизации в Российской Федерации", перечня использованных методик (методов) измерения показателей выбросов и методик расчета выбросов ЗВ.</w:t>
      </w:r>
    </w:p>
    <w:p>
      <w:pPr>
        <w:pStyle w:val="0"/>
        <w:spacing w:before="200" w:line-rule="auto"/>
        <w:ind w:firstLine="540"/>
        <w:jc w:val="both"/>
      </w:pPr>
      <w:r>
        <w:rPr>
          <w:sz w:val="20"/>
        </w:rPr>
        <w:t xml:space="preserve">37. К отчету о результатах инвентаризации выбросов прилагается карта-схема, составленная в соответствии с </w:t>
      </w:r>
      <w:hyperlink w:history="0" w:anchor="P126" w:tooltip="16. На карте-схеме с соблюдением принятого масштаба отображаются:">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38.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history="0" w:anchor="P68" w:tooltip="II. Содержание работ при проведении инвентаризации выбросов">
        <w:r>
          <w:rPr>
            <w:sz w:val="20"/>
            <w:color w:val="0000ff"/>
          </w:rPr>
          <w:t xml:space="preserve">главами II</w:t>
        </w:r>
      </w:hyperlink>
      <w:r>
        <w:rPr>
          <w:sz w:val="20"/>
        </w:rPr>
        <w:t xml:space="preserve"> - </w:t>
      </w:r>
      <w:hyperlink w:history="0" w:anchor="P135" w:tooltip="IV. Определение показателей выбросов при проведении">
        <w:r>
          <w:rPr>
            <w:sz w:val="20"/>
            <w:color w:val="0000ff"/>
          </w:rPr>
          <w:t xml:space="preserve">IV</w:t>
        </w:r>
      </w:hyperlink>
      <w:r>
        <w:rPr>
          <w:sz w:val="20"/>
        </w:rP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pPr>
        <w:pStyle w:val="0"/>
        <w:spacing w:before="200" w:line-rule="auto"/>
        <w:ind w:firstLine="540"/>
        <w:jc w:val="both"/>
      </w:pPr>
      <w:r>
        <w:rPr>
          <w:sz w:val="20"/>
        </w:rPr>
        <w:t xml:space="preserve">39. Результаты выявления ИЗАВ, определения их характеристик и определения показателей качественного и количественного состава выбросов документируются в виде таблиц, рекомендуемые образцы которых приведены в </w:t>
      </w:r>
      <w:hyperlink w:history="0" w:anchor="P635" w:tooltip="Таблицы">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Рекомендуемый образец документирования данных об источниках выделения загрязняющих веществ приведен в </w:t>
      </w:r>
      <w:hyperlink w:history="0" w:anchor="P640" w:tooltip="Таблица N 3.1">
        <w:r>
          <w:rPr>
            <w:sz w:val="20"/>
            <w:color w:val="0000ff"/>
          </w:rPr>
          <w:t xml:space="preserve">таблице N 3.1</w:t>
        </w:r>
      </w:hyperlink>
      <w:r>
        <w:rPr>
          <w:sz w:val="20"/>
        </w:rPr>
        <w:t xml:space="preserve"> приложения N 3 к настоящему Порядку. В случае, если на объекте ОНВ нет структурных подразделений, аналогичных цеху, участку, </w:t>
      </w:r>
      <w:hyperlink w:history="0" w:anchor="P667" w:tooltip="3">
        <w:r>
          <w:rPr>
            <w:sz w:val="20"/>
            <w:color w:val="0000ff"/>
          </w:rPr>
          <w:t xml:space="preserve">графы 3</w:t>
        </w:r>
      </w:hyperlink>
      <w:r>
        <w:rPr>
          <w:sz w:val="20"/>
        </w:rPr>
        <w:t xml:space="preserve"> и </w:t>
      </w:r>
      <w:hyperlink w:history="0" w:anchor="P668" w:tooltip="4">
        <w:r>
          <w:rPr>
            <w:sz w:val="20"/>
            <w:color w:val="0000ff"/>
          </w:rPr>
          <w:t xml:space="preserve">4</w:t>
        </w:r>
      </w:hyperlink>
      <w:r>
        <w:rPr>
          <w:sz w:val="20"/>
        </w:rPr>
        <w:t xml:space="preserve"> указанной таблицы не заполняются.</w:t>
      </w:r>
    </w:p>
    <w:p>
      <w:pPr>
        <w:pStyle w:val="0"/>
        <w:spacing w:before="200" w:line-rule="auto"/>
        <w:ind w:firstLine="540"/>
        <w:jc w:val="both"/>
      </w:pPr>
      <w:r>
        <w:rPr>
          <w:sz w:val="20"/>
        </w:rPr>
        <w:t xml:space="preserve">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установок очистки газа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pPr>
        <w:pStyle w:val="0"/>
        <w:spacing w:before="200" w:line-rule="auto"/>
        <w:ind w:firstLine="540"/>
        <w:jc w:val="both"/>
      </w:pPr>
      <w:r>
        <w:rPr>
          <w:sz w:val="20"/>
        </w:rPr>
        <w:t xml:space="preserve">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pPr>
        <w:pStyle w:val="0"/>
        <w:spacing w:before="200" w:line-rule="auto"/>
        <w:ind w:firstLine="540"/>
        <w:jc w:val="both"/>
      </w:pPr>
      <w:r>
        <w:rPr>
          <w:sz w:val="20"/>
        </w:rPr>
        <w:t xml:space="preserve">Рекомендуемый образец документирования данных о стационарных источниках выбросов загрязняющих веществ приведен в </w:t>
      </w:r>
      <w:hyperlink w:history="0" w:anchor="P724" w:tooltip="Таблица N 3.2">
        <w:r>
          <w:rPr>
            <w:sz w:val="20"/>
            <w:color w:val="0000ff"/>
          </w:rPr>
          <w:t xml:space="preserve">таблице N 3.2</w:t>
        </w:r>
      </w:hyperlink>
      <w:r>
        <w:rPr>
          <w:sz w:val="20"/>
        </w:rP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pPr>
        <w:pStyle w:val="0"/>
        <w:spacing w:before="200" w:line-rule="auto"/>
        <w:ind w:firstLine="540"/>
        <w:jc w:val="both"/>
      </w:pPr>
      <w:r>
        <w:rPr>
          <w:sz w:val="20"/>
        </w:rPr>
        <w:t xml:space="preserve">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pPr>
        <w:pStyle w:val="0"/>
        <w:spacing w:before="200" w:line-rule="auto"/>
        <w:ind w:firstLine="540"/>
        <w:jc w:val="both"/>
      </w:pPr>
      <w:r>
        <w:rPr>
          <w:sz w:val="20"/>
        </w:rPr>
        <w:t xml:space="preserve">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pPr>
        <w:pStyle w:val="0"/>
        <w:spacing w:before="200" w:line-rule="auto"/>
        <w:ind w:firstLine="540"/>
        <w:jc w:val="both"/>
      </w:pPr>
      <w:r>
        <w:rPr>
          <w:sz w:val="20"/>
        </w:rPr>
        <w:t xml:space="preserve">Значения координат стационарных ИЗАВ, мест эксплуатации, стоянки, обслуживания и ремонта, а также маршрутов перемещения передвижных ИЗАВ указываются с точностью до метра.</w:t>
      </w:r>
    </w:p>
    <w:p>
      <w:pPr>
        <w:pStyle w:val="0"/>
        <w:spacing w:before="200" w:line-rule="auto"/>
        <w:ind w:firstLine="540"/>
        <w:jc w:val="both"/>
      </w:pPr>
      <w:r>
        <w:rPr>
          <w:sz w:val="20"/>
        </w:rPr>
        <w:t xml:space="preserve">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pPr>
        <w:pStyle w:val="0"/>
        <w:spacing w:before="200" w:line-rule="auto"/>
        <w:ind w:firstLine="540"/>
        <w:jc w:val="both"/>
      </w:pPr>
      <w:r>
        <w:rPr>
          <w:sz w:val="20"/>
        </w:rPr>
        <w:t xml:space="preserve">Ширина площадного источника выбросов указывается с точностью до метра. В случае, если поверхность площадных ИЗАВ не горизонтальна (например, оконные и дверные проемы), следует указывать длину горизонтальной стороны прямоугольника, ограничивающего ИЗАВ.</w:t>
      </w:r>
    </w:p>
    <w:p>
      <w:pPr>
        <w:pStyle w:val="0"/>
        <w:spacing w:before="200" w:line-rule="auto"/>
        <w:ind w:firstLine="540"/>
        <w:jc w:val="both"/>
      </w:pPr>
      <w:r>
        <w:rPr>
          <w:sz w:val="20"/>
        </w:rPr>
        <w:t xml:space="preserve">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w:t>
      </w:r>
    </w:p>
    <w:p>
      <w:pPr>
        <w:pStyle w:val="0"/>
        <w:spacing w:before="200" w:line-rule="auto"/>
        <w:ind w:firstLine="540"/>
        <w:jc w:val="both"/>
      </w:pPr>
      <w:r>
        <w:rPr>
          <w:sz w:val="20"/>
        </w:rPr>
        <w:t xml:space="preserve">Для неорганизованных ИЗАВ данные о размерах устья, а также данные о скорости выхода, расходе и температуре газовоздушной смеси не требуются.</w:t>
      </w:r>
    </w:p>
    <w:p>
      <w:pPr>
        <w:pStyle w:val="0"/>
        <w:spacing w:before="200" w:line-rule="auto"/>
        <w:ind w:firstLine="540"/>
        <w:jc w:val="both"/>
      </w:pPr>
      <w:r>
        <w:rPr>
          <w:sz w:val="20"/>
        </w:rPr>
        <w:t xml:space="preserve">Для описания стационарных ИЗАВ, имеющих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которых приведен в </w:t>
      </w:r>
      <w:hyperlink w:history="0" w:anchor="P947" w:tooltip="Таблица N 3.3">
        <w:r>
          <w:rPr>
            <w:sz w:val="20"/>
            <w:color w:val="0000ff"/>
          </w:rPr>
          <w:t xml:space="preserve">таблице N 3.3</w:t>
        </w:r>
      </w:hyperlink>
      <w:r>
        <w:rPr>
          <w:sz w:val="20"/>
        </w:rPr>
        <w:t xml:space="preserve"> приложения N 3 к настоящему Порядку.</w:t>
      </w:r>
    </w:p>
    <w:p>
      <w:pPr>
        <w:pStyle w:val="0"/>
        <w:spacing w:before="200" w:line-rule="auto"/>
        <w:ind w:firstLine="540"/>
        <w:jc w:val="both"/>
      </w:pPr>
      <w:r>
        <w:rPr>
          <w:sz w:val="20"/>
        </w:rPr>
        <w:t xml:space="preserve">Рекомендуемый образец для дополнительного документирования данных об ИЗАВ, ось устья которых отклоняется от вертикали, приведен в </w:t>
      </w:r>
      <w:hyperlink w:history="0" w:anchor="P972" w:tooltip="Таблица N 3.4">
        <w:r>
          <w:rPr>
            <w:sz w:val="20"/>
            <w:color w:val="0000ff"/>
          </w:rPr>
          <w:t xml:space="preserve">таблице N 3.4</w:t>
        </w:r>
      </w:hyperlink>
      <w:r>
        <w:rPr>
          <w:sz w:val="20"/>
        </w:rPr>
        <w:t xml:space="preserve"> приложения N 3 к настоящему Порядку.</w:t>
      </w:r>
    </w:p>
    <w:p>
      <w:pPr>
        <w:pStyle w:val="0"/>
        <w:spacing w:before="200" w:line-rule="auto"/>
        <w:ind w:firstLine="540"/>
        <w:jc w:val="both"/>
      </w:pPr>
      <w:r>
        <w:rPr>
          <w:sz w:val="20"/>
        </w:rPr>
        <w:t xml:space="preserve">Рекомендуемый образец для дополнительного документирования данных о стационарных ИЗАВ в случае факельного горения приведен в </w:t>
      </w:r>
      <w:hyperlink w:history="0" w:anchor="P996" w:tooltip="Таблица N 3.5">
        <w:r>
          <w:rPr>
            <w:sz w:val="20"/>
            <w:color w:val="0000ff"/>
          </w:rPr>
          <w:t xml:space="preserve">таблице N 3.5</w:t>
        </w:r>
      </w:hyperlink>
      <w:r>
        <w:rPr>
          <w:sz w:val="20"/>
        </w:rPr>
        <w:t xml:space="preserve"> приложения N 3 к настоящему Порядку.</w:t>
      </w:r>
    </w:p>
    <w:p>
      <w:pPr>
        <w:pStyle w:val="0"/>
        <w:spacing w:before="200" w:line-rule="auto"/>
        <w:ind w:firstLine="540"/>
        <w:jc w:val="both"/>
      </w:pPr>
      <w:r>
        <w:rPr>
          <w:sz w:val="20"/>
        </w:rPr>
        <w:t xml:space="preserve">Результаты обследования установок очистки газа и условий их эксплуатации вносятся в таблицу, рекомендуемый образец которой приведен в </w:t>
      </w:r>
      <w:hyperlink w:history="0" w:anchor="P1019" w:tooltip="Таблица N 3.6">
        <w:r>
          <w:rPr>
            <w:sz w:val="20"/>
            <w:color w:val="0000ff"/>
          </w:rPr>
          <w:t xml:space="preserve">таблице N 3.6</w:t>
        </w:r>
      </w:hyperlink>
      <w:r>
        <w:rPr>
          <w:sz w:val="20"/>
        </w:rP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загрязняющих веществ непосредственно в атмосферный воздух.</w:t>
      </w:r>
    </w:p>
    <w:p>
      <w:pPr>
        <w:pStyle w:val="0"/>
        <w:spacing w:before="200" w:line-rule="auto"/>
        <w:ind w:firstLine="540"/>
        <w:jc w:val="both"/>
      </w:pPr>
      <w:r>
        <w:rPr>
          <w:sz w:val="20"/>
        </w:rPr>
        <w:t xml:space="preserve">Рекомендуемый образец документирования данных о суммарных выбросах ЗВ в целом по объекту ОНВ, их очистке и утилизации приведен в </w:t>
      </w:r>
      <w:hyperlink w:history="0" w:anchor="P1076" w:tooltip="Таблица N 3.7">
        <w:r>
          <w:rPr>
            <w:sz w:val="20"/>
            <w:color w:val="0000ff"/>
          </w:rPr>
          <w:t xml:space="preserve">таблице N 3.7</w:t>
        </w:r>
      </w:hyperlink>
      <w:r>
        <w:rPr>
          <w:sz w:val="20"/>
        </w:rPr>
        <w:t xml:space="preserve"> приложения N 3 к настоящему Порядку.</w:t>
      </w:r>
    </w:p>
    <w:p>
      <w:pPr>
        <w:pStyle w:val="0"/>
        <w:spacing w:before="200" w:line-rule="auto"/>
        <w:ind w:firstLine="540"/>
        <w:jc w:val="both"/>
      </w:pPr>
      <w:r>
        <w:rPr>
          <w:sz w:val="20"/>
        </w:rPr>
        <w:t xml:space="preserve">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pPr>
        <w:pStyle w:val="0"/>
        <w:spacing w:before="200" w:line-rule="auto"/>
        <w:ind w:firstLine="540"/>
        <w:jc w:val="both"/>
      </w:pPr>
      <w:r>
        <w:rPr>
          <w:sz w:val="20"/>
        </w:rPr>
        <w:t xml:space="preserve">40. Данные о выбросах от передвижных ИЗАВ указываются в виде таблицы, рекомендуемый образец которой приведен в </w:t>
      </w:r>
      <w:hyperlink w:history="0" w:anchor="P1180" w:tooltip="Таблица N 3.8">
        <w:r>
          <w:rPr>
            <w:sz w:val="20"/>
            <w:color w:val="0000ff"/>
          </w:rPr>
          <w:t xml:space="preserve">таблице 3.8</w:t>
        </w:r>
      </w:hyperlink>
      <w:r>
        <w:rPr>
          <w:sz w:val="20"/>
        </w:rPr>
        <w:t xml:space="preserve"> приложения N 3 к настоящему Порядку.</w:t>
      </w:r>
    </w:p>
    <w:p>
      <w:pPr>
        <w:pStyle w:val="0"/>
        <w:spacing w:before="200" w:line-rule="auto"/>
        <w:ind w:firstLine="540"/>
        <w:jc w:val="both"/>
      </w:pPr>
      <w:r>
        <w:rPr>
          <w:sz w:val="20"/>
        </w:rPr>
        <w:t xml:space="preserve">41. Для стационарных ИЗАВ в качестве максимальных разовых (в г/с) значений выбросов ЗВ для стационарного режима работы ИЗАВ используются средние значения выбросов за 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порядке, установленном законодательством Российской Федерации об обеспечении единства измерений, средствами измерений и (или) методиками (методами) измерений.</w:t>
      </w:r>
    </w:p>
    <w:p>
      <w:pPr>
        <w:pStyle w:val="0"/>
        <w:spacing w:before="200" w:line-rule="auto"/>
        <w:ind w:firstLine="540"/>
        <w:jc w:val="both"/>
      </w:pPr>
      <w:r>
        <w:rPr>
          <w:sz w:val="20"/>
        </w:rPr>
        <w:t xml:space="preserve">Разовое значение мощности выброса ЗВ, М</w:t>
      </w:r>
      <w:r>
        <w:rPr>
          <w:sz w:val="20"/>
          <w:vertAlign w:val="subscript"/>
        </w:rPr>
        <w:t xml:space="preserve">зв</w:t>
      </w:r>
      <w:r>
        <w:rPr>
          <w:sz w:val="20"/>
        </w:rPr>
        <w:t xml:space="preserve"> (г/с) для организованных ИЗАВ для каждой пробы рассчитывается по формуле (1):</w:t>
      </w:r>
    </w:p>
    <w:p>
      <w:pPr>
        <w:pStyle w:val="0"/>
        <w:jc w:val="both"/>
      </w:pPr>
      <w:r>
        <w:rPr>
          <w:sz w:val="20"/>
        </w:rPr>
      </w:r>
    </w:p>
    <w:bookmarkStart w:id="230" w:name="P230"/>
    <w:bookmarkEnd w:id="230"/>
    <w:p>
      <w:pPr>
        <w:pStyle w:val="0"/>
        <w:ind w:firstLine="540"/>
        <w:jc w:val="both"/>
      </w:pPr>
      <w:r>
        <w:rPr>
          <w:position w:val="-24"/>
        </w:rPr>
        <w:drawing>
          <wp:inline distT="0" distB="0" distL="0" distR="0">
            <wp:extent cx="34823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3482340" cy="43434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 C</w:t>
      </w:r>
      <w:r>
        <w:rPr>
          <w:sz w:val="20"/>
          <w:vertAlign w:val="subscript"/>
        </w:rPr>
        <w:t xml:space="preserve">зв(k)</w:t>
      </w:r>
      <w:r>
        <w:rPr>
          <w:sz w:val="20"/>
        </w:rPr>
        <w:t xml:space="preserve"> - концентрация ЗВ в k-пробе (масса ЗВ, отнесенная к кубометру сухого отходящего газа при нормальных условиях), мг/м</w:t>
      </w:r>
      <w:r>
        <w:rPr>
          <w:sz w:val="20"/>
          <w:vertAlign w:val="superscript"/>
        </w:rPr>
        <w:t xml:space="preserve">3</w:t>
      </w:r>
      <w:r>
        <w:rPr>
          <w:sz w:val="20"/>
        </w:rPr>
        <w:t xml:space="preserve">;</w:t>
      </w:r>
    </w:p>
    <w:p>
      <w:pPr>
        <w:pStyle w:val="0"/>
        <w:spacing w:before="200" w:line-rule="auto"/>
        <w:ind w:firstLine="540"/>
        <w:jc w:val="both"/>
      </w:pPr>
      <w:r>
        <w:rPr>
          <w:sz w:val="20"/>
        </w:rPr>
        <w:t xml:space="preserve">V</w:t>
      </w:r>
      <w:r>
        <w:rPr>
          <w:sz w:val="20"/>
          <w:vertAlign w:val="subscript"/>
        </w:rPr>
        <w:t xml:space="preserve">1(k)</w:t>
      </w:r>
      <w:r>
        <w:rPr>
          <w:sz w:val="20"/>
        </w:rPr>
        <w:t xml:space="preserve"> - полный объем газовоздушной смеси (ГВС), измеренный в процессе отбора k-пробы, м</w:t>
      </w:r>
      <w:r>
        <w:rPr>
          <w:sz w:val="20"/>
          <w:vertAlign w:val="superscript"/>
        </w:rPr>
        <w:t xml:space="preserve">2</w:t>
      </w:r>
      <w:r>
        <w:rPr>
          <w:sz w:val="20"/>
        </w:rPr>
        <w:t xml:space="preserve">/с (включая объем водяных паров), выбрасываемой в атмосферный воздух из устья ИЗАВ за 1 секунду при температуре отходящего газа Т</w:t>
      </w:r>
      <w:r>
        <w:rPr>
          <w:sz w:val="20"/>
          <w:vertAlign w:val="subscript"/>
        </w:rPr>
        <w:t xml:space="preserve">г</w:t>
      </w:r>
      <w:r>
        <w:rPr>
          <w:sz w:val="20"/>
        </w:rPr>
        <w:t xml:space="preserve"> (°C);</w:t>
      </w:r>
    </w:p>
    <w:p>
      <w:pPr>
        <w:pStyle w:val="0"/>
        <w:spacing w:before="200" w:line-rule="auto"/>
        <w:ind w:firstLine="540"/>
        <w:jc w:val="both"/>
      </w:pPr>
      <w:r>
        <w:rPr>
          <w:sz w:val="20"/>
        </w:rPr>
        <w:t xml:space="preserve">Т</w:t>
      </w:r>
      <w:r>
        <w:rPr>
          <w:sz w:val="20"/>
          <w:vertAlign w:val="subscript"/>
        </w:rPr>
        <w:t xml:space="preserve">г</w:t>
      </w:r>
      <w:r>
        <w:rPr>
          <w:sz w:val="20"/>
        </w:rPr>
        <w:t xml:space="preserve"> (°C) - температура отходящего газа на выходе из ИЗАВ;</w:t>
      </w:r>
    </w:p>
    <w:p>
      <w:pPr>
        <w:pStyle w:val="0"/>
        <w:spacing w:before="200" w:line-rule="auto"/>
        <w:ind w:firstLine="540"/>
        <w:jc w:val="both"/>
      </w:pPr>
      <w:r>
        <w:rPr>
          <w:position w:val="-8"/>
        </w:rPr>
        <w:drawing>
          <wp:inline distT="0" distB="0" distL="0" distR="0">
            <wp:extent cx="1676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Pr>
          <w:sz w:val="20"/>
        </w:rPr>
        <w:t xml:space="preserve"> (г/м</w:t>
      </w:r>
      <w:r>
        <w:rPr>
          <w:sz w:val="20"/>
          <w:vertAlign w:val="subscript"/>
        </w:rPr>
        <w:t xml:space="preserve">сн</w:t>
      </w:r>
      <w:r>
        <w:rPr>
          <w:sz w:val="20"/>
          <w:vertAlign w:val="superscript"/>
        </w:rPr>
        <w:t xml:space="preserve">3</w:t>
      </w:r>
      <w:r>
        <w:rPr>
          <w:sz w:val="20"/>
        </w:rPr>
        <w:t xml:space="preserve">)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pPr>
        <w:pStyle w:val="0"/>
        <w:spacing w:before="200" w:line-rule="auto"/>
        <w:ind w:firstLine="540"/>
        <w:jc w:val="both"/>
      </w:pPr>
      <w:r>
        <w:rPr>
          <w:sz w:val="20"/>
        </w:rPr>
        <w:t xml:space="preserve">K</w:t>
      </w:r>
      <w:r>
        <w:rPr>
          <w:sz w:val="20"/>
          <w:vertAlign w:val="subscript"/>
        </w:rPr>
        <w:t xml:space="preserve">t</w:t>
      </w:r>
      <w:r>
        <w:rPr>
          <w:sz w:val="20"/>
        </w:rPr>
        <w:t xml:space="preserve"> - коэффициент, учитывающий длительность выброса ЗВ, определяется по формуле (2):</w:t>
      </w:r>
    </w:p>
    <w:p>
      <w:pPr>
        <w:pStyle w:val="0"/>
        <w:jc w:val="both"/>
      </w:pPr>
      <w:r>
        <w:rPr>
          <w:sz w:val="20"/>
        </w:rPr>
      </w:r>
    </w:p>
    <w:p>
      <w:pPr>
        <w:pStyle w:val="0"/>
        <w:ind w:firstLine="540"/>
        <w:jc w:val="both"/>
      </w:pPr>
      <w:r>
        <w:rPr>
          <w:position w:val="-39"/>
        </w:rPr>
        <w:drawing>
          <wp:inline distT="0" distB="0" distL="0" distR="0">
            <wp:extent cx="2819400" cy="632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632460"/>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 </w:t>
      </w:r>
      <w:r>
        <w:rPr>
          <w:position w:val="-6"/>
        </w:rPr>
        <w:drawing>
          <wp:inline distT="0" distB="0" distL="0" distR="0">
            <wp:extent cx="4953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 cy="205740"/>
                    </a:xfrm>
                    <a:prstGeom prst="rect">
                      <a:avLst/>
                    </a:prstGeom>
                    <a:noFill/>
                    <a:ln>
                      <a:noFill/>
                    </a:ln>
                  </pic:spPr>
                </pic:pic>
              </a:graphicData>
            </a:graphic>
          </wp:inline>
        </w:drawing>
      </w:r>
      <w:r>
        <w:rPr>
          <w:sz w:val="20"/>
        </w:rPr>
        <w:t xml:space="preserve"> - длительность выброса.</w:t>
      </w:r>
    </w:p>
    <w:p>
      <w:pPr>
        <w:pStyle w:val="0"/>
        <w:spacing w:before="200" w:line-rule="auto"/>
        <w:ind w:firstLine="540"/>
        <w:jc w:val="both"/>
      </w:pPr>
      <w:r>
        <w:rPr>
          <w:sz w:val="20"/>
        </w:rPr>
        <w:t xml:space="preserve">1 Сомножитель </w:t>
      </w:r>
      <w:r>
        <w:rPr>
          <w:position w:val="-24"/>
        </w:rPr>
        <w:drawing>
          <wp:inline distT="0" distB="0" distL="0" distR="0">
            <wp:extent cx="11430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434340"/>
                    </a:xfrm>
                    <a:prstGeom prst="rect">
                      <a:avLst/>
                    </a:prstGeom>
                    <a:noFill/>
                    <a:ln>
                      <a:noFill/>
                    </a:ln>
                  </pic:spPr>
                </pic:pic>
              </a:graphicData>
            </a:graphic>
          </wp:inline>
        </w:drawing>
      </w:r>
      <w:r>
        <w:rPr>
          <w:sz w:val="20"/>
        </w:rPr>
        <w:t xml:space="preserve"> в </w:t>
      </w:r>
      <w:hyperlink w:history="0" w:anchor="P230" w:tooltip=" (1),">
        <w:r>
          <w:rPr>
            <w:sz w:val="20"/>
            <w:color w:val="0000ff"/>
          </w:rPr>
          <w:t xml:space="preserve">формуле (1)</w:t>
        </w:r>
      </w:hyperlink>
      <w:r>
        <w:rPr>
          <w:sz w:val="20"/>
        </w:rPr>
        <w:t xml:space="preserve"> учитывается только для ИЗАВ, у которых Т</w:t>
      </w:r>
      <w:r>
        <w:rPr>
          <w:sz w:val="20"/>
          <w:vertAlign w:val="subscript"/>
        </w:rPr>
        <w:t xml:space="preserve">г</w:t>
      </w:r>
      <w:r>
        <w:rPr>
          <w:sz w:val="20"/>
        </w:rPr>
        <w:t xml:space="preserve"> &gt;= 30 °C.</w:t>
      </w:r>
    </w:p>
    <w:p>
      <w:pPr>
        <w:pStyle w:val="0"/>
        <w:spacing w:before="200" w:line-rule="auto"/>
        <w:ind w:firstLine="540"/>
        <w:jc w:val="both"/>
      </w:pPr>
      <w:r>
        <w:rPr>
          <w:sz w:val="20"/>
        </w:rPr>
        <w:t xml:space="preserve">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(3):</w:t>
      </w:r>
    </w:p>
    <w:p>
      <w:pPr>
        <w:pStyle w:val="0"/>
        <w:jc w:val="both"/>
      </w:pPr>
      <w:r>
        <w:rPr>
          <w:sz w:val="20"/>
        </w:rPr>
      </w:r>
    </w:p>
    <w:p>
      <w:pPr>
        <w:pStyle w:val="0"/>
        <w:ind w:firstLine="540"/>
        <w:jc w:val="both"/>
      </w:pPr>
      <w:r>
        <w:rPr>
          <w:position w:val="-24"/>
        </w:rPr>
        <w:drawing>
          <wp:inline distT="0" distB="0" distL="0" distR="0">
            <wp:extent cx="10515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051560" cy="434340"/>
                    </a:xfrm>
                    <a:prstGeom prst="rect">
                      <a:avLst/>
                    </a:prstGeom>
                    <a:noFill/>
                    <a:ln>
                      <a:noFill/>
                    </a:ln>
                  </pic:spPr>
                </pic:pic>
              </a:graphicData>
            </a:graphic>
          </wp:inline>
        </w:drawing>
      </w:r>
      <w:r>
        <w:rPr>
          <w:sz w:val="20"/>
        </w:rPr>
        <w:t xml:space="preserve"> (3),</w:t>
      </w:r>
    </w:p>
    <w:p>
      <w:pPr>
        <w:pStyle w:val="0"/>
        <w:jc w:val="both"/>
      </w:pPr>
      <w:r>
        <w:rPr>
          <w:sz w:val="20"/>
        </w:rPr>
      </w:r>
    </w:p>
    <w:p>
      <w:pPr>
        <w:pStyle w:val="0"/>
        <w:ind w:firstLine="540"/>
        <w:jc w:val="both"/>
      </w:pPr>
      <w:r>
        <w:rPr>
          <w:sz w:val="20"/>
        </w:rPr>
        <w:t xml:space="preserve">где m - число отобранных проб (не менее трех).</w:t>
      </w:r>
    </w:p>
    <w:p>
      <w:pPr>
        <w:pStyle w:val="0"/>
        <w:spacing w:before="200" w:line-rule="auto"/>
        <w:ind w:firstLine="540"/>
        <w:jc w:val="both"/>
      </w:pPr>
      <w:r>
        <w:rPr>
          <w:sz w:val="20"/>
        </w:rPr>
        <w:t xml:space="preserve">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pPr>
        <w:pStyle w:val="0"/>
        <w:spacing w:before="200" w:line-rule="auto"/>
        <w:ind w:firstLine="540"/>
        <w:jc w:val="both"/>
      </w:pPr>
      <w:r>
        <w:rPr>
          <w:sz w:val="20"/>
        </w:rPr>
        <w:t xml:space="preserve">В том случае, когда концентрация этого ЗВ оказалась меньше нижнего предела диапазона определения наиболее чувствительной методики измерений, то</w:t>
      </w:r>
    </w:p>
    <w:p>
      <w:pPr>
        <w:pStyle w:val="0"/>
        <w:spacing w:before="200" w:line-rule="auto"/>
        <w:ind w:firstLine="540"/>
        <w:jc w:val="both"/>
      </w:pPr>
      <w:r>
        <w:rPr>
          <w:sz w:val="20"/>
        </w:rPr>
        <w:t xml:space="preserve">для организованных ИЗАВ:</w:t>
      </w:r>
    </w:p>
    <w:p>
      <w:pPr>
        <w:pStyle w:val="0"/>
        <w:spacing w:before="200" w:line-rule="auto"/>
        <w:ind w:firstLine="540"/>
        <w:jc w:val="both"/>
      </w:pPr>
      <w:r>
        <w:rPr>
          <w:sz w:val="20"/>
        </w:rPr>
        <w:t xml:space="preserve">- концентрация считается равной половине нижнего предела диапазона измерения методики, если он не меньше 0,5 ГН</w:t>
      </w:r>
      <w:r>
        <w:rPr>
          <w:sz w:val="20"/>
          <w:vertAlign w:val="subscript"/>
        </w:rPr>
        <w:t xml:space="preserve">р.з</w:t>
      </w:r>
      <w:r>
        <w:rPr>
          <w:sz w:val="20"/>
        </w:rPr>
        <w:t xml:space="preserve">, где ГН</w:t>
      </w:r>
      <w:r>
        <w:rPr>
          <w:sz w:val="20"/>
          <w:vertAlign w:val="subscript"/>
        </w:rPr>
        <w:t xml:space="preserve">р.з.</w:t>
      </w:r>
      <w:r>
        <w:rPr>
          <w:sz w:val="20"/>
        </w:rPr>
        <w:t xml:space="preserve"> - значение гигиенического норматива (ГН) среднесменной предельно допустимой концентрации измеряемого ЗВ в воздухе рабочей зоны (ПДК</w:t>
      </w:r>
      <w:r>
        <w:rPr>
          <w:sz w:val="20"/>
          <w:vertAlign w:val="subscript"/>
        </w:rPr>
        <w:t xml:space="preserve">р.з.</w:t>
      </w:r>
      <w:r>
        <w:rPr>
          <w:sz w:val="20"/>
        </w:rPr>
        <w:t xml:space="preserve">); если среднесменная ПДК не установлена, то используется максимальная разовая ПДК</w:t>
      </w:r>
      <w:r>
        <w:rPr>
          <w:sz w:val="20"/>
          <w:vertAlign w:val="subscript"/>
        </w:rPr>
        <w:t xml:space="preserve">р.з.</w:t>
      </w:r>
      <w:r>
        <w:rPr>
          <w:sz w:val="20"/>
        </w:rPr>
        <w:t xml:space="preserve">; или ориентировочно безопасный уровень воздействия (ОБУВ) ЗВ в воздухе рабочей зоны;</w:t>
      </w:r>
    </w:p>
    <w:p>
      <w:pPr>
        <w:pStyle w:val="0"/>
        <w:spacing w:before="200" w:line-rule="auto"/>
        <w:ind w:firstLine="540"/>
        <w:jc w:val="both"/>
      </w:pPr>
      <w:r>
        <w:rPr>
          <w:sz w:val="20"/>
        </w:rPr>
        <w:t xml:space="preserve">- концентрация ЗВ принимается равной нулю, если нижний диапазон методики ее измерения меньше 0,5 ГН</w:t>
      </w:r>
      <w:r>
        <w:rPr>
          <w:sz w:val="20"/>
          <w:vertAlign w:val="subscript"/>
        </w:rPr>
        <w:t xml:space="preserve">р.з</w:t>
      </w:r>
      <w:r>
        <w:rPr>
          <w:sz w:val="20"/>
        </w:rPr>
        <w:t xml:space="preserve">;</w:t>
      </w:r>
    </w:p>
    <w:p>
      <w:pPr>
        <w:pStyle w:val="0"/>
        <w:spacing w:before="200" w:line-rule="auto"/>
        <w:ind w:firstLine="540"/>
        <w:jc w:val="both"/>
      </w:pPr>
      <w:r>
        <w:rPr>
          <w:sz w:val="20"/>
        </w:rPr>
        <w:t xml:space="preserve">для неорганизованных ИЗАВ, расположенных на открытом воздухе:</w:t>
      </w:r>
    </w:p>
    <w:p>
      <w:pPr>
        <w:pStyle w:val="0"/>
        <w:spacing w:before="200" w:line-rule="auto"/>
        <w:ind w:firstLine="540"/>
        <w:jc w:val="both"/>
      </w:pPr>
      <w:r>
        <w:rPr>
          <w:sz w:val="20"/>
        </w:rPr>
        <w:t xml:space="preserve">- концентрация ЗВ считается равной половине нижнего предела диапазона измерения методики, если он не меньше 0,5 ГН</w:t>
      </w:r>
      <w:r>
        <w:rPr>
          <w:sz w:val="20"/>
          <w:vertAlign w:val="subscript"/>
        </w:rPr>
        <w:t xml:space="preserve">а.в.</w:t>
      </w:r>
      <w:r>
        <w:rPr>
          <w:sz w:val="20"/>
        </w:rPr>
        <w:t xml:space="preserve">, где ГН</w:t>
      </w:r>
      <w:r>
        <w:rPr>
          <w:sz w:val="20"/>
          <w:vertAlign w:val="subscript"/>
        </w:rPr>
        <w:t xml:space="preserve">а.в.</w:t>
      </w:r>
      <w:r>
        <w:rPr>
          <w:sz w:val="20"/>
        </w:rPr>
        <w:t xml:space="preserve"> - значение ГН предельно допустимой среднесуточной концентрации измеряемого ЗВ в атмосферном воздухе, если среднесуточная ПДК</w:t>
      </w:r>
      <w:r>
        <w:rPr>
          <w:sz w:val="20"/>
          <w:vertAlign w:val="subscript"/>
        </w:rPr>
        <w:t xml:space="preserve">СС.</w:t>
      </w:r>
      <w:r>
        <w:rPr>
          <w:sz w:val="20"/>
        </w:rPr>
        <w:t xml:space="preserve"> не установлена, то в качестве ГН следует использовать максимальную разовую ПДК</w:t>
      </w:r>
      <w:r>
        <w:rPr>
          <w:sz w:val="20"/>
          <w:vertAlign w:val="subscript"/>
        </w:rPr>
        <w:t xml:space="preserve">р.з</w:t>
      </w:r>
      <w:r>
        <w:rPr>
          <w:sz w:val="20"/>
        </w:rPr>
        <w:t xml:space="preserve"> или ОБУВ ЗВ в атмосферном воздухе;</w:t>
      </w:r>
    </w:p>
    <w:p>
      <w:pPr>
        <w:pStyle w:val="0"/>
        <w:spacing w:before="200" w:line-rule="auto"/>
        <w:ind w:firstLine="540"/>
        <w:jc w:val="both"/>
      </w:pPr>
      <w:r>
        <w:rPr>
          <w:sz w:val="20"/>
        </w:rPr>
        <w:t xml:space="preserve">- концентрация ЗВ принимается равной нулю, если нижний диапазон методики ее измерения меньше 0,5 ГН</w:t>
      </w:r>
      <w:r>
        <w:rPr>
          <w:sz w:val="20"/>
          <w:vertAlign w:val="subscript"/>
        </w:rPr>
        <w:t xml:space="preserve">а.в.</w:t>
      </w:r>
    </w:p>
    <w:p>
      <w:pPr>
        <w:pStyle w:val="0"/>
        <w:spacing w:before="200" w:line-rule="auto"/>
        <w:ind w:firstLine="540"/>
        <w:jc w:val="both"/>
      </w:pPr>
      <w:r>
        <w:rPr>
          <w:sz w:val="20"/>
        </w:rPr>
        <w:t xml:space="preserve">42. При использовании расчетных способов определения показателей выбросов от стационарных ИЗАВ значения показателей выбросов (выделений) ЗВ в атмосферный воздух определяются по расчетным формулам, изложенным в методиках расчета выбросов ЗВ, включенных в перечень методик расчета выбросов ЗВ, который формируется и ведется Министерством природных ресурсов и экологии Российской Федерации.</w:t>
      </w:r>
    </w:p>
    <w:p>
      <w:pPr>
        <w:pStyle w:val="0"/>
        <w:spacing w:before="200" w:line-rule="auto"/>
        <w:ind w:firstLine="540"/>
        <w:jc w:val="both"/>
      </w:pPr>
      <w:r>
        <w:rPr>
          <w:sz w:val="20"/>
        </w:rPr>
        <w:t xml:space="preserve">При использовании конкретного расчетного способа выбранные для расчета удельные технологические показатели выбросов (выделений) должны соответствовать именно тому технологическому оборудованию, сырью (материалам), которые используются на данном производственном объекте (цехе, участке).</w:t>
      </w:r>
    </w:p>
    <w:p>
      <w:pPr>
        <w:pStyle w:val="0"/>
        <w:spacing w:before="200" w:line-rule="auto"/>
        <w:ind w:firstLine="540"/>
        <w:jc w:val="both"/>
      </w:pPr>
      <w:r>
        <w:rPr>
          <w:sz w:val="20"/>
        </w:rPr>
        <w:t xml:space="preserve">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pPr>
        <w:pStyle w:val="0"/>
        <w:spacing w:before="200" w:line-rule="auto"/>
        <w:ind w:firstLine="540"/>
        <w:jc w:val="both"/>
      </w:pPr>
      <w:r>
        <w:rPr>
          <w:sz w:val="20"/>
        </w:rPr>
        <w:t xml:space="preserve">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pPr>
        <w:pStyle w:val="0"/>
        <w:spacing w:before="200" w:line-rule="auto"/>
        <w:ind w:firstLine="540"/>
        <w:jc w:val="both"/>
      </w:pPr>
      <w:r>
        <w:rPr>
          <w:sz w:val="20"/>
        </w:rPr>
        <w:t xml:space="preserve">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этапах многостадийных технологических процессов.</w:t>
      </w:r>
    </w:p>
    <w:p>
      <w:pPr>
        <w:pStyle w:val="0"/>
        <w:spacing w:before="200" w:line-rule="auto"/>
        <w:ind w:firstLine="540"/>
        <w:jc w:val="both"/>
      </w:pPr>
      <w:r>
        <w:rPr>
          <w:sz w:val="20"/>
        </w:rPr>
        <w:t xml:space="preserve">43. Значения суммарных годовых (валовых) выбросов определенного ЗВ из стационарных ИЗАВ (т/год)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(в часах) работы ИЗАВ в данном режиме в течение года.</w:t>
      </w:r>
    </w:p>
    <w:p>
      <w:pPr>
        <w:pStyle w:val="0"/>
        <w:spacing w:before="200" w:line-rule="auto"/>
        <w:ind w:firstLine="540"/>
        <w:jc w:val="both"/>
      </w:pPr>
      <w:r>
        <w:rPr>
          <w:sz w:val="20"/>
        </w:rPr>
        <w:t xml:space="preserve">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pPr>
        <w:pStyle w:val="0"/>
        <w:spacing w:before="200" w:line-rule="auto"/>
        <w:ind w:firstLine="540"/>
        <w:jc w:val="both"/>
      </w:pPr>
      <w:r>
        <w:rPr>
          <w:sz w:val="20"/>
        </w:rPr>
        <w:t xml:space="preserve">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установок очистки газа.</w:t>
      </w:r>
    </w:p>
    <w:p>
      <w:pPr>
        <w:pStyle w:val="0"/>
        <w:spacing w:before="200" w:line-rule="auto"/>
        <w:ind w:firstLine="540"/>
        <w:jc w:val="both"/>
      </w:pPr>
      <w:r>
        <w:rPr>
          <w:sz w:val="20"/>
        </w:rPr>
        <w:t xml:space="preserve">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pPr>
        <w:pStyle w:val="0"/>
        <w:spacing w:before="200" w:line-rule="auto"/>
        <w:ind w:firstLine="540"/>
        <w:jc w:val="both"/>
      </w:pPr>
      <w:r>
        <w:rPr>
          <w:sz w:val="20"/>
        </w:rPr>
        <w:t xml:space="preserve">Годовой выброс ЗВ (т/год) от всего объекта ОНВ рассчитывается как сумма годовых выбросов этого ЗВ из всех стационарных ИЗАВ данного объекта ОНВ. Также для объекта ОНВ отдельно рассчитывается сумма годовых выбросов ЗВ от передвижных ИЗАВ.</w:t>
      </w:r>
    </w:p>
    <w:p>
      <w:pPr>
        <w:pStyle w:val="0"/>
        <w:spacing w:before="200" w:line-rule="auto"/>
        <w:ind w:firstLine="540"/>
        <w:jc w:val="both"/>
      </w:pPr>
      <w:r>
        <w:rPr>
          <w:sz w:val="20"/>
        </w:rPr>
        <w:t xml:space="preserve">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sz w:val="20"/>
          <w:vertAlign w:val="superscript"/>
        </w:rPr>
        <w:t xml:space="preserve">-6</w:t>
      </w:r>
      <w:r>
        <w:rPr>
          <w:sz w:val="20"/>
        </w:rPr>
        <w:t xml:space="preserve"> и для т/г - менее 10</w:t>
      </w:r>
      <w:r>
        <w:rPr>
          <w:sz w:val="20"/>
          <w:vertAlign w:val="superscript"/>
        </w:rPr>
        <w:t xml:space="preserve">-5</w:t>
      </w:r>
      <w:r>
        <w:rPr>
          <w:sz w:val="20"/>
        </w:rPr>
        <w:t xml:space="preserve">.</w:t>
      </w:r>
    </w:p>
    <w:p>
      <w:pPr>
        <w:pStyle w:val="0"/>
        <w:spacing w:before="200" w:line-rule="auto"/>
        <w:ind w:firstLine="540"/>
        <w:jc w:val="both"/>
      </w:pPr>
      <w:r>
        <w:rPr>
          <w:sz w:val="20"/>
        </w:rPr>
        <w:t xml:space="preserve">44. Данные о результатах инвентаризации выбросов, ее корректировки хранятся бессрочно хозяйствующим субъектом в бумажном и электронном виде в порядке, который устанавливается хозяйствующим субъектом.</w:t>
      </w:r>
    </w:p>
    <w:p>
      <w:pPr>
        <w:pStyle w:val="0"/>
        <w:spacing w:before="200" w:line-rule="auto"/>
        <w:ind w:firstLine="540"/>
        <w:jc w:val="both"/>
      </w:pPr>
      <w:r>
        <w:rPr>
          <w:sz w:val="20"/>
        </w:rPr>
        <w:t xml:space="preserve">Документация по инвентаризации выбросов является действующей до наступления предусмотренных </w:t>
      </w:r>
      <w:hyperlink w:history="0" w:anchor="P272" w:tooltip="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
        <w:r>
          <w:rPr>
            <w:sz w:val="20"/>
            <w:color w:val="0000ff"/>
          </w:rPr>
          <w:t xml:space="preserve">пунктами 45</w:t>
        </w:r>
      </w:hyperlink>
      <w:r>
        <w:rPr>
          <w:sz w:val="20"/>
        </w:rPr>
        <w:t xml:space="preserve"> и </w:t>
      </w:r>
      <w:hyperlink w:history="0" w:anchor="P280" w:tooltip="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
        <w:r>
          <w:rPr>
            <w:sz w:val="20"/>
            <w:color w:val="0000ff"/>
          </w:rPr>
          <w:t xml:space="preserve">46</w:t>
        </w:r>
      </w:hyperlink>
      <w:r>
        <w:rPr>
          <w:sz w:val="20"/>
        </w:rPr>
        <w:t xml:space="preserve"> настоящего Порядка обстоятельств ее обязательной корректировки и завершения осуществления такой корректировки.</w:t>
      </w:r>
    </w:p>
    <w:p>
      <w:pPr>
        <w:pStyle w:val="0"/>
        <w:spacing w:before="200" w:line-rule="auto"/>
        <w:ind w:firstLine="540"/>
        <w:jc w:val="both"/>
      </w:pPr>
      <w:r>
        <w:rPr>
          <w:sz w:val="20"/>
        </w:rPr>
        <w:t xml:space="preserve">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pPr>
        <w:pStyle w:val="0"/>
        <w:jc w:val="both"/>
      </w:pPr>
      <w:r>
        <w:rPr>
          <w:sz w:val="20"/>
        </w:rPr>
      </w:r>
    </w:p>
    <w:p>
      <w:pPr>
        <w:pStyle w:val="2"/>
        <w:outlineLvl w:val="1"/>
        <w:jc w:val="center"/>
      </w:pPr>
      <w:r>
        <w:rPr>
          <w:sz w:val="20"/>
        </w:rPr>
        <w:t xml:space="preserve">VI. Корректировка данных инвентаризации выбросов</w:t>
      </w:r>
    </w:p>
    <w:p>
      <w:pPr>
        <w:pStyle w:val="0"/>
        <w:jc w:val="both"/>
      </w:pPr>
      <w:r>
        <w:rPr>
          <w:sz w:val="20"/>
        </w:rPr>
      </w:r>
    </w:p>
    <w:bookmarkStart w:id="272" w:name="P272"/>
    <w:bookmarkEnd w:id="272"/>
    <w:p>
      <w:pPr>
        <w:pStyle w:val="0"/>
        <w:ind w:firstLine="540"/>
        <w:jc w:val="both"/>
      </w:pPr>
      <w:r>
        <w:rPr>
          <w:sz w:val="20"/>
        </w:rPr>
        <w:t xml:space="preserve">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w:t>
      </w:r>
    </w:p>
    <w:p>
      <w:pPr>
        <w:pStyle w:val="0"/>
        <w:spacing w:before="200" w:line-rule="auto"/>
        <w:ind w:firstLine="540"/>
        <w:jc w:val="both"/>
      </w:pPr>
      <w:r>
        <w:rPr>
          <w:sz w:val="20"/>
        </w:rPr>
        <w:t xml:space="preserve">изменение технологических процессов и (или) режимов работы технологического оборудования и установок очистки газа, включая оборудование (оснащение) установок очистки газа на ИЗАВ, ввод в эксплуатацию или ликвидацию ИЗАВ;</w:t>
      </w:r>
    </w:p>
    <w:p>
      <w:pPr>
        <w:pStyle w:val="0"/>
        <w:spacing w:before="200" w:line-rule="auto"/>
        <w:ind w:firstLine="540"/>
        <w:jc w:val="both"/>
      </w:pPr>
      <w:r>
        <w:rPr>
          <w:sz w:val="20"/>
        </w:rPr>
        <w:t xml:space="preserve">изменение объемов производства;</w:t>
      </w:r>
    </w:p>
    <w:p>
      <w:pPr>
        <w:pStyle w:val="0"/>
        <w:spacing w:before="200" w:line-rule="auto"/>
        <w:ind w:firstLine="540"/>
        <w:jc w:val="both"/>
      </w:pPr>
      <w:r>
        <w:rPr>
          <w:sz w:val="20"/>
        </w:rPr>
        <w:t xml:space="preserve">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pPr>
        <w:pStyle w:val="0"/>
        <w:spacing w:before="200" w:line-rule="auto"/>
        <w:ind w:firstLine="540"/>
        <w:jc w:val="both"/>
      </w:pPr>
      <w:r>
        <w:rPr>
          <w:sz w:val="20"/>
        </w:rPr>
        <w:t xml:space="preserve">реконструкция, модернизация установок очистки газа, приводящая к изменению состава, объема и (или) массы выбросов.</w:t>
      </w:r>
    </w:p>
    <w:p>
      <w:pPr>
        <w:pStyle w:val="0"/>
        <w:spacing w:before="200" w:line-rule="auto"/>
        <w:ind w:firstLine="540"/>
        <w:jc w:val="both"/>
      </w:pPr>
      <w:r>
        <w:rPr>
          <w:sz w:val="20"/>
        </w:rPr>
        <w:t xml:space="preserve">Также корректировка данных инвентаризации выбросов объекта ОНВ осуществляется в случаях:</w:t>
      </w:r>
    </w:p>
    <w:p>
      <w:pPr>
        <w:pStyle w:val="0"/>
        <w:spacing w:before="200" w:line-rule="auto"/>
        <w:ind w:firstLine="540"/>
        <w:jc w:val="both"/>
      </w:pPr>
      <w:r>
        <w:rPr>
          <w:sz w:val="20"/>
        </w:rPr>
        <w:t xml:space="preserve">выявления при проведении производственного экологического контроля или государственного экологического контроля (надзора) несоответствия между показателями выбросов и данными последней инвентаризации выбросов, в том числе выявления неучтенных ИЗАВ и (или) выбрасываемых ЗВ;</w:t>
      </w:r>
    </w:p>
    <w:p>
      <w:pPr>
        <w:pStyle w:val="0"/>
        <w:spacing w:before="200" w:line-rule="auto"/>
        <w:ind w:firstLine="540"/>
        <w:jc w:val="both"/>
      </w:pPr>
      <w:r>
        <w:rPr>
          <w:sz w:val="20"/>
        </w:rPr>
        <w:t xml:space="preserve">изменения законодательства Российской Федерации в области охраны атмосферного воздуха, связанного с инвентаризацией выбросов,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w:t>
      </w:r>
    </w:p>
    <w:bookmarkStart w:id="280" w:name="P280"/>
    <w:bookmarkEnd w:id="280"/>
    <w:p>
      <w:pPr>
        <w:pStyle w:val="0"/>
        <w:spacing w:before="200" w:line-rule="auto"/>
        <w:ind w:firstLine="540"/>
        <w:jc w:val="both"/>
      </w:pPr>
      <w:r>
        <w:rPr>
          <w:sz w:val="20"/>
        </w:rPr>
        <w:t xml:space="preserve">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pPr>
        <w:pStyle w:val="0"/>
        <w:spacing w:before="200" w:line-rule="auto"/>
        <w:ind w:firstLine="540"/>
        <w:jc w:val="both"/>
      </w:pPr>
      <w:r>
        <w:rPr>
          <w:sz w:val="20"/>
        </w:rPr>
        <w:t xml:space="preserve">47. Корректировка карты-схемы осуществляется при корректировке данных инвентаризации выбросов, осуществляемой в соответствии с </w:t>
      </w:r>
      <w:hyperlink w:history="0" w:anchor="P272" w:tooltip="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
        <w:r>
          <w:rPr>
            <w:sz w:val="20"/>
            <w:color w:val="0000ff"/>
          </w:rPr>
          <w:t xml:space="preserve">пунктами 45</w:t>
        </w:r>
      </w:hyperlink>
      <w:r>
        <w:rPr>
          <w:sz w:val="20"/>
        </w:rPr>
        <w:t xml:space="preserve"> и </w:t>
      </w:r>
      <w:hyperlink w:history="0" w:anchor="P280" w:tooltip="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
        <w:r>
          <w:rPr>
            <w:sz w:val="20"/>
            <w:color w:val="0000ff"/>
          </w:rPr>
          <w:t xml:space="preserve">46</w:t>
        </w:r>
      </w:hyperlink>
      <w:r>
        <w:rPr>
          <w:sz w:val="20"/>
        </w:rPr>
        <w:t xml:space="preserve"> настоящей главы.</w:t>
      </w:r>
    </w:p>
    <w:p>
      <w:pPr>
        <w:pStyle w:val="0"/>
        <w:spacing w:before="200" w:line-rule="auto"/>
        <w:ind w:firstLine="540"/>
        <w:jc w:val="both"/>
      </w:pPr>
      <w:r>
        <w:rPr>
          <w:sz w:val="20"/>
        </w:rPr>
        <w:t xml:space="preserve">48. При возникновении обстоятельств, указанных в </w:t>
      </w:r>
      <w:hyperlink w:history="0" w:anchor="P272" w:tooltip="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
        <w:r>
          <w:rPr>
            <w:sz w:val="20"/>
            <w:color w:val="0000ff"/>
          </w:rPr>
          <w:t xml:space="preserve">пунктах 45</w:t>
        </w:r>
      </w:hyperlink>
      <w:r>
        <w:rPr>
          <w:sz w:val="20"/>
        </w:rPr>
        <w:t xml:space="preserve"> и </w:t>
      </w:r>
      <w:hyperlink w:history="0" w:anchor="P280" w:tooltip="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
        <w:r>
          <w:rPr>
            <w:sz w:val="20"/>
            <w:color w:val="0000ff"/>
          </w:rPr>
          <w:t xml:space="preserve">46</w:t>
        </w:r>
      </w:hyperlink>
      <w:r>
        <w:rPr>
          <w:sz w:val="20"/>
        </w:rPr>
        <w:t xml:space="preserve"> настоящего Порядка, хозяйствующий субъект вправе принять решение и провести новую инвентаризацию выбросов.</w:t>
      </w:r>
    </w:p>
    <w:p>
      <w:pPr>
        <w:pStyle w:val="0"/>
        <w:spacing w:before="200" w:line-rule="auto"/>
        <w:ind w:firstLine="540"/>
        <w:jc w:val="both"/>
      </w:pPr>
      <w:r>
        <w:rPr>
          <w:sz w:val="20"/>
        </w:rPr>
        <w:t xml:space="preserve">49. Корректировка данных инвентаризации выбросов проводится не позднее одного года со дня возникновения обстоятельств, указанных в </w:t>
      </w:r>
      <w:hyperlink w:history="0" w:anchor="P272" w:tooltip="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
        <w:r>
          <w:rPr>
            <w:sz w:val="20"/>
            <w:color w:val="0000ff"/>
          </w:rPr>
          <w:t xml:space="preserve">пункте 45</w:t>
        </w:r>
      </w:hyperlink>
      <w:r>
        <w:rPr>
          <w:sz w:val="20"/>
        </w:rPr>
        <w:t xml:space="preserve"> настоящего Порядка. Для случаев, указанных в </w:t>
      </w:r>
      <w:hyperlink w:history="0" w:anchor="P280" w:tooltip="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
        <w:r>
          <w:rPr>
            <w:sz w:val="20"/>
            <w:color w:val="0000ff"/>
          </w:rPr>
          <w:t xml:space="preserve">пункте 46</w:t>
        </w:r>
      </w:hyperlink>
      <w:r>
        <w:rPr>
          <w:sz w:val="20"/>
        </w:rPr>
        <w:t xml:space="preserve"> настоящего Порядка,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50.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pPr>
        <w:pStyle w:val="0"/>
        <w:spacing w:before="200" w:line-rule="auto"/>
        <w:ind w:firstLine="540"/>
        <w:jc w:val="both"/>
      </w:pPr>
      <w:r>
        <w:rPr>
          <w:sz w:val="20"/>
        </w:rPr>
        <w:t xml:space="preserve">51.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bookmarkStart w:id="286" w:name="P286"/>
    <w:bookmarkEnd w:id="286"/>
    <w:p>
      <w:pPr>
        <w:pStyle w:val="0"/>
        <w:spacing w:before="200" w:line-rule="auto"/>
        <w:ind w:firstLine="540"/>
        <w:jc w:val="both"/>
      </w:pPr>
      <w:r>
        <w:rPr>
          <w:sz w:val="20"/>
        </w:rPr>
        <w:t xml:space="preserve">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"Содержание,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инвентаризации</w:t>
      </w:r>
    </w:p>
    <w:p>
      <w:pPr>
        <w:pStyle w:val="0"/>
        <w:jc w:val="right"/>
      </w:pPr>
      <w:r>
        <w:rPr>
          <w:sz w:val="20"/>
        </w:rPr>
        <w:t xml:space="preserve">стационарных источников и выбросов</w:t>
      </w:r>
    </w:p>
    <w:p>
      <w:pPr>
        <w:pStyle w:val="0"/>
        <w:jc w:val="right"/>
      </w:pPr>
      <w:r>
        <w:rPr>
          <w:sz w:val="20"/>
        </w:rPr>
        <w:t xml:space="preserve">загрязняющих веществ в атмосферный</w:t>
      </w:r>
    </w:p>
    <w:p>
      <w:pPr>
        <w:pStyle w:val="0"/>
        <w:jc w:val="right"/>
      </w:pPr>
      <w:r>
        <w:rPr>
          <w:sz w:val="20"/>
        </w:rPr>
        <w:t xml:space="preserve">воздух, корректировки ее данных,</w:t>
      </w:r>
    </w:p>
    <w:p>
      <w:pPr>
        <w:pStyle w:val="0"/>
        <w:jc w:val="right"/>
      </w:pPr>
      <w:r>
        <w:rPr>
          <w:sz w:val="20"/>
        </w:rPr>
        <w:t xml:space="preserve">документирования и хранения данных,</w:t>
      </w:r>
    </w:p>
    <w:p>
      <w:pPr>
        <w:pStyle w:val="0"/>
        <w:jc w:val="right"/>
      </w:pPr>
      <w:r>
        <w:rPr>
          <w:sz w:val="20"/>
        </w:rPr>
        <w:t xml:space="preserve">полученных в результате проведения</w:t>
      </w:r>
    </w:p>
    <w:p>
      <w:pPr>
        <w:pStyle w:val="0"/>
        <w:jc w:val="right"/>
      </w:pPr>
      <w:r>
        <w:rPr>
          <w:sz w:val="20"/>
        </w:rPr>
        <w:t xml:space="preserve">таких инвентаризации и корректировки,</w:t>
      </w:r>
    </w:p>
    <w:p>
      <w:pPr>
        <w:pStyle w:val="0"/>
        <w:jc w:val="right"/>
      </w:pPr>
      <w:r>
        <w:rPr>
          <w:sz w:val="20"/>
        </w:rPr>
        <w:t xml:space="preserve">утвержденному приказом Минприроды России</w:t>
      </w:r>
    </w:p>
    <w:p>
      <w:pPr>
        <w:pStyle w:val="0"/>
        <w:jc w:val="right"/>
      </w:pPr>
      <w:r>
        <w:rPr>
          <w:sz w:val="20"/>
        </w:rPr>
        <w:t xml:space="preserve">от 19.11.2021 N 871</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05" w:name="P305"/>
    <w:bookmarkEnd w:id="305"/>
    <w:p>
      <w:pPr>
        <w:pStyle w:val="0"/>
        <w:jc w:val="center"/>
      </w:pPr>
      <w:r>
        <w:rPr>
          <w:sz w:val="20"/>
        </w:rPr>
        <w:t xml:space="preserve">Документирование данных при нестационарности выбросов</w:t>
      </w:r>
    </w:p>
    <w:p>
      <w:pPr>
        <w:pStyle w:val="0"/>
        <w:jc w:val="center"/>
      </w:pPr>
      <w:r>
        <w:rPr>
          <w:sz w:val="20"/>
        </w:rPr>
        <w:t xml:space="preserve">стационарных ИЗАВ</w:t>
      </w:r>
    </w:p>
    <w:p>
      <w:pPr>
        <w:pStyle w:val="0"/>
        <w:jc w:val="both"/>
      </w:pPr>
      <w:r>
        <w:rPr>
          <w:sz w:val="20"/>
        </w:rPr>
      </w:r>
    </w:p>
    <w:bookmarkStart w:id="308" w:name="P308"/>
    <w:bookmarkEnd w:id="308"/>
    <w:p>
      <w:pPr>
        <w:pStyle w:val="0"/>
        <w:outlineLvl w:val="2"/>
        <w:jc w:val="center"/>
      </w:pPr>
      <w:r>
        <w:rPr>
          <w:sz w:val="20"/>
        </w:rPr>
        <w:t xml:space="preserve">Таблица N 1.1</w:t>
      </w:r>
    </w:p>
    <w:p>
      <w:pPr>
        <w:pStyle w:val="0"/>
        <w:jc w:val="center"/>
      </w:pPr>
      <w:r>
        <w:rPr>
          <w:sz w:val="20"/>
        </w:rPr>
        <w:t xml:space="preserve">Режимы работы ИЗАВ и их временные характеристики</w:t>
      </w:r>
    </w:p>
    <w:p>
      <w:pPr>
        <w:pStyle w:val="0"/>
        <w:jc w:val="center"/>
      </w:pPr>
      <w:r>
        <w:rPr>
          <w:sz w:val="20"/>
        </w:rPr>
        <w:t xml:space="preserve">при нестационарности выбросов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89"/>
        <w:gridCol w:w="989"/>
        <w:gridCol w:w="1134"/>
        <w:gridCol w:w="1474"/>
        <w:gridCol w:w="1928"/>
        <w:gridCol w:w="2551"/>
      </w:tblGrid>
      <w:tr>
        <w:tc>
          <w:tcPr>
            <w:tcW w:w="989" w:type="dxa"/>
            <w:vMerge w:val="restart"/>
          </w:tcPr>
          <w:p>
            <w:pPr>
              <w:pStyle w:val="0"/>
              <w:jc w:val="center"/>
            </w:pPr>
            <w:r>
              <w:rPr>
                <w:sz w:val="20"/>
              </w:rPr>
              <w:t xml:space="preserve">N ИЗАВ</w:t>
            </w:r>
          </w:p>
        </w:tc>
        <w:tc>
          <w:tcPr>
            <w:gridSpan w:val="4"/>
            <w:tcW w:w="5525" w:type="dxa"/>
          </w:tcPr>
          <w:p>
            <w:pPr>
              <w:pStyle w:val="0"/>
              <w:jc w:val="center"/>
            </w:pPr>
            <w:r>
              <w:rPr>
                <w:sz w:val="20"/>
              </w:rPr>
              <w:t xml:space="preserve">Источник выделения (ИВ)</w:t>
            </w:r>
          </w:p>
        </w:tc>
        <w:tc>
          <w:tcPr>
            <w:tcW w:w="2551" w:type="dxa"/>
            <w:vMerge w:val="restart"/>
          </w:tcPr>
          <w:p>
            <w:pPr>
              <w:pStyle w:val="0"/>
              <w:jc w:val="center"/>
            </w:pPr>
            <w:r>
              <w:rPr>
                <w:sz w:val="20"/>
              </w:rPr>
              <w:t xml:space="preserve">N (код) режима ИЗАВ (в зависимости от времени работы ИВ, одинаковый для одновременно работающих ИЗАВ)</w:t>
            </w:r>
          </w:p>
        </w:tc>
      </w:tr>
      <w:tr>
        <w:tc>
          <w:tcPr>
            <w:vMerge w:val="continue"/>
          </w:tcPr>
          <w:p/>
        </w:tc>
        <w:tc>
          <w:tcPr>
            <w:tcW w:w="989" w:type="dxa"/>
          </w:tcPr>
          <w:p>
            <w:pPr>
              <w:pStyle w:val="0"/>
              <w:jc w:val="center"/>
            </w:pPr>
            <w:r>
              <w:rPr>
                <w:sz w:val="20"/>
              </w:rPr>
              <w:t xml:space="preserve">Номер ИВ</w:t>
            </w:r>
          </w:p>
        </w:tc>
        <w:tc>
          <w:tcPr>
            <w:tcW w:w="1134" w:type="dxa"/>
          </w:tcPr>
          <w:p>
            <w:pPr>
              <w:pStyle w:val="0"/>
              <w:jc w:val="center"/>
            </w:pPr>
            <w:r>
              <w:rPr>
                <w:sz w:val="20"/>
              </w:rPr>
              <w:t xml:space="preserve">Наименование ИВ</w:t>
            </w:r>
          </w:p>
        </w:tc>
        <w:tc>
          <w:tcPr>
            <w:tcW w:w="1474" w:type="dxa"/>
          </w:tcPr>
          <w:p>
            <w:pPr>
              <w:pStyle w:val="0"/>
              <w:jc w:val="center"/>
            </w:pPr>
            <w:r>
              <w:rPr>
                <w:sz w:val="20"/>
              </w:rPr>
              <w:t xml:space="preserve">Описание режима работы ИВ</w:t>
            </w:r>
          </w:p>
        </w:tc>
        <w:tc>
          <w:tcPr>
            <w:tcW w:w="1928" w:type="dxa"/>
          </w:tcPr>
          <w:p>
            <w:pPr>
              <w:pStyle w:val="0"/>
              <w:jc w:val="center"/>
            </w:pPr>
            <w:r>
              <w:rPr>
                <w:sz w:val="20"/>
              </w:rPr>
              <w:t xml:space="preserve">Время работы ИВ на конкретном режиме за период времени</w:t>
            </w:r>
          </w:p>
        </w:tc>
        <w:tc>
          <w:tcPr>
            <w:vMerge w:val="continue"/>
          </w:tcPr>
          <w:p/>
        </w:tc>
      </w:tr>
      <w:tr>
        <w:tc>
          <w:tcPr>
            <w:tcW w:w="989" w:type="dxa"/>
          </w:tcPr>
          <w:p>
            <w:pPr>
              <w:pStyle w:val="0"/>
              <w:jc w:val="center"/>
            </w:pPr>
            <w:r>
              <w:rPr>
                <w:sz w:val="20"/>
              </w:rPr>
              <w:t xml:space="preserve">1</w:t>
            </w:r>
          </w:p>
        </w:tc>
        <w:tc>
          <w:tcPr>
            <w:tcW w:w="989" w:type="dxa"/>
          </w:tcPr>
          <w:p>
            <w:pPr>
              <w:pStyle w:val="0"/>
              <w:jc w:val="center"/>
            </w:pPr>
            <w:r>
              <w:rPr>
                <w:sz w:val="20"/>
              </w:rPr>
              <w:t xml:space="preserve">2</w:t>
            </w:r>
          </w:p>
        </w:tc>
        <w:tc>
          <w:tcPr>
            <w:tcW w:w="1134" w:type="dxa"/>
          </w:tcPr>
          <w:p>
            <w:pPr>
              <w:pStyle w:val="0"/>
              <w:jc w:val="center"/>
            </w:pPr>
            <w:r>
              <w:rPr>
                <w:sz w:val="20"/>
              </w:rPr>
              <w:t xml:space="preserve">3</w:t>
            </w:r>
          </w:p>
        </w:tc>
        <w:tc>
          <w:tcPr>
            <w:tcW w:w="1474" w:type="dxa"/>
          </w:tcPr>
          <w:p>
            <w:pPr>
              <w:pStyle w:val="0"/>
              <w:jc w:val="center"/>
            </w:pPr>
            <w:r>
              <w:rPr>
                <w:sz w:val="20"/>
              </w:rPr>
              <w:t xml:space="preserve">4</w:t>
            </w:r>
          </w:p>
        </w:tc>
        <w:tc>
          <w:tcPr>
            <w:tcW w:w="1928" w:type="dxa"/>
          </w:tcPr>
          <w:p>
            <w:pPr>
              <w:pStyle w:val="0"/>
              <w:jc w:val="center"/>
            </w:pPr>
            <w:r>
              <w:rPr>
                <w:sz w:val="20"/>
              </w:rPr>
              <w:t xml:space="preserve">5</w:t>
            </w:r>
          </w:p>
        </w:tc>
        <w:tc>
          <w:tcPr>
            <w:tcW w:w="2551" w:type="dxa"/>
          </w:tcPr>
          <w:p>
            <w:pPr>
              <w:pStyle w:val="0"/>
              <w:jc w:val="center"/>
            </w:pPr>
            <w:r>
              <w:rPr>
                <w:sz w:val="20"/>
              </w:rPr>
              <w:t xml:space="preserve">6</w:t>
            </w:r>
          </w:p>
        </w:tc>
      </w:tr>
      <w:tr>
        <w:tc>
          <w:tcPr>
            <w:gridSpan w:val="6"/>
            <w:tcW w:w="9065" w:type="dxa"/>
          </w:tcPr>
          <w:p>
            <w:pPr>
              <w:pStyle w:val="0"/>
              <w:jc w:val="center"/>
            </w:pPr>
            <w:r>
              <w:rPr>
                <w:sz w:val="20"/>
              </w:rPr>
              <w:t xml:space="preserve">Обособленная территория объекта ОНВ, номер и наименование цеха, участка</w:t>
            </w:r>
          </w:p>
        </w:tc>
      </w:tr>
      <w:tr>
        <w:tc>
          <w:tcPr>
            <w:tcW w:w="989" w:type="dxa"/>
          </w:tcPr>
          <w:p>
            <w:pPr>
              <w:pStyle w:val="0"/>
            </w:pPr>
            <w:r>
              <w:rPr>
                <w:sz w:val="20"/>
              </w:rPr>
            </w:r>
          </w:p>
        </w:tc>
        <w:tc>
          <w:tcPr>
            <w:tcW w:w="989"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928" w:type="dxa"/>
          </w:tcPr>
          <w:p>
            <w:pPr>
              <w:pStyle w:val="0"/>
            </w:pPr>
            <w:r>
              <w:rPr>
                <w:sz w:val="20"/>
              </w:rPr>
            </w:r>
          </w:p>
        </w:tc>
        <w:tc>
          <w:tcPr>
            <w:tcW w:w="2551" w:type="dxa"/>
          </w:tcPr>
          <w:p>
            <w:pPr>
              <w:pStyle w:val="0"/>
            </w:pPr>
            <w:r>
              <w:rPr>
                <w:sz w:val="20"/>
              </w:rPr>
            </w:r>
          </w:p>
        </w:tc>
      </w:tr>
      <w:tr>
        <w:tc>
          <w:tcPr>
            <w:tcW w:w="989" w:type="dxa"/>
          </w:tcPr>
          <w:p>
            <w:pPr>
              <w:pStyle w:val="0"/>
            </w:pPr>
            <w:r>
              <w:rPr>
                <w:sz w:val="20"/>
              </w:rPr>
            </w:r>
          </w:p>
        </w:tc>
        <w:tc>
          <w:tcPr>
            <w:tcW w:w="989"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92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343" w:name="P343"/>
    <w:bookmarkEnd w:id="343"/>
    <w:p>
      <w:pPr>
        <w:pStyle w:val="0"/>
        <w:jc w:val="center"/>
      </w:pPr>
      <w:r>
        <w:rPr>
          <w:sz w:val="20"/>
        </w:rPr>
        <w:t xml:space="preserve">Таблица N 1.2</w:t>
      </w:r>
    </w:p>
    <w:p>
      <w:pPr>
        <w:pStyle w:val="0"/>
        <w:jc w:val="center"/>
      </w:pPr>
      <w:r>
        <w:rPr>
          <w:sz w:val="20"/>
        </w:rPr>
        <w:t xml:space="preserve">Характеристика одновременности работы оборудования</w:t>
      </w:r>
    </w:p>
    <w:p>
      <w:pPr>
        <w:pStyle w:val="0"/>
        <w:jc w:val="center"/>
      </w:pPr>
      <w:r>
        <w:rPr>
          <w:sz w:val="20"/>
        </w:rPr>
        <w:t xml:space="preserve">при нестационарных выбросах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24"/>
        <w:gridCol w:w="1020"/>
        <w:gridCol w:w="794"/>
        <w:gridCol w:w="1694"/>
        <w:gridCol w:w="3118"/>
        <w:gridCol w:w="850"/>
      </w:tblGrid>
      <w:tr>
        <w:tc>
          <w:tcPr>
            <w:tcW w:w="964" w:type="dxa"/>
            <w:vMerge w:val="restart"/>
          </w:tcPr>
          <w:p>
            <w:pPr>
              <w:pStyle w:val="0"/>
              <w:jc w:val="center"/>
            </w:pPr>
            <w:r>
              <w:rPr>
                <w:sz w:val="20"/>
              </w:rPr>
              <w:t xml:space="preserve">Наименование цеха</w:t>
            </w:r>
          </w:p>
        </w:tc>
        <w:tc>
          <w:tcPr>
            <w:gridSpan w:val="4"/>
            <w:tcW w:w="4132" w:type="dxa"/>
          </w:tcPr>
          <w:p>
            <w:pPr>
              <w:pStyle w:val="0"/>
              <w:jc w:val="center"/>
            </w:pPr>
            <w:r>
              <w:rPr>
                <w:sz w:val="20"/>
              </w:rPr>
              <w:t xml:space="preserve">Источники выделения (выброса)</w:t>
            </w:r>
          </w:p>
        </w:tc>
        <w:tc>
          <w:tcPr>
            <w:tcW w:w="3118" w:type="dxa"/>
            <w:vMerge w:val="restart"/>
          </w:tcPr>
          <w:p>
            <w:pPr>
              <w:pStyle w:val="0"/>
              <w:jc w:val="center"/>
            </w:pPr>
            <w:r>
              <w:rPr>
                <w:sz w:val="20"/>
              </w:rPr>
              <w:t xml:space="preserve">Коэффициент одновременности загрузки оборудования К</w:t>
            </w:r>
            <w:r>
              <w:rPr>
                <w:sz w:val="20"/>
                <w:vertAlign w:val="subscript"/>
              </w:rPr>
              <w:t xml:space="preserve">0</w:t>
            </w:r>
            <w:r>
              <w:rPr>
                <w:sz w:val="20"/>
              </w:rPr>
              <w:t xml:space="preserve">, (отношение значения в </w:t>
            </w:r>
            <w:hyperlink w:history="0" w:anchor="P360" w:tooltip="5">
              <w:r>
                <w:rPr>
                  <w:sz w:val="20"/>
                  <w:color w:val="0000ff"/>
                </w:rPr>
                <w:t xml:space="preserve">графе 5</w:t>
              </w:r>
            </w:hyperlink>
            <w:r>
              <w:rPr>
                <w:sz w:val="20"/>
              </w:rPr>
              <w:t xml:space="preserve"> к значению в </w:t>
            </w:r>
            <w:hyperlink w:history="0" w:anchor="P359" w:tooltip="4">
              <w:r>
                <w:rPr>
                  <w:sz w:val="20"/>
                  <w:color w:val="0000ff"/>
                </w:rPr>
                <w:t xml:space="preserve">графе 4</w:t>
              </w:r>
            </w:hyperlink>
            <w:r>
              <w:rPr>
                <w:sz w:val="20"/>
              </w:rPr>
              <w:t xml:space="preserve">)</w:t>
            </w:r>
          </w:p>
        </w:tc>
        <w:tc>
          <w:tcPr>
            <w:tcW w:w="850" w:type="dxa"/>
            <w:vMerge w:val="restart"/>
          </w:tcPr>
          <w:p>
            <w:pPr>
              <w:pStyle w:val="0"/>
              <w:jc w:val="center"/>
            </w:pPr>
            <w:r>
              <w:rPr>
                <w:sz w:val="20"/>
              </w:rPr>
              <w:t xml:space="preserve">Номер ИЗАВ</w:t>
            </w:r>
          </w:p>
        </w:tc>
      </w:tr>
      <w:tr>
        <w:tc>
          <w:tcPr>
            <w:vMerge w:val="continue"/>
          </w:tcPr>
          <w:p/>
        </w:tc>
        <w:tc>
          <w:tcPr>
            <w:tcW w:w="624" w:type="dxa"/>
            <w:vMerge w:val="restart"/>
          </w:tcPr>
          <w:p>
            <w:pPr>
              <w:pStyle w:val="0"/>
              <w:jc w:val="center"/>
            </w:pPr>
            <w:r>
              <w:rPr>
                <w:sz w:val="20"/>
              </w:rPr>
              <w:t xml:space="preserve">N</w:t>
            </w:r>
          </w:p>
        </w:tc>
        <w:tc>
          <w:tcPr>
            <w:tcW w:w="1020" w:type="dxa"/>
            <w:vMerge w:val="restart"/>
          </w:tcPr>
          <w:p>
            <w:pPr>
              <w:pStyle w:val="0"/>
              <w:jc w:val="center"/>
            </w:pPr>
            <w:r>
              <w:rPr>
                <w:sz w:val="20"/>
              </w:rPr>
              <w:t xml:space="preserve">Найме нование</w:t>
            </w:r>
          </w:p>
        </w:tc>
        <w:tc>
          <w:tcPr>
            <w:gridSpan w:val="2"/>
            <w:tcW w:w="2488" w:type="dxa"/>
          </w:tcPr>
          <w:p>
            <w:pPr>
              <w:pStyle w:val="0"/>
              <w:jc w:val="center"/>
            </w:pPr>
            <w:r>
              <w:rPr>
                <w:sz w:val="20"/>
              </w:rPr>
              <w:t xml:space="preserve">Количество</w:t>
            </w:r>
          </w:p>
        </w:tc>
        <w:tc>
          <w:tcPr>
            <w:vMerge w:val="continue"/>
          </w:tcPr>
          <w:p/>
        </w:tc>
        <w:tc>
          <w:tcPr>
            <w:vMerge w:val="continue"/>
          </w:tcPr>
          <w:p/>
        </w:tc>
      </w:tr>
      <w:tr>
        <w:tc>
          <w:tcPr>
            <w:vMerge w:val="continue"/>
          </w:tcPr>
          <w:p/>
        </w:tc>
        <w:tc>
          <w:tcPr>
            <w:vMerge w:val="continue"/>
          </w:tcPr>
          <w:p/>
        </w:tc>
        <w:tc>
          <w:tcPr>
            <w:vMerge w:val="continue"/>
          </w:tcPr>
          <w:p/>
        </w:tc>
        <w:tc>
          <w:tcPr>
            <w:tcW w:w="794" w:type="dxa"/>
          </w:tcPr>
          <w:p>
            <w:pPr>
              <w:pStyle w:val="0"/>
              <w:jc w:val="center"/>
            </w:pPr>
            <w:r>
              <w:rPr>
                <w:sz w:val="20"/>
              </w:rPr>
              <w:t xml:space="preserve">всего</w:t>
            </w:r>
          </w:p>
        </w:tc>
        <w:tc>
          <w:tcPr>
            <w:tcW w:w="1694" w:type="dxa"/>
          </w:tcPr>
          <w:p>
            <w:pPr>
              <w:pStyle w:val="0"/>
              <w:jc w:val="center"/>
            </w:pPr>
            <w:r>
              <w:rPr>
                <w:sz w:val="20"/>
              </w:rPr>
              <w:t xml:space="preserve">в том числе одновременно работающих</w:t>
            </w:r>
          </w:p>
        </w:tc>
        <w:tc>
          <w:tcPr>
            <w:vMerge w:val="continue"/>
          </w:tcPr>
          <w:p/>
        </w:tc>
        <w:tc>
          <w:tcPr>
            <w:vMerge w:val="continue"/>
          </w:tcPr>
          <w:p/>
        </w:tc>
      </w:tr>
      <w:tr>
        <w:tc>
          <w:tcPr>
            <w:tcW w:w="964" w:type="dxa"/>
          </w:tcPr>
          <w:p>
            <w:pPr>
              <w:pStyle w:val="0"/>
              <w:jc w:val="center"/>
            </w:pPr>
            <w:r>
              <w:rPr>
                <w:sz w:val="20"/>
              </w:rPr>
              <w:t xml:space="preserve">1</w:t>
            </w:r>
          </w:p>
        </w:tc>
        <w:tc>
          <w:tcPr>
            <w:tcW w:w="624" w:type="dxa"/>
          </w:tcPr>
          <w:p>
            <w:pPr>
              <w:pStyle w:val="0"/>
              <w:jc w:val="center"/>
            </w:pPr>
            <w:r>
              <w:rPr>
                <w:sz w:val="20"/>
              </w:rPr>
              <w:t xml:space="preserve">2</w:t>
            </w:r>
          </w:p>
        </w:tc>
        <w:tc>
          <w:tcPr>
            <w:tcW w:w="1020" w:type="dxa"/>
          </w:tcPr>
          <w:p>
            <w:pPr>
              <w:pStyle w:val="0"/>
              <w:jc w:val="center"/>
            </w:pPr>
            <w:r>
              <w:rPr>
                <w:sz w:val="20"/>
              </w:rPr>
              <w:t xml:space="preserve">3</w:t>
            </w:r>
          </w:p>
        </w:tc>
        <w:tc>
          <w:tcPr>
            <w:tcW w:w="794" w:type="dxa"/>
          </w:tcPr>
          <w:bookmarkStart w:id="359" w:name="P359"/>
          <w:bookmarkEnd w:id="359"/>
          <w:p>
            <w:pPr>
              <w:pStyle w:val="0"/>
              <w:jc w:val="center"/>
            </w:pPr>
            <w:r>
              <w:rPr>
                <w:sz w:val="20"/>
              </w:rPr>
              <w:t xml:space="preserve">4</w:t>
            </w:r>
          </w:p>
        </w:tc>
        <w:tc>
          <w:tcPr>
            <w:tcW w:w="1694" w:type="dxa"/>
          </w:tcPr>
          <w:bookmarkStart w:id="360" w:name="P360"/>
          <w:bookmarkEnd w:id="360"/>
          <w:p>
            <w:pPr>
              <w:pStyle w:val="0"/>
              <w:jc w:val="center"/>
            </w:pPr>
            <w:r>
              <w:rPr>
                <w:sz w:val="20"/>
              </w:rPr>
              <w:t xml:space="preserve">5</w:t>
            </w:r>
          </w:p>
        </w:tc>
        <w:tc>
          <w:tcPr>
            <w:tcW w:w="3118" w:type="dxa"/>
          </w:tcPr>
          <w:p>
            <w:pPr>
              <w:pStyle w:val="0"/>
              <w:jc w:val="center"/>
            </w:pPr>
            <w:r>
              <w:rPr>
                <w:sz w:val="20"/>
              </w:rPr>
              <w:t xml:space="preserve">6</w:t>
            </w:r>
          </w:p>
        </w:tc>
        <w:tc>
          <w:tcPr>
            <w:tcW w:w="850" w:type="dxa"/>
          </w:tcPr>
          <w:p>
            <w:pPr>
              <w:pStyle w:val="0"/>
              <w:jc w:val="center"/>
            </w:pPr>
            <w:r>
              <w:rPr>
                <w:sz w:val="20"/>
              </w:rPr>
              <w:t xml:space="preserve">7</w:t>
            </w:r>
          </w:p>
        </w:tc>
      </w:tr>
      <w:tr>
        <w:tc>
          <w:tcPr>
            <w:tcW w:w="964" w:type="dxa"/>
            <w:vMerge w:val="restart"/>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794" w:type="dxa"/>
          </w:tcPr>
          <w:p>
            <w:pPr>
              <w:pStyle w:val="0"/>
            </w:pPr>
            <w:r>
              <w:rPr>
                <w:sz w:val="20"/>
              </w:rPr>
            </w:r>
          </w:p>
        </w:tc>
        <w:tc>
          <w:tcPr>
            <w:tcW w:w="1694" w:type="dxa"/>
          </w:tcPr>
          <w:p>
            <w:pPr>
              <w:pStyle w:val="0"/>
            </w:pPr>
            <w:r>
              <w:rPr>
                <w:sz w:val="20"/>
              </w:rPr>
            </w:r>
          </w:p>
        </w:tc>
        <w:tc>
          <w:tcPr>
            <w:tcW w:w="3118" w:type="dxa"/>
          </w:tcPr>
          <w:p>
            <w:pPr>
              <w:pStyle w:val="0"/>
            </w:pPr>
            <w:r>
              <w:rPr>
                <w:sz w:val="20"/>
              </w:rPr>
            </w:r>
          </w:p>
        </w:tc>
        <w:tc>
          <w:tcPr>
            <w:tcW w:w="850" w:type="dxa"/>
          </w:tcPr>
          <w:p>
            <w:pPr>
              <w:pStyle w:val="0"/>
            </w:pPr>
            <w:r>
              <w:rPr>
                <w:sz w:val="20"/>
              </w:rPr>
            </w:r>
          </w:p>
        </w:tc>
      </w:tr>
      <w:tr>
        <w:tc>
          <w:tcPr>
            <w:vMerge w:val="continue"/>
          </w:tcPr>
          <w:p/>
        </w:tc>
        <w:tc>
          <w:tcPr>
            <w:tcW w:w="624" w:type="dxa"/>
          </w:tcPr>
          <w:p>
            <w:pPr>
              <w:pStyle w:val="0"/>
            </w:pPr>
            <w:r>
              <w:rPr>
                <w:sz w:val="20"/>
              </w:rPr>
            </w:r>
          </w:p>
        </w:tc>
        <w:tc>
          <w:tcPr>
            <w:tcW w:w="1020" w:type="dxa"/>
          </w:tcPr>
          <w:p>
            <w:pPr>
              <w:pStyle w:val="0"/>
            </w:pPr>
            <w:r>
              <w:rPr>
                <w:sz w:val="20"/>
              </w:rPr>
            </w:r>
          </w:p>
        </w:tc>
        <w:tc>
          <w:tcPr>
            <w:tcW w:w="794" w:type="dxa"/>
          </w:tcPr>
          <w:p>
            <w:pPr>
              <w:pStyle w:val="0"/>
            </w:pPr>
            <w:r>
              <w:rPr>
                <w:sz w:val="20"/>
              </w:rPr>
            </w:r>
          </w:p>
        </w:tc>
        <w:tc>
          <w:tcPr>
            <w:tcW w:w="1694" w:type="dxa"/>
          </w:tcPr>
          <w:p>
            <w:pPr>
              <w:pStyle w:val="0"/>
            </w:pPr>
            <w:r>
              <w:rPr>
                <w:sz w:val="20"/>
              </w:rPr>
            </w:r>
          </w:p>
        </w:tc>
        <w:tc>
          <w:tcPr>
            <w:tcW w:w="3118"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381" w:name="P381"/>
    <w:bookmarkEnd w:id="381"/>
    <w:p>
      <w:pPr>
        <w:pStyle w:val="0"/>
        <w:jc w:val="center"/>
      </w:pPr>
      <w:r>
        <w:rPr>
          <w:sz w:val="20"/>
        </w:rPr>
        <w:t xml:space="preserve">Таблица N 1.3</w:t>
      </w:r>
    </w:p>
    <w:p>
      <w:pPr>
        <w:pStyle w:val="0"/>
        <w:jc w:val="center"/>
      </w:pPr>
      <w:r>
        <w:rPr>
          <w:sz w:val="20"/>
        </w:rPr>
        <w:t xml:space="preserve">Учет нестационарности выбросов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624"/>
        <w:gridCol w:w="794"/>
        <w:gridCol w:w="662"/>
        <w:gridCol w:w="1077"/>
        <w:gridCol w:w="1757"/>
        <w:gridCol w:w="964"/>
        <w:gridCol w:w="407"/>
        <w:gridCol w:w="407"/>
        <w:gridCol w:w="407"/>
        <w:gridCol w:w="407"/>
        <w:gridCol w:w="407"/>
        <w:gridCol w:w="407"/>
        <w:gridCol w:w="407"/>
      </w:tblGrid>
      <w:tr>
        <w:tc>
          <w:tcPr>
            <w:tcW w:w="340" w:type="dxa"/>
            <w:vMerge w:val="restart"/>
          </w:tcPr>
          <w:p>
            <w:pPr>
              <w:pStyle w:val="0"/>
              <w:jc w:val="center"/>
            </w:pPr>
            <w:r>
              <w:rPr>
                <w:sz w:val="20"/>
              </w:rPr>
              <w:t xml:space="preserve">N</w:t>
            </w:r>
          </w:p>
        </w:tc>
        <w:tc>
          <w:tcPr>
            <w:tcW w:w="624" w:type="dxa"/>
            <w:vMerge w:val="restart"/>
          </w:tcPr>
          <w:p>
            <w:pPr>
              <w:pStyle w:val="0"/>
              <w:jc w:val="center"/>
            </w:pPr>
            <w:r>
              <w:rPr>
                <w:sz w:val="20"/>
              </w:rPr>
              <w:t xml:space="preserve">N ИЗАВ</w:t>
            </w:r>
          </w:p>
        </w:tc>
        <w:tc>
          <w:tcPr>
            <w:tcW w:w="794" w:type="dxa"/>
            <w:vMerge w:val="restart"/>
          </w:tcPr>
          <w:p>
            <w:pPr>
              <w:pStyle w:val="0"/>
              <w:jc w:val="center"/>
            </w:pPr>
            <w:r>
              <w:rPr>
                <w:sz w:val="20"/>
              </w:rPr>
              <w:t xml:space="preserve">Источник выделения</w:t>
            </w:r>
          </w:p>
        </w:tc>
        <w:tc>
          <w:tcPr>
            <w:gridSpan w:val="11"/>
            <w:tcW w:w="7309" w:type="dxa"/>
          </w:tcPr>
          <w:p>
            <w:pPr>
              <w:pStyle w:val="0"/>
              <w:jc w:val="center"/>
            </w:pPr>
            <w:r>
              <w:rPr>
                <w:sz w:val="20"/>
              </w:rPr>
              <w:t xml:space="preserve">Характеристики технологических стадий</w:t>
            </w:r>
          </w:p>
        </w:tc>
      </w:tr>
      <w:tr>
        <w:tc>
          <w:tcPr>
            <w:vMerge w:val="continue"/>
          </w:tcPr>
          <w:p/>
        </w:tc>
        <w:tc>
          <w:tcPr>
            <w:vMerge w:val="continue"/>
          </w:tcPr>
          <w:p/>
        </w:tc>
        <w:tc>
          <w:tcPr>
            <w:vMerge w:val="continue"/>
          </w:tcPr>
          <w:p/>
        </w:tc>
        <w:tc>
          <w:tcPr>
            <w:gridSpan w:val="4"/>
            <w:tcW w:w="4460" w:type="dxa"/>
          </w:tcPr>
          <w:p>
            <w:pPr>
              <w:pStyle w:val="0"/>
              <w:jc w:val="center"/>
            </w:pPr>
            <w:r>
              <w:rPr>
                <w:sz w:val="20"/>
              </w:rPr>
              <w:t xml:space="preserve">Название характеристики</w:t>
            </w:r>
          </w:p>
        </w:tc>
        <w:tc>
          <w:tcPr>
            <w:gridSpan w:val="7"/>
            <w:tcW w:w="2849" w:type="dxa"/>
          </w:tcPr>
          <w:p>
            <w:pPr>
              <w:pStyle w:val="0"/>
              <w:jc w:val="center"/>
            </w:pPr>
            <w:r>
              <w:rPr>
                <w:sz w:val="20"/>
              </w:rPr>
              <w:t xml:space="preserve">Значения характеристик технологических стадий</w:t>
            </w:r>
          </w:p>
        </w:tc>
      </w:tr>
      <w:tr>
        <w:tc>
          <w:tcPr>
            <w:tcW w:w="340" w:type="dxa"/>
          </w:tcPr>
          <w:p>
            <w:pPr>
              <w:pStyle w:val="0"/>
              <w:jc w:val="center"/>
            </w:pPr>
            <w:r>
              <w:rPr>
                <w:sz w:val="20"/>
              </w:rPr>
              <w:t xml:space="preserve">1</w:t>
            </w:r>
          </w:p>
        </w:tc>
        <w:tc>
          <w:tcPr>
            <w:tcW w:w="624" w:type="dxa"/>
          </w:tcPr>
          <w:p>
            <w:pPr>
              <w:pStyle w:val="0"/>
              <w:jc w:val="center"/>
            </w:pPr>
            <w:r>
              <w:rPr>
                <w:sz w:val="20"/>
              </w:rPr>
              <w:t xml:space="preserve">2</w:t>
            </w:r>
          </w:p>
        </w:tc>
        <w:tc>
          <w:tcPr>
            <w:tcW w:w="794" w:type="dxa"/>
          </w:tcPr>
          <w:p>
            <w:pPr>
              <w:pStyle w:val="0"/>
              <w:jc w:val="center"/>
            </w:pPr>
            <w:r>
              <w:rPr>
                <w:sz w:val="20"/>
              </w:rPr>
              <w:t xml:space="preserve">3</w:t>
            </w:r>
          </w:p>
        </w:tc>
        <w:tc>
          <w:tcPr>
            <w:gridSpan w:val="4"/>
            <w:tcW w:w="4460" w:type="dxa"/>
          </w:tcPr>
          <w:p>
            <w:pPr>
              <w:pStyle w:val="0"/>
              <w:jc w:val="center"/>
            </w:pPr>
            <w:r>
              <w:rPr>
                <w:sz w:val="20"/>
              </w:rPr>
              <w:t xml:space="preserve">4</w:t>
            </w:r>
          </w:p>
        </w:tc>
        <w:tc>
          <w:tcPr>
            <w:tcW w:w="407" w:type="dxa"/>
          </w:tcPr>
          <w:p>
            <w:pPr>
              <w:pStyle w:val="0"/>
              <w:jc w:val="center"/>
            </w:pPr>
            <w:r>
              <w:rPr>
                <w:sz w:val="20"/>
              </w:rPr>
              <w:t xml:space="preserve">5</w:t>
            </w:r>
          </w:p>
        </w:tc>
        <w:tc>
          <w:tcPr>
            <w:tcW w:w="407" w:type="dxa"/>
          </w:tcPr>
          <w:p>
            <w:pPr>
              <w:pStyle w:val="0"/>
              <w:jc w:val="center"/>
            </w:pPr>
            <w:r>
              <w:rPr>
                <w:sz w:val="20"/>
              </w:rPr>
              <w:t xml:space="preserve">6</w:t>
            </w:r>
          </w:p>
        </w:tc>
        <w:tc>
          <w:tcPr>
            <w:tcW w:w="407" w:type="dxa"/>
          </w:tcPr>
          <w:p>
            <w:pPr>
              <w:pStyle w:val="0"/>
              <w:jc w:val="center"/>
            </w:pPr>
            <w:r>
              <w:rPr>
                <w:sz w:val="20"/>
              </w:rPr>
              <w:t xml:space="preserve">7</w:t>
            </w:r>
          </w:p>
        </w:tc>
        <w:tc>
          <w:tcPr>
            <w:tcW w:w="407" w:type="dxa"/>
          </w:tcPr>
          <w:p>
            <w:pPr>
              <w:pStyle w:val="0"/>
              <w:jc w:val="center"/>
            </w:pPr>
            <w:r>
              <w:rPr>
                <w:sz w:val="20"/>
              </w:rPr>
              <w:t xml:space="preserve">8</w:t>
            </w:r>
          </w:p>
        </w:tc>
        <w:tc>
          <w:tcPr>
            <w:tcW w:w="407" w:type="dxa"/>
          </w:tcPr>
          <w:p>
            <w:pPr>
              <w:pStyle w:val="0"/>
              <w:jc w:val="center"/>
            </w:pPr>
            <w:r>
              <w:rPr>
                <w:sz w:val="20"/>
              </w:rPr>
              <w:t xml:space="preserve">9</w:t>
            </w:r>
          </w:p>
        </w:tc>
        <w:tc>
          <w:tcPr>
            <w:tcW w:w="407" w:type="dxa"/>
          </w:tcPr>
          <w:p>
            <w:pPr>
              <w:pStyle w:val="0"/>
              <w:jc w:val="center"/>
            </w:pPr>
            <w:r>
              <w:rPr>
                <w:sz w:val="20"/>
              </w:rPr>
              <w:t xml:space="preserve">10</w:t>
            </w:r>
          </w:p>
        </w:tc>
        <w:tc>
          <w:tcPr>
            <w:tcW w:w="407" w:type="dxa"/>
          </w:tcPr>
          <w:p>
            <w:pPr>
              <w:pStyle w:val="0"/>
              <w:jc w:val="center"/>
            </w:pPr>
            <w:r>
              <w:rPr>
                <w:sz w:val="20"/>
              </w:rPr>
              <w:t xml:space="preserve">11</w:t>
            </w:r>
          </w:p>
        </w:tc>
      </w:tr>
      <w:tr>
        <w:tc>
          <w:tcPr>
            <w:tcW w:w="340" w:type="dxa"/>
            <w:vMerge w:val="restart"/>
          </w:tcPr>
          <w:p>
            <w:pPr>
              <w:pStyle w:val="0"/>
            </w:pPr>
            <w:r>
              <w:rPr>
                <w:sz w:val="20"/>
              </w:rPr>
            </w:r>
          </w:p>
        </w:tc>
        <w:tc>
          <w:tcPr>
            <w:tcW w:w="624" w:type="dxa"/>
            <w:vMerge w:val="restart"/>
          </w:tcPr>
          <w:p>
            <w:pPr>
              <w:pStyle w:val="0"/>
            </w:pPr>
            <w:r>
              <w:rPr>
                <w:sz w:val="20"/>
              </w:rPr>
            </w:r>
          </w:p>
        </w:tc>
        <w:tc>
          <w:tcPr>
            <w:tcW w:w="794" w:type="dxa"/>
            <w:vMerge w:val="restart"/>
          </w:tcPr>
          <w:p>
            <w:pPr>
              <w:pStyle w:val="0"/>
            </w:pPr>
            <w:r>
              <w:rPr>
                <w:sz w:val="20"/>
              </w:rPr>
            </w:r>
          </w:p>
        </w:tc>
        <w:tc>
          <w:tcPr>
            <w:gridSpan w:val="4"/>
            <w:tcW w:w="4460" w:type="dxa"/>
          </w:tcPr>
          <w:p>
            <w:pPr>
              <w:pStyle w:val="0"/>
            </w:pPr>
            <w:r>
              <w:rPr>
                <w:sz w:val="20"/>
              </w:rPr>
              <w:t xml:space="preserve">Наименование стадии</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gridSpan w:val="4"/>
            <w:tcW w:w="4460" w:type="dxa"/>
          </w:tcPr>
          <w:p>
            <w:pPr>
              <w:pStyle w:val="0"/>
            </w:pPr>
            <w:r>
              <w:rPr>
                <w:sz w:val="20"/>
              </w:rPr>
              <w:t xml:space="preserve">Время начала стадии: __ час. __ мин.</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gridSpan w:val="4"/>
            <w:tcW w:w="4460" w:type="dxa"/>
          </w:tcPr>
          <w:p>
            <w:pPr>
              <w:pStyle w:val="0"/>
            </w:pPr>
            <w:r>
              <w:rPr>
                <w:sz w:val="20"/>
              </w:rPr>
              <w:t xml:space="preserve">Продолжительность __ стадии, __ мин.</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tcW w:w="662" w:type="dxa"/>
            <w:vAlign w:val="center"/>
            <w:vMerge w:val="restart"/>
          </w:tcPr>
          <w:p>
            <w:pPr>
              <w:pStyle w:val="0"/>
              <w:jc w:val="center"/>
            </w:pPr>
            <w:r>
              <w:rPr>
                <w:sz w:val="20"/>
              </w:rPr>
              <w:t xml:space="preserve">Характеристики выделяемых ЗВ</w:t>
            </w:r>
          </w:p>
        </w:tc>
        <w:tc>
          <w:tcPr>
            <w:tcW w:w="1077" w:type="dxa"/>
          </w:tcPr>
          <w:p>
            <w:pPr>
              <w:pStyle w:val="0"/>
            </w:pPr>
            <w:r>
              <w:rPr>
                <w:sz w:val="20"/>
              </w:rPr>
              <w:t xml:space="preserve">Наименование ЗВ</w:t>
            </w:r>
          </w:p>
        </w:tc>
        <w:tc>
          <w:tcPr>
            <w:tcW w:w="1757" w:type="dxa"/>
          </w:tcPr>
          <w:p>
            <w:pPr>
              <w:pStyle w:val="0"/>
            </w:pPr>
            <w:r>
              <w:rPr>
                <w:sz w:val="20"/>
              </w:rPr>
              <w:t xml:space="preserve">Наименование показателя</w:t>
            </w:r>
          </w:p>
        </w:tc>
        <w:tc>
          <w:tcPr>
            <w:tcW w:w="964" w:type="dxa"/>
          </w:tcPr>
          <w:p>
            <w:pPr>
              <w:pStyle w:val="0"/>
              <w:jc w:val="center"/>
            </w:pPr>
            <w:r>
              <w:rPr>
                <w:sz w:val="20"/>
              </w:rPr>
              <w:t xml:space="preserve">Размерность</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Взвешенные вещества</w:t>
            </w:r>
          </w:p>
        </w:tc>
        <w:tc>
          <w:tcPr>
            <w:tcW w:w="1757" w:type="dxa"/>
          </w:tcPr>
          <w:p>
            <w:pPr>
              <w:pStyle w:val="0"/>
              <w:jc w:val="center"/>
            </w:pPr>
            <w:r>
              <w:rPr>
                <w:sz w:val="20"/>
              </w:rPr>
              <w:t xml:space="preserve">концентрация</w:t>
            </w:r>
          </w:p>
          <w:p>
            <w:pPr>
              <w:pStyle w:val="0"/>
              <w:jc w:val="center"/>
            </w:pPr>
            <w:r>
              <w:rPr>
                <w:sz w:val="20"/>
              </w:rPr>
              <w:t xml:space="preserve">------------------</w:t>
            </w:r>
          </w:p>
          <w:p>
            <w:pPr>
              <w:pStyle w:val="0"/>
              <w:jc w:val="center"/>
            </w:pPr>
            <w:r>
              <w:rPr>
                <w:sz w:val="20"/>
              </w:rPr>
              <w:t xml:space="preserve">максимальный выброс</w:t>
            </w:r>
          </w:p>
        </w:tc>
        <w:tc>
          <w:tcPr>
            <w:tcW w:w="964" w:type="dxa"/>
          </w:tcPr>
          <w:p>
            <w:pPr>
              <w:pStyle w:val="0"/>
              <w:jc w:val="center"/>
            </w:pPr>
            <w:r>
              <w:rPr>
                <w:sz w:val="20"/>
              </w:rPr>
              <w:t xml:space="preserve">мг/м</w:t>
            </w:r>
            <w:r>
              <w:rPr>
                <w:sz w:val="20"/>
                <w:vertAlign w:val="superscript"/>
              </w:rPr>
              <w:t xml:space="preserve">3</w:t>
            </w:r>
          </w:p>
          <w:p>
            <w:pPr>
              <w:pStyle w:val="0"/>
              <w:jc w:val="center"/>
            </w:pPr>
            <w:r>
              <w:rPr>
                <w:sz w:val="20"/>
              </w:rPr>
              <w:t xml:space="preserve">--------</w:t>
            </w:r>
          </w:p>
          <w:p>
            <w:pPr>
              <w:pStyle w:val="0"/>
              <w:jc w:val="center"/>
            </w:pPr>
            <w:r>
              <w:rPr>
                <w:sz w:val="20"/>
              </w:rPr>
              <w:t xml:space="preserve">г/с</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оксид углерода</w:t>
            </w:r>
          </w:p>
        </w:tc>
        <w:tc>
          <w:tcPr>
            <w:tcW w:w="1757" w:type="dxa"/>
          </w:tcPr>
          <w:p>
            <w:pPr>
              <w:pStyle w:val="0"/>
              <w:jc w:val="center"/>
            </w:pPr>
            <w:r>
              <w:rPr>
                <w:sz w:val="20"/>
              </w:rPr>
              <w:t xml:space="preserve">концентрация</w:t>
            </w:r>
          </w:p>
          <w:p>
            <w:pPr>
              <w:pStyle w:val="0"/>
              <w:jc w:val="center"/>
            </w:pPr>
            <w:r>
              <w:rPr>
                <w:sz w:val="20"/>
              </w:rPr>
              <w:t xml:space="preserve">------------------</w:t>
            </w:r>
          </w:p>
          <w:p>
            <w:pPr>
              <w:pStyle w:val="0"/>
              <w:jc w:val="center"/>
            </w:pPr>
            <w:r>
              <w:rPr>
                <w:sz w:val="20"/>
              </w:rPr>
              <w:t xml:space="preserve">максимальный выброс</w:t>
            </w:r>
          </w:p>
        </w:tc>
        <w:tc>
          <w:tcPr>
            <w:tcW w:w="964" w:type="dxa"/>
          </w:tcPr>
          <w:p>
            <w:pPr>
              <w:pStyle w:val="0"/>
              <w:jc w:val="center"/>
            </w:pPr>
            <w:r>
              <w:rPr>
                <w:sz w:val="20"/>
              </w:rPr>
              <w:t xml:space="preserve">мг/м</w:t>
            </w:r>
            <w:r>
              <w:rPr>
                <w:sz w:val="20"/>
                <w:vertAlign w:val="superscript"/>
              </w:rPr>
              <w:t xml:space="preserve">3</w:t>
            </w:r>
          </w:p>
          <w:p>
            <w:pPr>
              <w:pStyle w:val="0"/>
              <w:jc w:val="center"/>
            </w:pPr>
            <w:r>
              <w:rPr>
                <w:sz w:val="20"/>
              </w:rPr>
              <w:t xml:space="preserve">--------</w:t>
            </w:r>
          </w:p>
          <w:p>
            <w:pPr>
              <w:pStyle w:val="0"/>
              <w:jc w:val="center"/>
            </w:pPr>
            <w:r>
              <w:rPr>
                <w:sz w:val="20"/>
              </w:rPr>
              <w:t xml:space="preserve">г/с</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диоксид азота</w:t>
            </w:r>
          </w:p>
        </w:tc>
        <w:tc>
          <w:tcPr>
            <w:tcW w:w="1757" w:type="dxa"/>
          </w:tcPr>
          <w:p>
            <w:pPr>
              <w:pStyle w:val="0"/>
              <w:jc w:val="center"/>
            </w:pPr>
            <w:r>
              <w:rPr>
                <w:sz w:val="20"/>
              </w:rPr>
              <w:t xml:space="preserve">концентрация</w:t>
            </w:r>
          </w:p>
          <w:p>
            <w:pPr>
              <w:pStyle w:val="0"/>
              <w:jc w:val="center"/>
            </w:pPr>
            <w:r>
              <w:rPr>
                <w:sz w:val="20"/>
              </w:rPr>
              <w:t xml:space="preserve">------------------</w:t>
            </w:r>
          </w:p>
          <w:p>
            <w:pPr>
              <w:pStyle w:val="0"/>
              <w:jc w:val="center"/>
            </w:pPr>
            <w:r>
              <w:rPr>
                <w:sz w:val="20"/>
              </w:rPr>
              <w:t xml:space="preserve">максимальный выброс</w:t>
            </w:r>
          </w:p>
        </w:tc>
        <w:tc>
          <w:tcPr>
            <w:tcW w:w="964" w:type="dxa"/>
          </w:tcPr>
          <w:p>
            <w:pPr>
              <w:pStyle w:val="0"/>
              <w:jc w:val="center"/>
            </w:pPr>
            <w:r>
              <w:rPr>
                <w:sz w:val="20"/>
              </w:rPr>
              <w:t xml:space="preserve">мг/м</w:t>
            </w:r>
            <w:r>
              <w:rPr>
                <w:sz w:val="20"/>
                <w:vertAlign w:val="superscript"/>
              </w:rPr>
              <w:t xml:space="preserve">3</w:t>
            </w:r>
          </w:p>
          <w:p>
            <w:pPr>
              <w:pStyle w:val="0"/>
              <w:jc w:val="center"/>
            </w:pPr>
            <w:r>
              <w:rPr>
                <w:sz w:val="20"/>
              </w:rPr>
              <w:t xml:space="preserve">--------</w:t>
            </w:r>
          </w:p>
          <w:p>
            <w:pPr>
              <w:pStyle w:val="0"/>
              <w:jc w:val="center"/>
            </w:pPr>
            <w:r>
              <w:rPr>
                <w:sz w:val="20"/>
              </w:rPr>
              <w:t xml:space="preserve">г/с</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диоксид серы</w:t>
            </w:r>
          </w:p>
        </w:tc>
        <w:tc>
          <w:tcPr>
            <w:tcW w:w="1757" w:type="dxa"/>
          </w:tcPr>
          <w:p>
            <w:pPr>
              <w:pStyle w:val="0"/>
              <w:jc w:val="center"/>
            </w:pPr>
            <w:r>
              <w:rPr>
                <w:sz w:val="20"/>
              </w:rPr>
              <w:t xml:space="preserve">концентрация</w:t>
            </w:r>
          </w:p>
          <w:p>
            <w:pPr>
              <w:pStyle w:val="0"/>
              <w:jc w:val="center"/>
            </w:pPr>
            <w:r>
              <w:rPr>
                <w:sz w:val="20"/>
              </w:rPr>
              <w:t xml:space="preserve">------------------</w:t>
            </w:r>
          </w:p>
          <w:p>
            <w:pPr>
              <w:pStyle w:val="0"/>
              <w:jc w:val="center"/>
            </w:pPr>
            <w:r>
              <w:rPr>
                <w:sz w:val="20"/>
              </w:rPr>
              <w:t xml:space="preserve">максимальный выброс</w:t>
            </w:r>
          </w:p>
        </w:tc>
        <w:tc>
          <w:tcPr>
            <w:tcW w:w="964" w:type="dxa"/>
          </w:tcPr>
          <w:p>
            <w:pPr>
              <w:pStyle w:val="0"/>
              <w:jc w:val="center"/>
            </w:pPr>
            <w:r>
              <w:rPr>
                <w:sz w:val="20"/>
              </w:rPr>
              <w:t xml:space="preserve">мг/м</w:t>
            </w:r>
            <w:r>
              <w:rPr>
                <w:sz w:val="20"/>
                <w:vertAlign w:val="superscript"/>
              </w:rPr>
              <w:t xml:space="preserve">3</w:t>
            </w:r>
          </w:p>
          <w:p>
            <w:pPr>
              <w:pStyle w:val="0"/>
              <w:jc w:val="center"/>
            </w:pPr>
            <w:r>
              <w:rPr>
                <w:sz w:val="20"/>
              </w:rPr>
              <w:t xml:space="preserve">--------</w:t>
            </w:r>
          </w:p>
          <w:p>
            <w:pPr>
              <w:pStyle w:val="0"/>
              <w:jc w:val="center"/>
            </w:pPr>
            <w:r>
              <w:rPr>
                <w:sz w:val="20"/>
              </w:rPr>
              <w:t xml:space="preserve">г/с</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углеводороды</w:t>
            </w:r>
          </w:p>
        </w:tc>
        <w:tc>
          <w:tcPr>
            <w:tcW w:w="1757" w:type="dxa"/>
          </w:tcPr>
          <w:p>
            <w:pPr>
              <w:pStyle w:val="0"/>
              <w:jc w:val="center"/>
            </w:pPr>
            <w:r>
              <w:rPr>
                <w:sz w:val="20"/>
              </w:rPr>
              <w:t xml:space="preserve">концентрация</w:t>
            </w:r>
          </w:p>
          <w:p>
            <w:pPr>
              <w:pStyle w:val="0"/>
              <w:jc w:val="center"/>
            </w:pPr>
            <w:r>
              <w:rPr>
                <w:sz w:val="20"/>
              </w:rPr>
              <w:t xml:space="preserve">------------------</w:t>
            </w:r>
          </w:p>
          <w:p>
            <w:pPr>
              <w:pStyle w:val="0"/>
              <w:jc w:val="center"/>
            </w:pPr>
            <w:r>
              <w:rPr>
                <w:sz w:val="20"/>
              </w:rPr>
              <w:t xml:space="preserve">максимальный выброс</w:t>
            </w:r>
          </w:p>
        </w:tc>
        <w:tc>
          <w:tcPr>
            <w:tcW w:w="964" w:type="dxa"/>
          </w:tcPr>
          <w:p>
            <w:pPr>
              <w:pStyle w:val="0"/>
              <w:jc w:val="center"/>
            </w:pPr>
            <w:r>
              <w:rPr>
                <w:sz w:val="20"/>
              </w:rPr>
              <w:t xml:space="preserve">мг/м</w:t>
            </w:r>
            <w:r>
              <w:rPr>
                <w:sz w:val="20"/>
                <w:vertAlign w:val="superscript"/>
              </w:rPr>
              <w:t xml:space="preserve">3</w:t>
            </w:r>
          </w:p>
          <w:p>
            <w:pPr>
              <w:pStyle w:val="0"/>
              <w:jc w:val="center"/>
            </w:pPr>
            <w:r>
              <w:rPr>
                <w:sz w:val="20"/>
              </w:rPr>
              <w:t xml:space="preserve">--------</w:t>
            </w:r>
          </w:p>
          <w:p>
            <w:pPr>
              <w:pStyle w:val="0"/>
              <w:jc w:val="center"/>
            </w:pPr>
            <w:r>
              <w:rPr>
                <w:sz w:val="20"/>
              </w:rPr>
              <w:t xml:space="preserve">г/с</w:t>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r>
        <w:tc>
          <w:tcPr>
            <w:tcW w:w="340"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662" w:type="dxa"/>
          </w:tcPr>
          <w:p>
            <w:pPr>
              <w:pStyle w:val="0"/>
            </w:pPr>
            <w:r>
              <w:rPr>
                <w:sz w:val="20"/>
              </w:rPr>
            </w:r>
          </w:p>
        </w:tc>
        <w:tc>
          <w:tcPr>
            <w:tcW w:w="1077"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c>
          <w:tcPr>
            <w:tcW w:w="40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 инвентаризации</w:t>
      </w:r>
    </w:p>
    <w:p>
      <w:pPr>
        <w:pStyle w:val="0"/>
        <w:jc w:val="right"/>
      </w:pPr>
      <w:r>
        <w:rPr>
          <w:sz w:val="20"/>
        </w:rPr>
        <w:t xml:space="preserve">стационарных источников и выбросов</w:t>
      </w:r>
    </w:p>
    <w:p>
      <w:pPr>
        <w:pStyle w:val="0"/>
        <w:jc w:val="right"/>
      </w:pPr>
      <w:r>
        <w:rPr>
          <w:sz w:val="20"/>
        </w:rPr>
        <w:t xml:space="preserve">загрязняющих веществ в атмосферный</w:t>
      </w:r>
    </w:p>
    <w:p>
      <w:pPr>
        <w:pStyle w:val="0"/>
        <w:jc w:val="right"/>
      </w:pPr>
      <w:r>
        <w:rPr>
          <w:sz w:val="20"/>
        </w:rPr>
        <w:t xml:space="preserve">воздух, корректировки ее данных,</w:t>
      </w:r>
    </w:p>
    <w:p>
      <w:pPr>
        <w:pStyle w:val="0"/>
        <w:jc w:val="right"/>
      </w:pPr>
      <w:r>
        <w:rPr>
          <w:sz w:val="20"/>
        </w:rPr>
        <w:t xml:space="preserve">документирования и хранения данных,</w:t>
      </w:r>
    </w:p>
    <w:p>
      <w:pPr>
        <w:pStyle w:val="0"/>
        <w:jc w:val="right"/>
      </w:pPr>
      <w:r>
        <w:rPr>
          <w:sz w:val="20"/>
        </w:rPr>
        <w:t xml:space="preserve">полученных в результате проведения</w:t>
      </w:r>
    </w:p>
    <w:p>
      <w:pPr>
        <w:pStyle w:val="0"/>
        <w:jc w:val="right"/>
      </w:pPr>
      <w:r>
        <w:rPr>
          <w:sz w:val="20"/>
        </w:rPr>
        <w:t xml:space="preserve">таких инвентаризации и корректировки,</w:t>
      </w:r>
    </w:p>
    <w:p>
      <w:pPr>
        <w:pStyle w:val="0"/>
        <w:jc w:val="right"/>
      </w:pPr>
      <w:r>
        <w:rPr>
          <w:sz w:val="20"/>
        </w:rPr>
        <w:t xml:space="preserve">утвержденному приказом Минприроды России</w:t>
      </w:r>
    </w:p>
    <w:p>
      <w:pPr>
        <w:pStyle w:val="0"/>
        <w:jc w:val="right"/>
      </w:pPr>
      <w:r>
        <w:rPr>
          <w:sz w:val="20"/>
        </w:rPr>
        <w:t xml:space="preserve">от 19.11.2021 N 871</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41" w:name="P541"/>
    <w:bookmarkEnd w:id="541"/>
    <w:p>
      <w:pPr>
        <w:pStyle w:val="0"/>
        <w:jc w:val="center"/>
      </w:pPr>
      <w:r>
        <w:rPr>
          <w:sz w:val="20"/>
        </w:rPr>
        <w:t xml:space="preserve">Документирование результатов инструментального</w:t>
      </w:r>
    </w:p>
    <w:p>
      <w:pPr>
        <w:pStyle w:val="0"/>
        <w:jc w:val="center"/>
      </w:pPr>
      <w:r>
        <w:rPr>
          <w:sz w:val="20"/>
        </w:rPr>
        <w:t xml:space="preserve">определения показателей выбросов</w:t>
      </w:r>
    </w:p>
    <w:p>
      <w:pPr>
        <w:pStyle w:val="0"/>
        <w:jc w:val="both"/>
      </w:pPr>
      <w:r>
        <w:rPr>
          <w:sz w:val="20"/>
        </w:rPr>
      </w:r>
    </w:p>
    <w:bookmarkStart w:id="544" w:name="P544"/>
    <w:bookmarkEnd w:id="544"/>
    <w:p>
      <w:pPr>
        <w:pStyle w:val="0"/>
        <w:outlineLvl w:val="2"/>
        <w:jc w:val="center"/>
      </w:pPr>
      <w:r>
        <w:rPr>
          <w:sz w:val="20"/>
        </w:rPr>
        <w:t xml:space="preserve">Таблица N 2.1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80"/>
        <w:gridCol w:w="964"/>
        <w:gridCol w:w="614"/>
        <w:gridCol w:w="1204"/>
        <w:gridCol w:w="1356"/>
        <w:gridCol w:w="1087"/>
        <w:gridCol w:w="790"/>
        <w:gridCol w:w="1077"/>
        <w:gridCol w:w="850"/>
        <w:gridCol w:w="794"/>
        <w:gridCol w:w="794"/>
        <w:gridCol w:w="794"/>
        <w:gridCol w:w="964"/>
      </w:tblGrid>
      <w:tr>
        <w:tc>
          <w:tcPr>
            <w:tcW w:w="510" w:type="dxa"/>
            <w:vMerge w:val="restart"/>
          </w:tcPr>
          <w:p>
            <w:pPr>
              <w:pStyle w:val="0"/>
              <w:jc w:val="center"/>
            </w:pPr>
            <w:r>
              <w:rPr>
                <w:sz w:val="20"/>
              </w:rPr>
              <w:t xml:space="preserve">N п/п</w:t>
            </w:r>
          </w:p>
        </w:tc>
        <w:tc>
          <w:tcPr>
            <w:tcW w:w="680" w:type="dxa"/>
            <w:vMerge w:val="restart"/>
          </w:tcPr>
          <w:p>
            <w:pPr>
              <w:pStyle w:val="0"/>
              <w:jc w:val="center"/>
            </w:pPr>
            <w:r>
              <w:rPr>
                <w:sz w:val="20"/>
              </w:rPr>
              <w:t xml:space="preserve">Дата</w:t>
            </w:r>
          </w:p>
        </w:tc>
        <w:tc>
          <w:tcPr>
            <w:tcW w:w="964" w:type="dxa"/>
            <w:vMerge w:val="restart"/>
          </w:tcPr>
          <w:p>
            <w:pPr>
              <w:pStyle w:val="0"/>
              <w:jc w:val="center"/>
            </w:pPr>
            <w:r>
              <w:rPr>
                <w:sz w:val="20"/>
              </w:rPr>
              <w:t xml:space="preserve">Наименование цеха, участка, наименование источника выделения, режим работы</w:t>
            </w:r>
          </w:p>
        </w:tc>
        <w:tc>
          <w:tcPr>
            <w:tcW w:w="614" w:type="dxa"/>
            <w:vMerge w:val="restart"/>
          </w:tcPr>
          <w:p>
            <w:pPr>
              <w:pStyle w:val="0"/>
              <w:jc w:val="center"/>
            </w:pPr>
            <w:r>
              <w:rPr>
                <w:sz w:val="20"/>
              </w:rPr>
              <w:t xml:space="preserve">ИЗАВ, его номер</w:t>
            </w:r>
          </w:p>
        </w:tc>
        <w:tc>
          <w:tcPr>
            <w:gridSpan w:val="4"/>
            <w:tcW w:w="4437" w:type="dxa"/>
          </w:tcPr>
          <w:p>
            <w:pPr>
              <w:pStyle w:val="0"/>
              <w:jc w:val="center"/>
            </w:pPr>
            <w:r>
              <w:rPr>
                <w:sz w:val="20"/>
              </w:rPr>
              <w:t xml:space="preserve">Показатели отходящих газов в месте измерений</w:t>
            </w:r>
          </w:p>
        </w:tc>
        <w:tc>
          <w:tcPr>
            <w:tcW w:w="1077" w:type="dxa"/>
            <w:vMerge w:val="restart"/>
          </w:tcPr>
          <w:p>
            <w:pPr>
              <w:pStyle w:val="0"/>
              <w:jc w:val="center"/>
            </w:pPr>
            <w:r>
              <w:rPr>
                <w:sz w:val="20"/>
              </w:rPr>
              <w:t xml:space="preserve">Наименование и код загрязняющего вещества (воздух)</w:t>
            </w:r>
          </w:p>
        </w:tc>
        <w:tc>
          <w:tcPr>
            <w:tcW w:w="850" w:type="dxa"/>
            <w:vMerge w:val="restart"/>
          </w:tcPr>
          <w:p>
            <w:pPr>
              <w:pStyle w:val="0"/>
              <w:jc w:val="center"/>
            </w:pPr>
            <w:r>
              <w:rPr>
                <w:sz w:val="20"/>
              </w:rPr>
              <w:t xml:space="preserve">Методика выполнения измерений</w:t>
            </w:r>
          </w:p>
        </w:tc>
        <w:tc>
          <w:tcPr>
            <w:tcW w:w="794" w:type="dxa"/>
            <w:vMerge w:val="restart"/>
          </w:tcPr>
          <w:p>
            <w:pPr>
              <w:pStyle w:val="0"/>
              <w:jc w:val="center"/>
            </w:pPr>
            <w:r>
              <w:rPr>
                <w:sz w:val="20"/>
              </w:rPr>
              <w:t xml:space="preserve">Массовая концентрация ЗВ, мг/м</w:t>
            </w:r>
            <w:r>
              <w:rPr>
                <w:sz w:val="20"/>
                <w:vertAlign w:val="superscript"/>
              </w:rPr>
              <w:t xml:space="preserve">3</w:t>
            </w:r>
          </w:p>
        </w:tc>
        <w:tc>
          <w:tcPr>
            <w:tcW w:w="794" w:type="dxa"/>
            <w:vMerge w:val="restart"/>
          </w:tcPr>
          <w:p>
            <w:pPr>
              <w:pStyle w:val="0"/>
              <w:jc w:val="center"/>
            </w:pPr>
            <w:r>
              <w:rPr>
                <w:sz w:val="20"/>
              </w:rPr>
              <w:t xml:space="preserve">Выбросы ЗВ, г/сек.</w:t>
            </w:r>
          </w:p>
        </w:tc>
        <w:tc>
          <w:tcPr>
            <w:tcW w:w="794" w:type="dxa"/>
            <w:vMerge w:val="restart"/>
          </w:tcPr>
          <w:p>
            <w:pPr>
              <w:pStyle w:val="0"/>
              <w:jc w:val="center"/>
            </w:pPr>
            <w:r>
              <w:rPr>
                <w:sz w:val="20"/>
              </w:rPr>
              <w:t xml:space="preserve">Выброс ЗВ ср., г/с</w:t>
            </w:r>
          </w:p>
        </w:tc>
        <w:tc>
          <w:tcPr>
            <w:tcW w:w="964" w:type="dxa"/>
            <w:vMerge w:val="restart"/>
          </w:tcPr>
          <w:p>
            <w:pPr>
              <w:pStyle w:val="0"/>
              <w:jc w:val="center"/>
            </w:pPr>
            <w:r>
              <w:rPr>
                <w:sz w:val="20"/>
              </w:rPr>
              <w:t xml:space="preserve">Выброс ЗВ максимальный, г/с</w:t>
            </w:r>
          </w:p>
        </w:tc>
      </w:tr>
      <w:tr>
        <w:tc>
          <w:tcPr>
            <w:vMerge w:val="continue"/>
          </w:tcPr>
          <w:p/>
        </w:tc>
        <w:tc>
          <w:tcPr>
            <w:vMerge w:val="continue"/>
          </w:tcPr>
          <w:p/>
        </w:tc>
        <w:tc>
          <w:tcPr>
            <w:vMerge w:val="continue"/>
          </w:tcPr>
          <w:p/>
        </w:tc>
        <w:tc>
          <w:tcPr>
            <w:vMerge w:val="continue"/>
          </w:tcPr>
          <w:p/>
        </w:tc>
        <w:tc>
          <w:tcPr>
            <w:tcW w:w="1204" w:type="dxa"/>
          </w:tcPr>
          <w:p>
            <w:pPr>
              <w:pStyle w:val="0"/>
              <w:jc w:val="center"/>
            </w:pPr>
            <w:r>
              <w:rPr>
                <w:sz w:val="20"/>
              </w:rPr>
              <w:t xml:space="preserve">Диаметр (размер сечения), м</w:t>
            </w:r>
          </w:p>
          <w:p>
            <w:pPr>
              <w:pStyle w:val="0"/>
              <w:jc w:val="center"/>
            </w:pPr>
            <w:r>
              <w:rPr>
                <w:sz w:val="20"/>
              </w:rPr>
              <w:t xml:space="preserve">и</w:t>
            </w:r>
          </w:p>
          <w:p>
            <w:pPr>
              <w:pStyle w:val="0"/>
              <w:jc w:val="center"/>
            </w:pPr>
            <w:r>
              <w:rPr>
                <w:sz w:val="20"/>
              </w:rPr>
              <w:t xml:space="preserve">Скорость, м/с</w:t>
            </w:r>
          </w:p>
        </w:tc>
        <w:tc>
          <w:tcPr>
            <w:tcW w:w="1356" w:type="dxa"/>
          </w:tcPr>
          <w:p>
            <w:pPr>
              <w:pStyle w:val="0"/>
              <w:jc w:val="center"/>
            </w:pPr>
            <w:r>
              <w:rPr>
                <w:sz w:val="20"/>
              </w:rPr>
              <w:t xml:space="preserve">Объемный расход, м</w:t>
            </w:r>
            <w:r>
              <w:rPr>
                <w:sz w:val="20"/>
                <w:vertAlign w:val="superscript"/>
              </w:rPr>
              <w:t xml:space="preserve">3</w:t>
            </w:r>
            <w:r>
              <w:rPr>
                <w:sz w:val="20"/>
              </w:rPr>
              <w:t xml:space="preserve">/с, при фактических условиях</w:t>
            </w:r>
          </w:p>
          <w:p>
            <w:pPr>
              <w:pStyle w:val="0"/>
              <w:jc w:val="center"/>
            </w:pPr>
            <w:r>
              <w:rPr>
                <w:sz w:val="20"/>
              </w:rPr>
              <w:t xml:space="preserve">и</w:t>
            </w:r>
          </w:p>
          <w:p>
            <w:pPr>
              <w:pStyle w:val="0"/>
              <w:jc w:val="center"/>
            </w:pPr>
            <w:r>
              <w:rPr>
                <w:sz w:val="20"/>
              </w:rPr>
              <w:t xml:space="preserve">при нормальных условиях</w:t>
            </w:r>
          </w:p>
        </w:tc>
        <w:tc>
          <w:tcPr>
            <w:tcW w:w="1087" w:type="dxa"/>
          </w:tcPr>
          <w:p>
            <w:pPr>
              <w:pStyle w:val="0"/>
              <w:jc w:val="center"/>
            </w:pPr>
            <w:r>
              <w:rPr>
                <w:sz w:val="20"/>
              </w:rPr>
              <w:t xml:space="preserve">Температура, °C</w:t>
            </w:r>
          </w:p>
          <w:p>
            <w:pPr>
              <w:pStyle w:val="0"/>
              <w:jc w:val="center"/>
            </w:pPr>
            <w:r>
              <w:rPr>
                <w:sz w:val="20"/>
              </w:rPr>
              <w:t xml:space="preserve">----------</w:t>
            </w:r>
          </w:p>
          <w:p>
            <w:pPr>
              <w:pStyle w:val="0"/>
              <w:jc w:val="center"/>
            </w:pPr>
            <w:r>
              <w:rPr>
                <w:sz w:val="20"/>
              </w:rPr>
              <w:t xml:space="preserve">Давление или разряжение, кПа (Па) или мм рт. ст. (мм вод. ст.)</w:t>
            </w:r>
          </w:p>
        </w:tc>
        <w:tc>
          <w:tcPr>
            <w:tcW w:w="790" w:type="dxa"/>
          </w:tcPr>
          <w:p>
            <w:pPr>
              <w:pStyle w:val="0"/>
              <w:jc w:val="center"/>
            </w:pPr>
            <w:r>
              <w:rPr>
                <w:sz w:val="20"/>
              </w:rPr>
              <w:t xml:space="preserve">Концентрация паров воды, (г/м</w:t>
            </w:r>
            <w:r>
              <w:rPr>
                <w:sz w:val="20"/>
                <w:vertAlign w:val="subscript"/>
              </w:rPr>
              <w:t xml:space="preserve">н</w:t>
            </w:r>
            <w:r>
              <w:rPr>
                <w:sz w:val="20"/>
                <w:vertAlign w:val="superscript"/>
              </w:rPr>
              <w:t xml:space="preserve">3</w:t>
            </w: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680" w:type="dxa"/>
          </w:tcPr>
          <w:p>
            <w:pPr>
              <w:pStyle w:val="0"/>
              <w:jc w:val="center"/>
            </w:pPr>
            <w:r>
              <w:rPr>
                <w:sz w:val="20"/>
              </w:rPr>
              <w:t xml:space="preserve">2</w:t>
            </w:r>
          </w:p>
        </w:tc>
        <w:tc>
          <w:tcPr>
            <w:tcW w:w="964" w:type="dxa"/>
          </w:tcPr>
          <w:p>
            <w:pPr>
              <w:pStyle w:val="0"/>
              <w:jc w:val="center"/>
            </w:pPr>
            <w:r>
              <w:rPr>
                <w:sz w:val="20"/>
              </w:rPr>
              <w:t xml:space="preserve">3</w:t>
            </w:r>
          </w:p>
        </w:tc>
        <w:tc>
          <w:tcPr>
            <w:tcW w:w="614" w:type="dxa"/>
          </w:tcPr>
          <w:p>
            <w:pPr>
              <w:pStyle w:val="0"/>
              <w:jc w:val="center"/>
            </w:pPr>
            <w:r>
              <w:rPr>
                <w:sz w:val="20"/>
              </w:rPr>
              <w:t xml:space="preserve">4</w:t>
            </w:r>
          </w:p>
        </w:tc>
        <w:tc>
          <w:tcPr>
            <w:tcW w:w="1204" w:type="dxa"/>
          </w:tcPr>
          <w:p>
            <w:pPr>
              <w:pStyle w:val="0"/>
              <w:jc w:val="center"/>
            </w:pPr>
            <w:r>
              <w:rPr>
                <w:sz w:val="20"/>
              </w:rPr>
              <w:t xml:space="preserve">5</w:t>
            </w:r>
          </w:p>
        </w:tc>
        <w:tc>
          <w:tcPr>
            <w:tcW w:w="1356" w:type="dxa"/>
          </w:tcPr>
          <w:p>
            <w:pPr>
              <w:pStyle w:val="0"/>
              <w:jc w:val="center"/>
            </w:pPr>
            <w:r>
              <w:rPr>
                <w:sz w:val="20"/>
              </w:rPr>
              <w:t xml:space="preserve">6</w:t>
            </w:r>
          </w:p>
        </w:tc>
        <w:tc>
          <w:tcPr>
            <w:tcW w:w="1087" w:type="dxa"/>
          </w:tcPr>
          <w:p>
            <w:pPr>
              <w:pStyle w:val="0"/>
              <w:jc w:val="center"/>
            </w:pPr>
            <w:r>
              <w:rPr>
                <w:sz w:val="20"/>
              </w:rPr>
              <w:t xml:space="preserve">7</w:t>
            </w:r>
          </w:p>
        </w:tc>
        <w:tc>
          <w:tcPr>
            <w:tcW w:w="790" w:type="dxa"/>
          </w:tcPr>
          <w:p>
            <w:pPr>
              <w:pStyle w:val="0"/>
              <w:jc w:val="center"/>
            </w:pPr>
            <w:r>
              <w:rPr>
                <w:sz w:val="20"/>
              </w:rPr>
              <w:t xml:space="preserve">8</w:t>
            </w:r>
          </w:p>
        </w:tc>
        <w:tc>
          <w:tcPr>
            <w:tcW w:w="1077" w:type="dxa"/>
          </w:tcPr>
          <w:p>
            <w:pPr>
              <w:pStyle w:val="0"/>
              <w:jc w:val="center"/>
            </w:pPr>
            <w:r>
              <w:rPr>
                <w:sz w:val="20"/>
              </w:rPr>
              <w:t xml:space="preserve">9</w:t>
            </w:r>
          </w:p>
        </w:tc>
        <w:tc>
          <w:tcPr>
            <w:tcW w:w="850"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794" w:type="dxa"/>
          </w:tcPr>
          <w:p>
            <w:pPr>
              <w:pStyle w:val="0"/>
              <w:jc w:val="center"/>
            </w:pPr>
            <w:r>
              <w:rPr>
                <w:sz w:val="20"/>
              </w:rPr>
              <w:t xml:space="preserve">13</w:t>
            </w:r>
          </w:p>
        </w:tc>
        <w:tc>
          <w:tcPr>
            <w:tcW w:w="964" w:type="dxa"/>
          </w:tcPr>
          <w:p>
            <w:pPr>
              <w:pStyle w:val="0"/>
              <w:jc w:val="center"/>
            </w:pPr>
            <w:r>
              <w:rPr>
                <w:sz w:val="20"/>
              </w:rPr>
              <w:t xml:space="preserve">14</w:t>
            </w:r>
          </w:p>
        </w:tc>
      </w:tr>
      <w:tr>
        <w:tc>
          <w:tcPr>
            <w:tcW w:w="510" w:type="dxa"/>
            <w:vMerge w:val="restart"/>
          </w:tcPr>
          <w:p>
            <w:pPr>
              <w:pStyle w:val="0"/>
            </w:pPr>
            <w:r>
              <w:rPr>
                <w:sz w:val="20"/>
              </w:rPr>
            </w:r>
          </w:p>
        </w:tc>
        <w:tc>
          <w:tcPr>
            <w:tcW w:w="680" w:type="dxa"/>
          </w:tcPr>
          <w:p>
            <w:pPr>
              <w:pStyle w:val="0"/>
            </w:pPr>
            <w:r>
              <w:rPr>
                <w:sz w:val="20"/>
              </w:rPr>
            </w:r>
          </w:p>
        </w:tc>
        <w:tc>
          <w:tcPr>
            <w:tcW w:w="964" w:type="dxa"/>
          </w:tcPr>
          <w:p>
            <w:pPr>
              <w:pStyle w:val="0"/>
            </w:pPr>
            <w:r>
              <w:rPr>
                <w:sz w:val="20"/>
              </w:rPr>
            </w:r>
          </w:p>
        </w:tc>
        <w:tc>
          <w:tcPr>
            <w:tcW w:w="614" w:type="dxa"/>
          </w:tcPr>
          <w:p>
            <w:pPr>
              <w:pStyle w:val="0"/>
            </w:pPr>
            <w:r>
              <w:rPr>
                <w:sz w:val="20"/>
              </w:rPr>
            </w:r>
          </w:p>
        </w:tc>
        <w:tc>
          <w:tcPr>
            <w:tcW w:w="1204" w:type="dxa"/>
          </w:tcPr>
          <w:p>
            <w:pPr>
              <w:pStyle w:val="0"/>
            </w:pPr>
            <w:r>
              <w:rPr>
                <w:sz w:val="20"/>
              </w:rPr>
            </w:r>
          </w:p>
        </w:tc>
        <w:tc>
          <w:tcPr>
            <w:tcW w:w="1356" w:type="dxa"/>
          </w:tcPr>
          <w:p>
            <w:pPr>
              <w:pStyle w:val="0"/>
            </w:pPr>
            <w:r>
              <w:rPr>
                <w:sz w:val="20"/>
              </w:rPr>
            </w:r>
          </w:p>
        </w:tc>
        <w:tc>
          <w:tcPr>
            <w:tcW w:w="1087" w:type="dxa"/>
          </w:tcPr>
          <w:p>
            <w:pPr>
              <w:pStyle w:val="0"/>
            </w:pPr>
            <w:r>
              <w:rPr>
                <w:sz w:val="20"/>
              </w:rPr>
            </w:r>
          </w:p>
        </w:tc>
        <w:tc>
          <w:tcPr>
            <w:tcW w:w="79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vMerge w:val="restart"/>
          </w:tcPr>
          <w:p>
            <w:pPr>
              <w:pStyle w:val="0"/>
            </w:pPr>
            <w:r>
              <w:rPr>
                <w:sz w:val="20"/>
              </w:rPr>
            </w:r>
          </w:p>
        </w:tc>
        <w:tc>
          <w:tcPr>
            <w:tcW w:w="964" w:type="dxa"/>
            <w:vMerge w:val="restart"/>
          </w:tcPr>
          <w:p>
            <w:pPr>
              <w:pStyle w:val="0"/>
            </w:pPr>
            <w:r>
              <w:rPr>
                <w:sz w:val="20"/>
              </w:rPr>
            </w:r>
          </w:p>
        </w:tc>
      </w:tr>
      <w:tr>
        <w:tc>
          <w:tcPr>
            <w:vMerge w:val="continue"/>
          </w:tcPr>
          <w:p/>
        </w:tc>
        <w:tc>
          <w:tcPr>
            <w:tcW w:w="680" w:type="dxa"/>
          </w:tcPr>
          <w:p>
            <w:pPr>
              <w:pStyle w:val="0"/>
            </w:pPr>
            <w:r>
              <w:rPr>
                <w:sz w:val="20"/>
              </w:rPr>
            </w:r>
          </w:p>
        </w:tc>
        <w:tc>
          <w:tcPr>
            <w:tcW w:w="964" w:type="dxa"/>
          </w:tcPr>
          <w:p>
            <w:pPr>
              <w:pStyle w:val="0"/>
            </w:pPr>
            <w:r>
              <w:rPr>
                <w:sz w:val="20"/>
              </w:rPr>
            </w:r>
          </w:p>
        </w:tc>
        <w:tc>
          <w:tcPr>
            <w:tcW w:w="614" w:type="dxa"/>
          </w:tcPr>
          <w:p>
            <w:pPr>
              <w:pStyle w:val="0"/>
            </w:pPr>
            <w:r>
              <w:rPr>
                <w:sz w:val="20"/>
              </w:rPr>
            </w:r>
          </w:p>
        </w:tc>
        <w:tc>
          <w:tcPr>
            <w:tcW w:w="1204" w:type="dxa"/>
          </w:tcPr>
          <w:p>
            <w:pPr>
              <w:pStyle w:val="0"/>
            </w:pPr>
            <w:r>
              <w:rPr>
                <w:sz w:val="20"/>
              </w:rPr>
            </w:r>
          </w:p>
        </w:tc>
        <w:tc>
          <w:tcPr>
            <w:tcW w:w="1356" w:type="dxa"/>
          </w:tcPr>
          <w:p>
            <w:pPr>
              <w:pStyle w:val="0"/>
            </w:pPr>
            <w:r>
              <w:rPr>
                <w:sz w:val="20"/>
              </w:rPr>
            </w:r>
          </w:p>
        </w:tc>
        <w:tc>
          <w:tcPr>
            <w:tcW w:w="1087" w:type="dxa"/>
          </w:tcPr>
          <w:p>
            <w:pPr>
              <w:pStyle w:val="0"/>
            </w:pPr>
            <w:r>
              <w:rPr>
                <w:sz w:val="20"/>
              </w:rPr>
            </w:r>
          </w:p>
        </w:tc>
        <w:tc>
          <w:tcPr>
            <w:tcW w:w="79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vMerge w:val="continue"/>
          </w:tcPr>
          <w:p/>
        </w:tc>
        <w:tc>
          <w:tcPr>
            <w:vMerge w:val="continue"/>
          </w:tcPr>
          <w:p/>
        </w:tc>
      </w:tr>
      <w:tr>
        <w:tc>
          <w:tcPr>
            <w:vMerge w:val="continue"/>
          </w:tcPr>
          <w:p/>
        </w:tc>
        <w:tc>
          <w:tcPr>
            <w:tcW w:w="680" w:type="dxa"/>
          </w:tcPr>
          <w:p>
            <w:pPr>
              <w:pStyle w:val="0"/>
            </w:pPr>
            <w:r>
              <w:rPr>
                <w:sz w:val="20"/>
              </w:rPr>
            </w:r>
          </w:p>
        </w:tc>
        <w:tc>
          <w:tcPr>
            <w:tcW w:w="964" w:type="dxa"/>
          </w:tcPr>
          <w:p>
            <w:pPr>
              <w:pStyle w:val="0"/>
            </w:pPr>
            <w:r>
              <w:rPr>
                <w:sz w:val="20"/>
              </w:rPr>
            </w:r>
          </w:p>
        </w:tc>
        <w:tc>
          <w:tcPr>
            <w:tcW w:w="614" w:type="dxa"/>
          </w:tcPr>
          <w:p>
            <w:pPr>
              <w:pStyle w:val="0"/>
            </w:pPr>
            <w:r>
              <w:rPr>
                <w:sz w:val="20"/>
              </w:rPr>
            </w:r>
          </w:p>
        </w:tc>
        <w:tc>
          <w:tcPr>
            <w:tcW w:w="1204" w:type="dxa"/>
          </w:tcPr>
          <w:p>
            <w:pPr>
              <w:pStyle w:val="0"/>
            </w:pPr>
            <w:r>
              <w:rPr>
                <w:sz w:val="20"/>
              </w:rPr>
            </w:r>
          </w:p>
        </w:tc>
        <w:tc>
          <w:tcPr>
            <w:tcW w:w="1356" w:type="dxa"/>
          </w:tcPr>
          <w:p>
            <w:pPr>
              <w:pStyle w:val="0"/>
            </w:pPr>
            <w:r>
              <w:rPr>
                <w:sz w:val="20"/>
              </w:rPr>
            </w:r>
          </w:p>
        </w:tc>
        <w:tc>
          <w:tcPr>
            <w:tcW w:w="1087" w:type="dxa"/>
          </w:tcPr>
          <w:p>
            <w:pPr>
              <w:pStyle w:val="0"/>
            </w:pPr>
            <w:r>
              <w:rPr>
                <w:sz w:val="20"/>
              </w:rPr>
            </w:r>
          </w:p>
        </w:tc>
        <w:tc>
          <w:tcPr>
            <w:tcW w:w="79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 инвентаризации</w:t>
      </w:r>
    </w:p>
    <w:p>
      <w:pPr>
        <w:pStyle w:val="0"/>
        <w:jc w:val="right"/>
      </w:pPr>
      <w:r>
        <w:rPr>
          <w:sz w:val="20"/>
        </w:rPr>
        <w:t xml:space="preserve">стационарных источников и выбросов</w:t>
      </w:r>
    </w:p>
    <w:p>
      <w:pPr>
        <w:pStyle w:val="0"/>
        <w:jc w:val="right"/>
      </w:pPr>
      <w:r>
        <w:rPr>
          <w:sz w:val="20"/>
        </w:rPr>
        <w:t xml:space="preserve">загрязняющих веществ в атмосферный</w:t>
      </w:r>
    </w:p>
    <w:p>
      <w:pPr>
        <w:pStyle w:val="0"/>
        <w:jc w:val="right"/>
      </w:pPr>
      <w:r>
        <w:rPr>
          <w:sz w:val="20"/>
        </w:rPr>
        <w:t xml:space="preserve">воздух, корректировки ее данных,</w:t>
      </w:r>
    </w:p>
    <w:p>
      <w:pPr>
        <w:pStyle w:val="0"/>
        <w:jc w:val="right"/>
      </w:pPr>
      <w:r>
        <w:rPr>
          <w:sz w:val="20"/>
        </w:rPr>
        <w:t xml:space="preserve">документирования и хранения данных,</w:t>
      </w:r>
    </w:p>
    <w:p>
      <w:pPr>
        <w:pStyle w:val="0"/>
        <w:jc w:val="right"/>
      </w:pPr>
      <w:r>
        <w:rPr>
          <w:sz w:val="20"/>
        </w:rPr>
        <w:t xml:space="preserve">полученных в результате проведения</w:t>
      </w:r>
    </w:p>
    <w:p>
      <w:pPr>
        <w:pStyle w:val="0"/>
        <w:jc w:val="right"/>
      </w:pPr>
      <w:r>
        <w:rPr>
          <w:sz w:val="20"/>
        </w:rPr>
        <w:t xml:space="preserve">таких инвентаризации и корректировки,</w:t>
      </w:r>
    </w:p>
    <w:p>
      <w:pPr>
        <w:pStyle w:val="0"/>
        <w:jc w:val="right"/>
      </w:pPr>
      <w:r>
        <w:rPr>
          <w:sz w:val="20"/>
        </w:rPr>
        <w:t xml:space="preserve">утвержденному приказом Минприроды России</w:t>
      </w:r>
    </w:p>
    <w:p>
      <w:pPr>
        <w:pStyle w:val="0"/>
        <w:jc w:val="right"/>
      </w:pPr>
      <w:r>
        <w:rPr>
          <w:sz w:val="20"/>
        </w:rPr>
        <w:t xml:space="preserve">от 19.11.2021 N 871</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635" w:name="P635"/>
    <w:bookmarkEnd w:id="635"/>
    <w:p>
      <w:pPr>
        <w:pStyle w:val="0"/>
        <w:jc w:val="center"/>
      </w:pPr>
      <w:r>
        <w:rPr>
          <w:sz w:val="20"/>
        </w:rPr>
        <w:t xml:space="preserve">Таблицы</w:t>
      </w:r>
    </w:p>
    <w:p>
      <w:pPr>
        <w:pStyle w:val="0"/>
        <w:jc w:val="center"/>
      </w:pPr>
      <w:r>
        <w:rPr>
          <w:sz w:val="20"/>
        </w:rPr>
        <w:t xml:space="preserve">для документирования результатов выявления ИЗАВ, определения</w:t>
      </w:r>
    </w:p>
    <w:p>
      <w:pPr>
        <w:pStyle w:val="0"/>
        <w:jc w:val="center"/>
      </w:pPr>
      <w:r>
        <w:rPr>
          <w:sz w:val="20"/>
        </w:rPr>
        <w:t xml:space="preserve">их характеристик и определения качественного</w:t>
      </w:r>
    </w:p>
    <w:p>
      <w:pPr>
        <w:pStyle w:val="0"/>
        <w:jc w:val="center"/>
      </w:pPr>
      <w:r>
        <w:rPr>
          <w:sz w:val="20"/>
        </w:rPr>
        <w:t xml:space="preserve">и количественного состава выбросов ЗВ</w:t>
      </w:r>
    </w:p>
    <w:p>
      <w:pPr>
        <w:pStyle w:val="0"/>
        <w:jc w:val="both"/>
      </w:pPr>
      <w:r>
        <w:rPr>
          <w:sz w:val="20"/>
        </w:rPr>
      </w:r>
    </w:p>
    <w:bookmarkStart w:id="640" w:name="P640"/>
    <w:bookmarkEnd w:id="640"/>
    <w:p>
      <w:pPr>
        <w:pStyle w:val="0"/>
        <w:outlineLvl w:val="2"/>
        <w:jc w:val="center"/>
      </w:pPr>
      <w:r>
        <w:rPr>
          <w:sz w:val="20"/>
        </w:rPr>
        <w:t xml:space="preserve">Таблица N 3.1</w:t>
      </w:r>
    </w:p>
    <w:p>
      <w:pPr>
        <w:pStyle w:val="0"/>
        <w:jc w:val="center"/>
      </w:pPr>
      <w:r>
        <w:rPr>
          <w:sz w:val="20"/>
        </w:rPr>
        <w:t xml:space="preserve">Источники выделения загрязняющих веществ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0"/>
        <w:gridCol w:w="838"/>
        <w:gridCol w:w="950"/>
        <w:gridCol w:w="737"/>
        <w:gridCol w:w="907"/>
        <w:gridCol w:w="907"/>
        <w:gridCol w:w="1304"/>
        <w:gridCol w:w="859"/>
        <w:gridCol w:w="932"/>
        <w:gridCol w:w="838"/>
        <w:gridCol w:w="604"/>
        <w:gridCol w:w="880"/>
        <w:gridCol w:w="768"/>
        <w:gridCol w:w="845"/>
        <w:gridCol w:w="852"/>
        <w:gridCol w:w="1367"/>
        <w:gridCol w:w="1389"/>
        <w:gridCol w:w="892"/>
      </w:tblGrid>
      <w:tr>
        <w:tc>
          <w:tcPr>
            <w:tcW w:w="620" w:type="dxa"/>
            <w:vMerge w:val="restart"/>
          </w:tcPr>
          <w:p>
            <w:pPr>
              <w:pStyle w:val="0"/>
              <w:jc w:val="center"/>
            </w:pPr>
            <w:r>
              <w:rPr>
                <w:sz w:val="20"/>
              </w:rPr>
              <w:t xml:space="preserve">N цеха</w:t>
            </w:r>
          </w:p>
        </w:tc>
        <w:tc>
          <w:tcPr>
            <w:tcW w:w="838" w:type="dxa"/>
            <w:vMerge w:val="restart"/>
          </w:tcPr>
          <w:p>
            <w:pPr>
              <w:pStyle w:val="0"/>
              <w:jc w:val="center"/>
            </w:pPr>
            <w:r>
              <w:rPr>
                <w:sz w:val="20"/>
              </w:rPr>
              <w:t xml:space="preserve">Наименование цеха</w:t>
            </w:r>
          </w:p>
        </w:tc>
        <w:tc>
          <w:tcPr>
            <w:tcW w:w="950" w:type="dxa"/>
            <w:vMerge w:val="restart"/>
          </w:tcPr>
          <w:p>
            <w:pPr>
              <w:pStyle w:val="0"/>
              <w:jc w:val="center"/>
            </w:pPr>
            <w:r>
              <w:rPr>
                <w:sz w:val="20"/>
              </w:rPr>
              <w:t xml:space="preserve">N участка</w:t>
            </w:r>
          </w:p>
        </w:tc>
        <w:tc>
          <w:tcPr>
            <w:tcW w:w="737" w:type="dxa"/>
            <w:vMerge w:val="restart"/>
          </w:tcPr>
          <w:p>
            <w:pPr>
              <w:pStyle w:val="0"/>
              <w:jc w:val="center"/>
            </w:pPr>
            <w:r>
              <w:rPr>
                <w:sz w:val="20"/>
              </w:rPr>
              <w:t xml:space="preserve">Наименование участка</w:t>
            </w:r>
          </w:p>
        </w:tc>
        <w:tc>
          <w:tcPr>
            <w:tcW w:w="907" w:type="dxa"/>
            <w:vMerge w:val="restart"/>
          </w:tcPr>
          <w:p>
            <w:pPr>
              <w:pStyle w:val="0"/>
              <w:jc w:val="center"/>
            </w:pPr>
            <w:r>
              <w:rPr>
                <w:sz w:val="20"/>
              </w:rPr>
              <w:t xml:space="preserve">Номер источника выделения (ИВ)</w:t>
            </w:r>
          </w:p>
        </w:tc>
        <w:tc>
          <w:tcPr>
            <w:tcW w:w="907" w:type="dxa"/>
            <w:vMerge w:val="restart"/>
          </w:tcPr>
          <w:p>
            <w:pPr>
              <w:pStyle w:val="0"/>
              <w:jc w:val="center"/>
            </w:pPr>
            <w:r>
              <w:rPr>
                <w:sz w:val="20"/>
              </w:rPr>
              <w:t xml:space="preserve">Наименование источника выделения (ИВ)</w:t>
            </w:r>
          </w:p>
        </w:tc>
        <w:tc>
          <w:tcPr>
            <w:tcW w:w="1304" w:type="dxa"/>
            <w:vMerge w:val="restart"/>
          </w:tcPr>
          <w:p>
            <w:pPr>
              <w:pStyle w:val="0"/>
              <w:jc w:val="center"/>
            </w:pPr>
            <w:r>
              <w:rPr>
                <w:sz w:val="20"/>
              </w:rPr>
              <w:t xml:space="preserve">Характеристика нестационарности работы ИВ (N режима нестационарности)</w:t>
            </w:r>
          </w:p>
        </w:tc>
        <w:tc>
          <w:tcPr>
            <w:gridSpan w:val="2"/>
            <w:tcW w:w="1791" w:type="dxa"/>
          </w:tcPr>
          <w:p>
            <w:pPr>
              <w:pStyle w:val="0"/>
              <w:jc w:val="center"/>
            </w:pPr>
            <w:r>
              <w:rPr>
                <w:sz w:val="20"/>
              </w:rPr>
              <w:t xml:space="preserve">Время работы ИВ с учетом нестационарности</w:t>
            </w:r>
          </w:p>
        </w:tc>
        <w:tc>
          <w:tcPr>
            <w:tcW w:w="838" w:type="dxa"/>
            <w:vMerge w:val="restart"/>
          </w:tcPr>
          <w:p>
            <w:pPr>
              <w:pStyle w:val="0"/>
              <w:jc w:val="center"/>
            </w:pPr>
            <w:r>
              <w:rPr>
                <w:sz w:val="20"/>
              </w:rPr>
              <w:t xml:space="preserve">Количество ИВ под одним номером</w:t>
            </w:r>
          </w:p>
        </w:tc>
        <w:tc>
          <w:tcPr>
            <w:gridSpan w:val="2"/>
            <w:tcW w:w="1484" w:type="dxa"/>
          </w:tcPr>
          <w:p>
            <w:pPr>
              <w:pStyle w:val="0"/>
              <w:jc w:val="center"/>
            </w:pPr>
            <w:r>
              <w:rPr>
                <w:sz w:val="20"/>
              </w:rPr>
              <w:t xml:space="preserve">Загрязняющее вещество</w:t>
            </w:r>
          </w:p>
        </w:tc>
        <w:tc>
          <w:tcPr>
            <w:gridSpan w:val="3"/>
            <w:tcW w:w="2465" w:type="dxa"/>
          </w:tcPr>
          <w:p>
            <w:pPr>
              <w:pStyle w:val="0"/>
              <w:jc w:val="center"/>
            </w:pPr>
            <w:r>
              <w:rPr>
                <w:sz w:val="20"/>
              </w:rPr>
              <w:t xml:space="preserve">Количество ЗВ, отходящих от ИВ</w:t>
            </w:r>
          </w:p>
        </w:tc>
        <w:tc>
          <w:tcPr>
            <w:tcW w:w="1367" w:type="dxa"/>
            <w:vMerge w:val="restart"/>
          </w:tcPr>
          <w:p>
            <w:pPr>
              <w:pStyle w:val="0"/>
              <w:jc w:val="center"/>
            </w:pPr>
            <w:r>
              <w:rPr>
                <w:sz w:val="20"/>
              </w:rPr>
              <w:t xml:space="preserve">Инвентарный N газоочистного оборудования - установок очистки газа (если проводится очистка)</w:t>
            </w:r>
          </w:p>
        </w:tc>
        <w:tc>
          <w:tcPr>
            <w:tcW w:w="1389" w:type="dxa"/>
            <w:vMerge w:val="restart"/>
          </w:tcPr>
          <w:p>
            <w:pPr>
              <w:pStyle w:val="0"/>
              <w:jc w:val="center"/>
            </w:pPr>
            <w:r>
              <w:rPr>
                <w:sz w:val="20"/>
              </w:rPr>
              <w:t xml:space="preserve">Номер ИЗАВ, в который поступают загрязняющие вещества от источника выделения</w:t>
            </w:r>
          </w:p>
        </w:tc>
        <w:tc>
          <w:tcPr>
            <w:tcW w:w="892"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9" w:type="dxa"/>
            <w:vMerge w:val="restart"/>
          </w:tcPr>
          <w:p>
            <w:pPr>
              <w:pStyle w:val="0"/>
              <w:jc w:val="center"/>
            </w:pPr>
            <w:r>
              <w:rPr>
                <w:sz w:val="20"/>
              </w:rPr>
              <w:t xml:space="preserve">В сутки, час/сутки</w:t>
            </w:r>
          </w:p>
        </w:tc>
        <w:tc>
          <w:tcPr>
            <w:tcW w:w="932" w:type="dxa"/>
            <w:vMerge w:val="restart"/>
          </w:tcPr>
          <w:p>
            <w:pPr>
              <w:pStyle w:val="0"/>
              <w:jc w:val="center"/>
            </w:pPr>
            <w:r>
              <w:rPr>
                <w:sz w:val="20"/>
              </w:rPr>
              <w:t xml:space="preserve">Всего за год, часов</w:t>
            </w:r>
          </w:p>
        </w:tc>
        <w:tc>
          <w:tcPr>
            <w:vMerge w:val="continue"/>
          </w:tcPr>
          <w:p/>
        </w:tc>
        <w:tc>
          <w:tcPr>
            <w:tcW w:w="604" w:type="dxa"/>
            <w:vMerge w:val="restart"/>
          </w:tcPr>
          <w:p>
            <w:pPr>
              <w:pStyle w:val="0"/>
              <w:jc w:val="center"/>
            </w:pPr>
            <w:r>
              <w:rPr>
                <w:sz w:val="20"/>
              </w:rPr>
              <w:t xml:space="preserve">Код</w:t>
            </w:r>
          </w:p>
        </w:tc>
        <w:tc>
          <w:tcPr>
            <w:tcW w:w="880" w:type="dxa"/>
            <w:vMerge w:val="restart"/>
          </w:tcPr>
          <w:p>
            <w:pPr>
              <w:pStyle w:val="0"/>
              <w:jc w:val="center"/>
            </w:pPr>
            <w:r>
              <w:rPr>
                <w:sz w:val="20"/>
              </w:rPr>
              <w:t xml:space="preserve">Наименование</w:t>
            </w:r>
          </w:p>
        </w:tc>
        <w:tc>
          <w:tcPr>
            <w:gridSpan w:val="2"/>
            <w:tcW w:w="1613" w:type="dxa"/>
          </w:tcPr>
          <w:p>
            <w:pPr>
              <w:pStyle w:val="0"/>
              <w:jc w:val="center"/>
            </w:pPr>
            <w:r>
              <w:rPr>
                <w:sz w:val="20"/>
              </w:rPr>
              <w:t xml:space="preserve">При учете нестационарности</w:t>
            </w:r>
          </w:p>
        </w:tc>
        <w:tc>
          <w:tcPr>
            <w:tcW w:w="852" w:type="dxa"/>
            <w:vMerge w:val="restart"/>
          </w:tcPr>
          <w:p>
            <w:pPr>
              <w:pStyle w:val="0"/>
              <w:jc w:val="center"/>
            </w:pPr>
            <w:r>
              <w:rPr>
                <w:sz w:val="20"/>
              </w:rPr>
              <w:t xml:space="preserve">Всего (тонн в год)</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68" w:type="dxa"/>
          </w:tcPr>
          <w:p>
            <w:pPr>
              <w:pStyle w:val="0"/>
              <w:jc w:val="center"/>
            </w:pPr>
            <w:r>
              <w:rPr>
                <w:sz w:val="20"/>
              </w:rPr>
              <w:t xml:space="preserve">г/с</w:t>
            </w:r>
          </w:p>
        </w:tc>
        <w:tc>
          <w:tcPr>
            <w:tcW w:w="845" w:type="dxa"/>
          </w:tcPr>
          <w:p>
            <w:pPr>
              <w:pStyle w:val="0"/>
              <w:jc w:val="center"/>
            </w:pPr>
            <w:r>
              <w:rPr>
                <w:sz w:val="20"/>
              </w:rPr>
              <w:t xml:space="preserve">т/год</w:t>
            </w:r>
          </w:p>
        </w:tc>
        <w:tc>
          <w:tcPr>
            <w:vMerge w:val="continue"/>
          </w:tcPr>
          <w:p/>
        </w:tc>
        <w:tc>
          <w:tcPr>
            <w:vMerge w:val="continue"/>
          </w:tcPr>
          <w:p/>
        </w:tc>
        <w:tc>
          <w:tcPr>
            <w:vMerge w:val="continue"/>
          </w:tcPr>
          <w:p/>
        </w:tc>
        <w:tc>
          <w:tcPr>
            <w:vMerge w:val="continue"/>
          </w:tcPr>
          <w:p/>
        </w:tc>
      </w:tr>
      <w:tr>
        <w:tc>
          <w:tcPr>
            <w:tcW w:w="620" w:type="dxa"/>
          </w:tcPr>
          <w:p>
            <w:pPr>
              <w:pStyle w:val="0"/>
              <w:jc w:val="center"/>
            </w:pPr>
            <w:r>
              <w:rPr>
                <w:sz w:val="20"/>
              </w:rPr>
              <w:t xml:space="preserve">1</w:t>
            </w:r>
          </w:p>
        </w:tc>
        <w:tc>
          <w:tcPr>
            <w:tcW w:w="838" w:type="dxa"/>
          </w:tcPr>
          <w:p>
            <w:pPr>
              <w:pStyle w:val="0"/>
              <w:jc w:val="center"/>
            </w:pPr>
            <w:r>
              <w:rPr>
                <w:sz w:val="20"/>
              </w:rPr>
              <w:t xml:space="preserve">2</w:t>
            </w:r>
          </w:p>
        </w:tc>
        <w:tc>
          <w:tcPr>
            <w:tcW w:w="950" w:type="dxa"/>
          </w:tcPr>
          <w:bookmarkStart w:id="667" w:name="P667"/>
          <w:bookmarkEnd w:id="667"/>
          <w:p>
            <w:pPr>
              <w:pStyle w:val="0"/>
              <w:jc w:val="center"/>
            </w:pPr>
            <w:r>
              <w:rPr>
                <w:sz w:val="20"/>
              </w:rPr>
              <w:t xml:space="preserve">3</w:t>
            </w:r>
          </w:p>
        </w:tc>
        <w:tc>
          <w:tcPr>
            <w:tcW w:w="737" w:type="dxa"/>
          </w:tcPr>
          <w:bookmarkStart w:id="668" w:name="P668"/>
          <w:bookmarkEnd w:id="668"/>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304" w:type="dxa"/>
          </w:tcPr>
          <w:p>
            <w:pPr>
              <w:pStyle w:val="0"/>
              <w:jc w:val="center"/>
            </w:pPr>
            <w:r>
              <w:rPr>
                <w:sz w:val="20"/>
              </w:rPr>
              <w:t xml:space="preserve">7</w:t>
            </w:r>
          </w:p>
        </w:tc>
        <w:tc>
          <w:tcPr>
            <w:tcW w:w="859" w:type="dxa"/>
          </w:tcPr>
          <w:p>
            <w:pPr>
              <w:pStyle w:val="0"/>
              <w:jc w:val="center"/>
            </w:pPr>
            <w:r>
              <w:rPr>
                <w:sz w:val="20"/>
              </w:rPr>
              <w:t xml:space="preserve">8</w:t>
            </w:r>
          </w:p>
        </w:tc>
        <w:tc>
          <w:tcPr>
            <w:tcW w:w="932" w:type="dxa"/>
          </w:tcPr>
          <w:p>
            <w:pPr>
              <w:pStyle w:val="0"/>
              <w:jc w:val="center"/>
            </w:pPr>
            <w:r>
              <w:rPr>
                <w:sz w:val="20"/>
              </w:rPr>
              <w:t xml:space="preserve">9</w:t>
            </w:r>
          </w:p>
        </w:tc>
        <w:tc>
          <w:tcPr>
            <w:tcW w:w="838" w:type="dxa"/>
          </w:tcPr>
          <w:p>
            <w:pPr>
              <w:pStyle w:val="0"/>
              <w:jc w:val="center"/>
            </w:pPr>
            <w:r>
              <w:rPr>
                <w:sz w:val="20"/>
              </w:rPr>
              <w:t xml:space="preserve">10</w:t>
            </w:r>
          </w:p>
        </w:tc>
        <w:tc>
          <w:tcPr>
            <w:tcW w:w="604" w:type="dxa"/>
          </w:tcPr>
          <w:p>
            <w:pPr>
              <w:pStyle w:val="0"/>
              <w:jc w:val="center"/>
            </w:pPr>
            <w:r>
              <w:rPr>
                <w:sz w:val="20"/>
              </w:rPr>
              <w:t xml:space="preserve">11</w:t>
            </w:r>
          </w:p>
        </w:tc>
        <w:tc>
          <w:tcPr>
            <w:tcW w:w="880" w:type="dxa"/>
          </w:tcPr>
          <w:p>
            <w:pPr>
              <w:pStyle w:val="0"/>
              <w:jc w:val="center"/>
            </w:pPr>
            <w:r>
              <w:rPr>
                <w:sz w:val="20"/>
              </w:rPr>
              <w:t xml:space="preserve">12</w:t>
            </w:r>
          </w:p>
        </w:tc>
        <w:tc>
          <w:tcPr>
            <w:tcW w:w="768" w:type="dxa"/>
          </w:tcPr>
          <w:p>
            <w:pPr>
              <w:pStyle w:val="0"/>
              <w:jc w:val="center"/>
            </w:pPr>
            <w:r>
              <w:rPr>
                <w:sz w:val="20"/>
              </w:rPr>
              <w:t xml:space="preserve">13</w:t>
            </w:r>
          </w:p>
        </w:tc>
        <w:tc>
          <w:tcPr>
            <w:tcW w:w="845" w:type="dxa"/>
          </w:tcPr>
          <w:p>
            <w:pPr>
              <w:pStyle w:val="0"/>
              <w:jc w:val="center"/>
            </w:pPr>
            <w:r>
              <w:rPr>
                <w:sz w:val="20"/>
              </w:rPr>
              <w:t xml:space="preserve">14</w:t>
            </w:r>
          </w:p>
        </w:tc>
        <w:tc>
          <w:tcPr>
            <w:tcW w:w="852" w:type="dxa"/>
          </w:tcPr>
          <w:p>
            <w:pPr>
              <w:pStyle w:val="0"/>
              <w:jc w:val="center"/>
            </w:pPr>
            <w:r>
              <w:rPr>
                <w:sz w:val="20"/>
              </w:rPr>
              <w:t xml:space="preserve">15</w:t>
            </w:r>
          </w:p>
        </w:tc>
        <w:tc>
          <w:tcPr>
            <w:tcW w:w="1367" w:type="dxa"/>
          </w:tcPr>
          <w:p>
            <w:pPr>
              <w:pStyle w:val="0"/>
              <w:jc w:val="center"/>
            </w:pPr>
            <w:r>
              <w:rPr>
                <w:sz w:val="20"/>
              </w:rPr>
              <w:t xml:space="preserve">16</w:t>
            </w:r>
          </w:p>
        </w:tc>
        <w:tc>
          <w:tcPr>
            <w:tcW w:w="1389" w:type="dxa"/>
          </w:tcPr>
          <w:p>
            <w:pPr>
              <w:pStyle w:val="0"/>
              <w:jc w:val="center"/>
            </w:pPr>
            <w:r>
              <w:rPr>
                <w:sz w:val="20"/>
              </w:rPr>
              <w:t xml:space="preserve">17</w:t>
            </w:r>
          </w:p>
        </w:tc>
        <w:tc>
          <w:tcPr>
            <w:tcW w:w="892" w:type="dxa"/>
          </w:tcPr>
          <w:p>
            <w:pPr>
              <w:pStyle w:val="0"/>
              <w:jc w:val="center"/>
            </w:pPr>
            <w:r>
              <w:rPr>
                <w:sz w:val="20"/>
              </w:rPr>
              <w:t xml:space="preserve">18</w:t>
            </w:r>
          </w:p>
        </w:tc>
      </w:tr>
      <w:tr>
        <w:tc>
          <w:tcPr>
            <w:tcW w:w="620" w:type="dxa"/>
          </w:tcPr>
          <w:p>
            <w:pPr>
              <w:pStyle w:val="0"/>
            </w:pPr>
            <w:r>
              <w:rPr>
                <w:sz w:val="20"/>
              </w:rPr>
            </w:r>
          </w:p>
        </w:tc>
        <w:tc>
          <w:tcPr>
            <w:tcW w:w="838" w:type="dxa"/>
          </w:tcPr>
          <w:p>
            <w:pPr>
              <w:pStyle w:val="0"/>
            </w:pPr>
            <w:r>
              <w:rPr>
                <w:sz w:val="20"/>
              </w:rPr>
            </w:r>
          </w:p>
        </w:tc>
        <w:tc>
          <w:tcPr>
            <w:tcW w:w="9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859" w:type="dxa"/>
          </w:tcPr>
          <w:p>
            <w:pPr>
              <w:pStyle w:val="0"/>
            </w:pPr>
            <w:r>
              <w:rPr>
                <w:sz w:val="20"/>
              </w:rPr>
            </w:r>
          </w:p>
        </w:tc>
        <w:tc>
          <w:tcPr>
            <w:tcW w:w="932" w:type="dxa"/>
          </w:tcPr>
          <w:p>
            <w:pPr>
              <w:pStyle w:val="0"/>
            </w:pPr>
            <w:r>
              <w:rPr>
                <w:sz w:val="20"/>
              </w:rPr>
            </w:r>
          </w:p>
        </w:tc>
        <w:tc>
          <w:tcPr>
            <w:tcW w:w="838" w:type="dxa"/>
          </w:tcPr>
          <w:p>
            <w:pPr>
              <w:pStyle w:val="0"/>
            </w:pPr>
            <w:r>
              <w:rPr>
                <w:sz w:val="20"/>
              </w:rPr>
            </w:r>
          </w:p>
        </w:tc>
        <w:tc>
          <w:tcPr>
            <w:tcW w:w="604" w:type="dxa"/>
          </w:tcPr>
          <w:p>
            <w:pPr>
              <w:pStyle w:val="0"/>
            </w:pPr>
            <w:r>
              <w:rPr>
                <w:sz w:val="20"/>
              </w:rPr>
            </w:r>
          </w:p>
        </w:tc>
        <w:tc>
          <w:tcPr>
            <w:tcW w:w="880" w:type="dxa"/>
          </w:tcPr>
          <w:p>
            <w:pPr>
              <w:pStyle w:val="0"/>
            </w:pPr>
            <w:r>
              <w:rPr>
                <w:sz w:val="20"/>
              </w:rPr>
            </w:r>
          </w:p>
        </w:tc>
        <w:tc>
          <w:tcPr>
            <w:tcW w:w="768" w:type="dxa"/>
          </w:tcPr>
          <w:p>
            <w:pPr>
              <w:pStyle w:val="0"/>
            </w:pPr>
            <w:r>
              <w:rPr>
                <w:sz w:val="20"/>
              </w:rPr>
            </w:r>
          </w:p>
        </w:tc>
        <w:tc>
          <w:tcPr>
            <w:tcW w:w="845" w:type="dxa"/>
          </w:tcPr>
          <w:p>
            <w:pPr>
              <w:pStyle w:val="0"/>
            </w:pPr>
            <w:r>
              <w:rPr>
                <w:sz w:val="20"/>
              </w:rPr>
            </w:r>
          </w:p>
        </w:tc>
        <w:tc>
          <w:tcPr>
            <w:tcW w:w="852" w:type="dxa"/>
          </w:tcPr>
          <w:p>
            <w:pPr>
              <w:pStyle w:val="0"/>
            </w:pPr>
            <w:r>
              <w:rPr>
                <w:sz w:val="20"/>
              </w:rPr>
            </w:r>
          </w:p>
        </w:tc>
        <w:tc>
          <w:tcPr>
            <w:tcW w:w="1367" w:type="dxa"/>
          </w:tcPr>
          <w:p>
            <w:pPr>
              <w:pStyle w:val="0"/>
            </w:pPr>
            <w:r>
              <w:rPr>
                <w:sz w:val="20"/>
              </w:rPr>
            </w:r>
          </w:p>
        </w:tc>
        <w:tc>
          <w:tcPr>
            <w:tcW w:w="1389" w:type="dxa"/>
          </w:tcPr>
          <w:p>
            <w:pPr>
              <w:pStyle w:val="0"/>
            </w:pPr>
            <w:r>
              <w:rPr>
                <w:sz w:val="20"/>
              </w:rPr>
            </w:r>
          </w:p>
        </w:tc>
        <w:tc>
          <w:tcPr>
            <w:tcW w:w="892" w:type="dxa"/>
          </w:tcPr>
          <w:p>
            <w:pPr>
              <w:pStyle w:val="0"/>
            </w:pPr>
            <w:r>
              <w:rPr>
                <w:sz w:val="20"/>
              </w:rPr>
            </w:r>
          </w:p>
        </w:tc>
      </w:tr>
      <w:tr>
        <w:tc>
          <w:tcPr>
            <w:tcW w:w="620" w:type="dxa"/>
          </w:tcPr>
          <w:p>
            <w:pPr>
              <w:pStyle w:val="0"/>
            </w:pPr>
            <w:r>
              <w:rPr>
                <w:sz w:val="20"/>
              </w:rPr>
            </w:r>
          </w:p>
        </w:tc>
        <w:tc>
          <w:tcPr>
            <w:tcW w:w="838" w:type="dxa"/>
          </w:tcPr>
          <w:p>
            <w:pPr>
              <w:pStyle w:val="0"/>
            </w:pPr>
            <w:r>
              <w:rPr>
                <w:sz w:val="20"/>
              </w:rPr>
            </w:r>
          </w:p>
        </w:tc>
        <w:tc>
          <w:tcPr>
            <w:tcW w:w="9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859" w:type="dxa"/>
          </w:tcPr>
          <w:p>
            <w:pPr>
              <w:pStyle w:val="0"/>
            </w:pPr>
            <w:r>
              <w:rPr>
                <w:sz w:val="20"/>
              </w:rPr>
            </w:r>
          </w:p>
        </w:tc>
        <w:tc>
          <w:tcPr>
            <w:tcW w:w="932" w:type="dxa"/>
          </w:tcPr>
          <w:p>
            <w:pPr>
              <w:pStyle w:val="0"/>
            </w:pPr>
            <w:r>
              <w:rPr>
                <w:sz w:val="20"/>
              </w:rPr>
            </w:r>
          </w:p>
        </w:tc>
        <w:tc>
          <w:tcPr>
            <w:tcW w:w="838" w:type="dxa"/>
          </w:tcPr>
          <w:p>
            <w:pPr>
              <w:pStyle w:val="0"/>
            </w:pPr>
            <w:r>
              <w:rPr>
                <w:sz w:val="20"/>
              </w:rPr>
            </w:r>
          </w:p>
        </w:tc>
        <w:tc>
          <w:tcPr>
            <w:tcW w:w="604" w:type="dxa"/>
          </w:tcPr>
          <w:p>
            <w:pPr>
              <w:pStyle w:val="0"/>
            </w:pPr>
            <w:r>
              <w:rPr>
                <w:sz w:val="20"/>
              </w:rPr>
            </w:r>
          </w:p>
        </w:tc>
        <w:tc>
          <w:tcPr>
            <w:tcW w:w="880" w:type="dxa"/>
          </w:tcPr>
          <w:p>
            <w:pPr>
              <w:pStyle w:val="0"/>
            </w:pPr>
            <w:r>
              <w:rPr>
                <w:sz w:val="20"/>
              </w:rPr>
            </w:r>
          </w:p>
        </w:tc>
        <w:tc>
          <w:tcPr>
            <w:tcW w:w="768" w:type="dxa"/>
          </w:tcPr>
          <w:p>
            <w:pPr>
              <w:pStyle w:val="0"/>
            </w:pPr>
            <w:r>
              <w:rPr>
                <w:sz w:val="20"/>
              </w:rPr>
            </w:r>
          </w:p>
        </w:tc>
        <w:tc>
          <w:tcPr>
            <w:tcW w:w="845" w:type="dxa"/>
          </w:tcPr>
          <w:p>
            <w:pPr>
              <w:pStyle w:val="0"/>
            </w:pPr>
            <w:r>
              <w:rPr>
                <w:sz w:val="20"/>
              </w:rPr>
            </w:r>
          </w:p>
        </w:tc>
        <w:tc>
          <w:tcPr>
            <w:tcW w:w="852" w:type="dxa"/>
          </w:tcPr>
          <w:p>
            <w:pPr>
              <w:pStyle w:val="0"/>
            </w:pPr>
            <w:r>
              <w:rPr>
                <w:sz w:val="20"/>
              </w:rPr>
            </w:r>
          </w:p>
        </w:tc>
        <w:tc>
          <w:tcPr>
            <w:tcW w:w="1367" w:type="dxa"/>
          </w:tcPr>
          <w:p>
            <w:pPr>
              <w:pStyle w:val="0"/>
            </w:pPr>
            <w:r>
              <w:rPr>
                <w:sz w:val="20"/>
              </w:rPr>
            </w:r>
          </w:p>
        </w:tc>
        <w:tc>
          <w:tcPr>
            <w:tcW w:w="1389" w:type="dxa"/>
          </w:tcPr>
          <w:p>
            <w:pPr>
              <w:pStyle w:val="0"/>
            </w:pPr>
            <w:r>
              <w:rPr>
                <w:sz w:val="20"/>
              </w:rPr>
            </w:r>
          </w:p>
        </w:tc>
        <w:tc>
          <w:tcPr>
            <w:tcW w:w="89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724" w:name="P724"/>
    <w:bookmarkEnd w:id="724"/>
    <w:p>
      <w:pPr>
        <w:pStyle w:val="0"/>
        <w:jc w:val="center"/>
      </w:pPr>
      <w:r>
        <w:rPr>
          <w:sz w:val="20"/>
        </w:rPr>
        <w:t xml:space="preserve">Таблица N 3.2</w:t>
      </w:r>
    </w:p>
    <w:p>
      <w:pPr>
        <w:pStyle w:val="0"/>
        <w:jc w:val="center"/>
      </w:pPr>
      <w:r>
        <w:rPr>
          <w:sz w:val="20"/>
        </w:rPr>
        <w:t xml:space="preserve">Стационарные источники выбросов загрязняющих веществ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tc>
          <w:tcPr>
            <w:tcW w:w="484" w:type="dxa"/>
            <w:vMerge w:val="restart"/>
          </w:tcPr>
          <w:p>
            <w:pPr>
              <w:pStyle w:val="0"/>
              <w:jc w:val="center"/>
            </w:pPr>
            <w:r>
              <w:rPr>
                <w:sz w:val="20"/>
              </w:rPr>
              <w:t xml:space="preserve">N ИЗАВ</w:t>
            </w:r>
          </w:p>
        </w:tc>
        <w:tc>
          <w:tcPr>
            <w:tcW w:w="502" w:type="dxa"/>
            <w:vMerge w:val="restart"/>
          </w:tcPr>
          <w:p>
            <w:pPr>
              <w:pStyle w:val="0"/>
              <w:jc w:val="center"/>
            </w:pPr>
            <w:r>
              <w:rPr>
                <w:sz w:val="20"/>
              </w:rPr>
              <w:t xml:space="preserve">Тип, ИЗАВ</w:t>
            </w:r>
          </w:p>
        </w:tc>
        <w:tc>
          <w:tcPr>
            <w:tcW w:w="514" w:type="dxa"/>
            <w:vMerge w:val="restart"/>
          </w:tcPr>
          <w:p>
            <w:pPr>
              <w:pStyle w:val="0"/>
              <w:jc w:val="center"/>
            </w:pPr>
            <w:r>
              <w:rPr>
                <w:sz w:val="20"/>
              </w:rPr>
              <w:t xml:space="preserve">Наименование ИЗАВ</w:t>
            </w:r>
          </w:p>
        </w:tc>
        <w:tc>
          <w:tcPr>
            <w:tcW w:w="680" w:type="dxa"/>
            <w:vMerge w:val="restart"/>
          </w:tcPr>
          <w:p>
            <w:pPr>
              <w:pStyle w:val="0"/>
              <w:jc w:val="center"/>
            </w:pPr>
            <w:r>
              <w:rPr>
                <w:sz w:val="20"/>
              </w:rPr>
              <w:t xml:space="preserve">Число ИЗАВ, объединенных под одним номером</w:t>
            </w:r>
          </w:p>
        </w:tc>
        <w:tc>
          <w:tcPr>
            <w:tcW w:w="466" w:type="dxa"/>
            <w:vMerge w:val="restart"/>
          </w:tcPr>
          <w:p>
            <w:pPr>
              <w:pStyle w:val="0"/>
              <w:jc w:val="center"/>
            </w:pPr>
            <w:r>
              <w:rPr>
                <w:sz w:val="20"/>
              </w:rPr>
              <w:t xml:space="preserve">Высота источника, м</w:t>
            </w:r>
          </w:p>
        </w:tc>
        <w:tc>
          <w:tcPr>
            <w:gridSpan w:val="3"/>
            <w:tcW w:w="2070" w:type="dxa"/>
          </w:tcPr>
          <w:p>
            <w:pPr>
              <w:pStyle w:val="0"/>
              <w:jc w:val="center"/>
            </w:pPr>
            <w:r>
              <w:rPr>
                <w:sz w:val="20"/>
              </w:rPr>
              <w:t xml:space="preserve">Размеры устья источника</w:t>
            </w:r>
          </w:p>
        </w:tc>
        <w:tc>
          <w:tcPr>
            <w:gridSpan w:val="4"/>
            <w:tcW w:w="1753" w:type="dxa"/>
            <w:vMerge w:val="restart"/>
          </w:tcPr>
          <w:p>
            <w:pPr>
              <w:pStyle w:val="0"/>
              <w:jc w:val="center"/>
            </w:pPr>
            <w:r>
              <w:rPr>
                <w:sz w:val="20"/>
              </w:rPr>
              <w:t xml:space="preserve">Координаты источника на карте-схеме</w:t>
            </w:r>
          </w:p>
        </w:tc>
        <w:tc>
          <w:tcPr>
            <w:tcW w:w="604" w:type="dxa"/>
            <w:vMerge w:val="restart"/>
          </w:tcPr>
          <w:p>
            <w:pPr>
              <w:pStyle w:val="0"/>
              <w:jc w:val="center"/>
            </w:pPr>
            <w:r>
              <w:rPr>
                <w:sz w:val="20"/>
              </w:rPr>
              <w:t xml:space="preserve">Ширина площадного источника, м</w:t>
            </w:r>
          </w:p>
        </w:tc>
        <w:tc>
          <w:tcPr>
            <w:tcW w:w="472" w:type="dxa"/>
            <w:vMerge w:val="restart"/>
          </w:tcPr>
          <w:p>
            <w:pPr>
              <w:pStyle w:val="0"/>
              <w:jc w:val="center"/>
            </w:pPr>
            <w:r>
              <w:rPr>
                <w:sz w:val="20"/>
              </w:rPr>
              <w:t xml:space="preserve">N режима (стадии) выброса</w:t>
            </w:r>
          </w:p>
        </w:tc>
        <w:tc>
          <w:tcPr>
            <w:tcW w:w="790" w:type="dxa"/>
            <w:vMerge w:val="restart"/>
          </w:tcPr>
          <w:p>
            <w:pPr>
              <w:pStyle w:val="0"/>
              <w:jc w:val="center"/>
            </w:pPr>
            <w:r>
              <w:rPr>
                <w:sz w:val="20"/>
              </w:rPr>
              <w:t xml:space="preserve">Скорость выхода ГВС, м/с, фактическая /осредненная/</w:t>
            </w:r>
          </w:p>
        </w:tc>
        <w:tc>
          <w:tcPr>
            <w:tcW w:w="964" w:type="dxa"/>
            <w:vMerge w:val="restart"/>
          </w:tcPr>
          <w:p>
            <w:pPr>
              <w:pStyle w:val="0"/>
              <w:jc w:val="center"/>
            </w:pPr>
            <w:r>
              <w:rPr>
                <w:sz w:val="20"/>
              </w:rPr>
              <w:t xml:space="preserve">Вертикальная составляющая осредненной скорости выхода ГВС, м/с</w:t>
            </w:r>
          </w:p>
        </w:tc>
        <w:tc>
          <w:tcPr>
            <w:tcW w:w="907" w:type="dxa"/>
            <w:vMerge w:val="restart"/>
          </w:tcPr>
          <w:p>
            <w:pPr>
              <w:pStyle w:val="0"/>
              <w:jc w:val="center"/>
            </w:pPr>
            <w:r>
              <w:rPr>
                <w:sz w:val="20"/>
              </w:rPr>
              <w:t xml:space="preserve">Объем (расход) ГВС, м3/с (при фактических условиях) /осредненный/</w:t>
            </w:r>
          </w:p>
        </w:tc>
        <w:tc>
          <w:tcPr>
            <w:tcW w:w="680" w:type="dxa"/>
            <w:vMerge w:val="restart"/>
          </w:tcPr>
          <w:p>
            <w:pPr>
              <w:pStyle w:val="0"/>
              <w:jc w:val="center"/>
            </w:pPr>
            <w:r>
              <w:rPr>
                <w:sz w:val="20"/>
              </w:rPr>
              <w:t xml:space="preserve">Температура ГВС, °C /осредненная/</w:t>
            </w:r>
          </w:p>
        </w:tc>
        <w:tc>
          <w:tcPr>
            <w:tcW w:w="604" w:type="dxa"/>
            <w:vMerge w:val="restart"/>
          </w:tcPr>
          <w:p>
            <w:pPr>
              <w:pStyle w:val="0"/>
              <w:jc w:val="center"/>
            </w:pPr>
            <w:r>
              <w:rPr>
                <w:sz w:val="20"/>
              </w:rPr>
              <w:t xml:space="preserve">Плотность ГВС, кг/м3</w:t>
            </w:r>
          </w:p>
        </w:tc>
        <w:tc>
          <w:tcPr>
            <w:gridSpan w:val="5"/>
            <w:tcW w:w="4406" w:type="dxa"/>
            <w:vMerge w:val="restart"/>
          </w:tcPr>
          <w:p>
            <w:pPr>
              <w:pStyle w:val="0"/>
              <w:jc w:val="center"/>
            </w:pPr>
            <w:r>
              <w:rPr>
                <w:sz w:val="20"/>
              </w:rPr>
              <w:t xml:space="preserve">ЗВ, выбрасываемые в атмосферный воздух (для каждого режима (стадии) выброса ЗВ)</w:t>
            </w:r>
          </w:p>
        </w:tc>
        <w:tc>
          <w:tcPr>
            <w:tcW w:w="772" w:type="dxa"/>
            <w:vMerge w:val="restart"/>
          </w:tcPr>
          <w:p>
            <w:pPr>
              <w:pStyle w:val="0"/>
              <w:jc w:val="center"/>
            </w:pPr>
            <w:r>
              <w:rPr>
                <w:sz w:val="20"/>
              </w:rPr>
              <w:t xml:space="preserve">Итого за год выброс вещества источником, т/год</w:t>
            </w:r>
          </w:p>
        </w:tc>
        <w:tc>
          <w:tcPr>
            <w:tcW w:w="508"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Круглое устье</w:t>
            </w:r>
          </w:p>
        </w:tc>
        <w:tc>
          <w:tcPr>
            <w:gridSpan w:val="2"/>
            <w:tcW w:w="1220" w:type="dxa"/>
          </w:tcPr>
          <w:p>
            <w:pPr>
              <w:pStyle w:val="0"/>
              <w:jc w:val="center"/>
            </w:pPr>
            <w:r>
              <w:rPr>
                <w:sz w:val="20"/>
              </w:rPr>
              <w:t xml:space="preserve">Прямоугольное устье</w:t>
            </w:r>
          </w:p>
        </w:tc>
        <w:tc>
          <w:tcPr>
            <w:gridSpan w:val="4"/>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5"/>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Диаметр, м</w:t>
            </w:r>
          </w:p>
        </w:tc>
        <w:tc>
          <w:tcPr>
            <w:tcW w:w="592" w:type="dxa"/>
          </w:tcPr>
          <w:p>
            <w:pPr>
              <w:pStyle w:val="0"/>
              <w:jc w:val="center"/>
            </w:pPr>
            <w:r>
              <w:rPr>
                <w:sz w:val="20"/>
              </w:rPr>
              <w:t xml:space="preserve">Длина, м</w:t>
            </w:r>
          </w:p>
        </w:tc>
        <w:tc>
          <w:tcPr>
            <w:tcW w:w="628" w:type="dxa"/>
          </w:tcPr>
          <w:p>
            <w:pPr>
              <w:pStyle w:val="0"/>
              <w:jc w:val="center"/>
            </w:pPr>
            <w:r>
              <w:rPr>
                <w:sz w:val="20"/>
              </w:rPr>
              <w:t xml:space="preserve">Ширина, м</w:t>
            </w:r>
          </w:p>
        </w:tc>
        <w:tc>
          <w:tcPr>
            <w:tcW w:w="438" w:type="dxa"/>
          </w:tcPr>
          <w:p>
            <w:pPr>
              <w:pStyle w:val="0"/>
              <w:jc w:val="center"/>
            </w:pPr>
            <w:r>
              <w:rPr>
                <w:sz w:val="20"/>
              </w:rPr>
              <w:t xml:space="preserve">X1</w:t>
            </w:r>
          </w:p>
        </w:tc>
        <w:tc>
          <w:tcPr>
            <w:tcW w:w="438" w:type="dxa"/>
          </w:tcPr>
          <w:p>
            <w:pPr>
              <w:pStyle w:val="0"/>
              <w:jc w:val="center"/>
            </w:pPr>
            <w:r>
              <w:rPr>
                <w:sz w:val="20"/>
              </w:rPr>
              <w:t xml:space="preserve">Y1</w:t>
            </w:r>
          </w:p>
        </w:tc>
        <w:tc>
          <w:tcPr>
            <w:tcW w:w="438" w:type="dxa"/>
          </w:tcPr>
          <w:p>
            <w:pPr>
              <w:pStyle w:val="0"/>
              <w:jc w:val="center"/>
            </w:pPr>
            <w:r>
              <w:rPr>
                <w:sz w:val="20"/>
              </w:rPr>
              <w:t xml:space="preserve">X2</w:t>
            </w:r>
          </w:p>
        </w:tc>
        <w:tc>
          <w:tcPr>
            <w:tcW w:w="439" w:type="dxa"/>
          </w:tcPr>
          <w:p>
            <w:pPr>
              <w:pStyle w:val="0"/>
              <w:jc w:val="center"/>
            </w:pPr>
            <w:r>
              <w:rPr>
                <w:sz w:val="20"/>
              </w:rPr>
              <w:t xml:space="preserve">Y2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КОД</w:t>
            </w:r>
          </w:p>
        </w:tc>
        <w:tc>
          <w:tcPr>
            <w:tcW w:w="628" w:type="dxa"/>
          </w:tcPr>
          <w:p>
            <w:pPr>
              <w:pStyle w:val="0"/>
              <w:jc w:val="center"/>
            </w:pPr>
            <w:r>
              <w:rPr>
                <w:sz w:val="20"/>
              </w:rPr>
              <w:t xml:space="preserve">Наименование</w:t>
            </w:r>
          </w:p>
        </w:tc>
        <w:tc>
          <w:tcPr>
            <w:tcW w:w="604" w:type="dxa"/>
          </w:tcPr>
          <w:p>
            <w:pPr>
              <w:pStyle w:val="0"/>
              <w:jc w:val="center"/>
            </w:pPr>
            <w:r>
              <w:rPr>
                <w:sz w:val="20"/>
              </w:rPr>
              <w:t xml:space="preserve">Концентрация, мг/м3</w:t>
            </w:r>
          </w:p>
        </w:tc>
        <w:tc>
          <w:tcPr>
            <w:tcW w:w="680" w:type="dxa"/>
          </w:tcPr>
          <w:p>
            <w:pPr>
              <w:pStyle w:val="0"/>
              <w:jc w:val="center"/>
            </w:pPr>
            <w:r>
              <w:rPr>
                <w:sz w:val="20"/>
              </w:rPr>
              <w:t xml:space="preserve">Мощность выброса, г/с</w:t>
            </w:r>
          </w:p>
        </w:tc>
        <w:tc>
          <w:tcPr>
            <w:tcW w:w="1984" w:type="dxa"/>
          </w:tcPr>
          <w:p>
            <w:pPr>
              <w:pStyle w:val="0"/>
              <w:jc w:val="center"/>
            </w:pPr>
            <w:r>
              <w:rPr>
                <w:sz w:val="20"/>
              </w:rPr>
              <w:t xml:space="preserve">Суммарные годовые (валовые) выбросы режима (стадии) ИЗАВ, т/год</w:t>
            </w:r>
          </w:p>
        </w:tc>
        <w:tc>
          <w:tcPr>
            <w:vMerge w:val="continue"/>
          </w:tcPr>
          <w:p/>
        </w:tc>
        <w:tc>
          <w:tcPr>
            <w:vMerge w:val="continue"/>
          </w:tcPr>
          <w:p/>
        </w:tc>
      </w:tr>
      <w:tr>
        <w:tc>
          <w:tcPr>
            <w:tcW w:w="484" w:type="dxa"/>
          </w:tcPr>
          <w:p>
            <w:pPr>
              <w:pStyle w:val="0"/>
              <w:jc w:val="center"/>
            </w:pPr>
            <w:r>
              <w:rPr>
                <w:sz w:val="20"/>
              </w:rPr>
              <w:t xml:space="preserve">1</w:t>
            </w:r>
          </w:p>
        </w:tc>
        <w:tc>
          <w:tcPr>
            <w:tcW w:w="502" w:type="dxa"/>
          </w:tcPr>
          <w:p>
            <w:pPr>
              <w:pStyle w:val="0"/>
              <w:jc w:val="center"/>
            </w:pPr>
            <w:r>
              <w:rPr>
                <w:sz w:val="20"/>
              </w:rPr>
              <w:t xml:space="preserve">2</w:t>
            </w:r>
          </w:p>
        </w:tc>
        <w:tc>
          <w:tcPr>
            <w:tcW w:w="514" w:type="dxa"/>
          </w:tcPr>
          <w:p>
            <w:pPr>
              <w:pStyle w:val="0"/>
              <w:jc w:val="center"/>
            </w:pPr>
            <w:r>
              <w:rPr>
                <w:sz w:val="20"/>
              </w:rPr>
              <w:t xml:space="preserve">3</w:t>
            </w:r>
          </w:p>
        </w:tc>
        <w:tc>
          <w:tcPr>
            <w:tcW w:w="680" w:type="dxa"/>
          </w:tcPr>
          <w:p>
            <w:pPr>
              <w:pStyle w:val="0"/>
              <w:jc w:val="center"/>
            </w:pPr>
            <w:r>
              <w:rPr>
                <w:sz w:val="20"/>
              </w:rPr>
              <w:t xml:space="preserve">4</w:t>
            </w:r>
          </w:p>
        </w:tc>
        <w:tc>
          <w:tcPr>
            <w:tcW w:w="466" w:type="dxa"/>
          </w:tcPr>
          <w:p>
            <w:pPr>
              <w:pStyle w:val="0"/>
              <w:jc w:val="center"/>
            </w:pPr>
            <w:r>
              <w:rPr>
                <w:sz w:val="20"/>
              </w:rPr>
              <w:t xml:space="preserve">5</w:t>
            </w:r>
          </w:p>
        </w:tc>
        <w:tc>
          <w:tcPr>
            <w:tcW w:w="850" w:type="dxa"/>
          </w:tcPr>
          <w:p>
            <w:pPr>
              <w:pStyle w:val="0"/>
              <w:jc w:val="center"/>
            </w:pPr>
            <w:r>
              <w:rPr>
                <w:sz w:val="20"/>
              </w:rPr>
              <w:t xml:space="preserve">6</w:t>
            </w:r>
          </w:p>
        </w:tc>
        <w:tc>
          <w:tcPr>
            <w:tcW w:w="592" w:type="dxa"/>
          </w:tcPr>
          <w:p>
            <w:pPr>
              <w:pStyle w:val="0"/>
              <w:jc w:val="center"/>
            </w:pPr>
            <w:r>
              <w:rPr>
                <w:sz w:val="20"/>
              </w:rPr>
              <w:t xml:space="preserve">7</w:t>
            </w:r>
          </w:p>
        </w:tc>
        <w:tc>
          <w:tcPr>
            <w:tcW w:w="628" w:type="dxa"/>
          </w:tcPr>
          <w:p>
            <w:pPr>
              <w:pStyle w:val="0"/>
              <w:jc w:val="center"/>
            </w:pPr>
            <w:r>
              <w:rPr>
                <w:sz w:val="20"/>
              </w:rPr>
              <w:t xml:space="preserve">8</w:t>
            </w:r>
          </w:p>
        </w:tc>
        <w:tc>
          <w:tcPr>
            <w:tcW w:w="438" w:type="dxa"/>
          </w:tcPr>
          <w:p>
            <w:pPr>
              <w:pStyle w:val="0"/>
              <w:jc w:val="center"/>
            </w:pPr>
            <w:r>
              <w:rPr>
                <w:sz w:val="20"/>
              </w:rPr>
              <w:t xml:space="preserve">9</w:t>
            </w:r>
          </w:p>
        </w:tc>
        <w:tc>
          <w:tcPr>
            <w:tcW w:w="438" w:type="dxa"/>
          </w:tcPr>
          <w:p>
            <w:pPr>
              <w:pStyle w:val="0"/>
              <w:jc w:val="center"/>
            </w:pPr>
            <w:r>
              <w:rPr>
                <w:sz w:val="20"/>
              </w:rPr>
              <w:t xml:space="preserve">10</w:t>
            </w:r>
          </w:p>
        </w:tc>
        <w:tc>
          <w:tcPr>
            <w:tcW w:w="438" w:type="dxa"/>
          </w:tcPr>
          <w:p>
            <w:pPr>
              <w:pStyle w:val="0"/>
              <w:jc w:val="center"/>
            </w:pPr>
            <w:r>
              <w:rPr>
                <w:sz w:val="20"/>
              </w:rPr>
              <w:t xml:space="preserve">11</w:t>
            </w:r>
          </w:p>
        </w:tc>
        <w:tc>
          <w:tcPr>
            <w:tcW w:w="439" w:type="dxa"/>
          </w:tcPr>
          <w:p>
            <w:pPr>
              <w:pStyle w:val="0"/>
              <w:jc w:val="center"/>
            </w:pPr>
            <w:r>
              <w:rPr>
                <w:sz w:val="20"/>
              </w:rPr>
              <w:t xml:space="preserve">12</w:t>
            </w:r>
          </w:p>
        </w:tc>
        <w:tc>
          <w:tcPr>
            <w:tcW w:w="604" w:type="dxa"/>
          </w:tcPr>
          <w:p>
            <w:pPr>
              <w:pStyle w:val="0"/>
              <w:jc w:val="center"/>
            </w:pPr>
            <w:r>
              <w:rPr>
                <w:sz w:val="20"/>
              </w:rPr>
              <w:t xml:space="preserve">13</w:t>
            </w:r>
          </w:p>
        </w:tc>
        <w:tc>
          <w:tcPr>
            <w:tcW w:w="472" w:type="dxa"/>
          </w:tcPr>
          <w:p>
            <w:pPr>
              <w:pStyle w:val="0"/>
              <w:jc w:val="center"/>
            </w:pPr>
            <w:r>
              <w:rPr>
                <w:sz w:val="20"/>
              </w:rPr>
              <w:t xml:space="preserve">14</w:t>
            </w:r>
          </w:p>
        </w:tc>
        <w:tc>
          <w:tcPr>
            <w:tcW w:w="790" w:type="dxa"/>
          </w:tcPr>
          <w:p>
            <w:pPr>
              <w:pStyle w:val="0"/>
              <w:jc w:val="center"/>
            </w:pPr>
            <w:r>
              <w:rPr>
                <w:sz w:val="20"/>
              </w:rPr>
              <w:t xml:space="preserve">15</w:t>
            </w:r>
          </w:p>
        </w:tc>
        <w:tc>
          <w:tcPr>
            <w:tcW w:w="964" w:type="dxa"/>
          </w:tcPr>
          <w:p>
            <w:pPr>
              <w:pStyle w:val="0"/>
              <w:jc w:val="center"/>
            </w:pPr>
            <w:r>
              <w:rPr>
                <w:sz w:val="20"/>
              </w:rPr>
              <w:t xml:space="preserve">16</w:t>
            </w:r>
          </w:p>
        </w:tc>
        <w:tc>
          <w:tcPr>
            <w:tcW w:w="907" w:type="dxa"/>
          </w:tcPr>
          <w:p>
            <w:pPr>
              <w:pStyle w:val="0"/>
              <w:jc w:val="center"/>
            </w:pPr>
            <w:r>
              <w:rPr>
                <w:sz w:val="20"/>
              </w:rPr>
              <w:t xml:space="preserve">17</w:t>
            </w:r>
          </w:p>
        </w:tc>
        <w:tc>
          <w:tcPr>
            <w:tcW w:w="680" w:type="dxa"/>
          </w:tcPr>
          <w:p>
            <w:pPr>
              <w:pStyle w:val="0"/>
              <w:jc w:val="center"/>
            </w:pPr>
            <w:r>
              <w:rPr>
                <w:sz w:val="20"/>
              </w:rPr>
              <w:t xml:space="preserve">18</w:t>
            </w:r>
          </w:p>
        </w:tc>
        <w:tc>
          <w:tcPr>
            <w:tcW w:w="604" w:type="dxa"/>
          </w:tcPr>
          <w:p>
            <w:pPr>
              <w:pStyle w:val="0"/>
              <w:jc w:val="center"/>
            </w:pPr>
            <w:r>
              <w:rPr>
                <w:sz w:val="20"/>
              </w:rPr>
              <w:t xml:space="preserve">19</w:t>
            </w:r>
          </w:p>
        </w:tc>
        <w:tc>
          <w:tcPr>
            <w:tcW w:w="510" w:type="dxa"/>
          </w:tcPr>
          <w:p>
            <w:pPr>
              <w:pStyle w:val="0"/>
              <w:jc w:val="center"/>
            </w:pPr>
            <w:r>
              <w:rPr>
                <w:sz w:val="20"/>
              </w:rPr>
              <w:t xml:space="preserve">20</w:t>
            </w:r>
          </w:p>
        </w:tc>
        <w:tc>
          <w:tcPr>
            <w:tcW w:w="628" w:type="dxa"/>
          </w:tcPr>
          <w:p>
            <w:pPr>
              <w:pStyle w:val="0"/>
              <w:jc w:val="center"/>
            </w:pPr>
            <w:r>
              <w:rPr>
                <w:sz w:val="20"/>
              </w:rPr>
              <w:t xml:space="preserve">21</w:t>
            </w:r>
          </w:p>
        </w:tc>
        <w:tc>
          <w:tcPr>
            <w:tcW w:w="604" w:type="dxa"/>
          </w:tcPr>
          <w:p>
            <w:pPr>
              <w:pStyle w:val="0"/>
              <w:jc w:val="center"/>
            </w:pPr>
            <w:r>
              <w:rPr>
                <w:sz w:val="20"/>
              </w:rPr>
              <w:t xml:space="preserve">22</w:t>
            </w:r>
          </w:p>
        </w:tc>
        <w:tc>
          <w:tcPr>
            <w:tcW w:w="680" w:type="dxa"/>
          </w:tcPr>
          <w:p>
            <w:pPr>
              <w:pStyle w:val="0"/>
              <w:jc w:val="center"/>
            </w:pPr>
            <w:r>
              <w:rPr>
                <w:sz w:val="20"/>
              </w:rPr>
              <w:t xml:space="preserve">23</w:t>
            </w:r>
          </w:p>
        </w:tc>
        <w:tc>
          <w:tcPr>
            <w:tcW w:w="1984" w:type="dxa"/>
          </w:tcPr>
          <w:p>
            <w:pPr>
              <w:pStyle w:val="0"/>
              <w:jc w:val="center"/>
            </w:pPr>
            <w:r>
              <w:rPr>
                <w:sz w:val="20"/>
              </w:rPr>
              <w:t xml:space="preserve">24</w:t>
            </w:r>
          </w:p>
        </w:tc>
        <w:tc>
          <w:tcPr>
            <w:tcW w:w="772" w:type="dxa"/>
          </w:tcPr>
          <w:p>
            <w:pPr>
              <w:pStyle w:val="0"/>
              <w:jc w:val="center"/>
            </w:pPr>
            <w:r>
              <w:rPr>
                <w:sz w:val="20"/>
              </w:rPr>
              <w:t xml:space="preserve">25</w:t>
            </w:r>
          </w:p>
        </w:tc>
        <w:tc>
          <w:tcPr>
            <w:tcW w:w="508" w:type="dxa"/>
          </w:tcPr>
          <w:p>
            <w:pPr>
              <w:pStyle w:val="0"/>
              <w:jc w:val="center"/>
            </w:pPr>
            <w:r>
              <w:rPr>
                <w:sz w:val="20"/>
              </w:rPr>
              <w:t xml:space="preserve">26</w:t>
            </w:r>
          </w:p>
        </w:tc>
      </w:tr>
      <w:tr>
        <w:tc>
          <w:tcPr>
            <w:gridSpan w:val="26"/>
            <w:tcW w:w="17176" w:type="dxa"/>
          </w:tcPr>
          <w:p>
            <w:pPr>
              <w:pStyle w:val="0"/>
              <w:jc w:val="center"/>
            </w:pPr>
            <w:r>
              <w:rPr>
                <w:sz w:val="20"/>
              </w:rPr>
              <w:t xml:space="preserve">_______________________________________________________________</w:t>
            </w:r>
          </w:p>
          <w:p>
            <w:pPr>
              <w:pStyle w:val="0"/>
              <w:jc w:val="center"/>
            </w:pPr>
            <w:r>
              <w:rPr>
                <w:sz w:val="20"/>
              </w:rPr>
              <w:t xml:space="preserve">(номер и наименование отдельной территории объекта ОНВ)</w:t>
            </w:r>
          </w:p>
        </w:tc>
      </w:tr>
      <w:tr>
        <w:tc>
          <w:tcPr>
            <w:tcW w:w="484" w:type="dxa"/>
          </w:tcPr>
          <w:p>
            <w:pPr>
              <w:pStyle w:val="0"/>
            </w:pPr>
            <w:r>
              <w:rPr>
                <w:sz w:val="20"/>
              </w:rPr>
            </w:r>
          </w:p>
        </w:tc>
        <w:tc>
          <w:tcPr>
            <w:tcW w:w="502"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466" w:type="dxa"/>
          </w:tcPr>
          <w:p>
            <w:pPr>
              <w:pStyle w:val="0"/>
            </w:pPr>
            <w:r>
              <w:rPr>
                <w:sz w:val="20"/>
              </w:rPr>
            </w:r>
          </w:p>
        </w:tc>
        <w:tc>
          <w:tcPr>
            <w:tcW w:w="850" w:type="dxa"/>
          </w:tcPr>
          <w:p>
            <w:pPr>
              <w:pStyle w:val="0"/>
            </w:pPr>
            <w:r>
              <w:rPr>
                <w:sz w:val="20"/>
              </w:rPr>
            </w:r>
          </w:p>
        </w:tc>
        <w:tc>
          <w:tcPr>
            <w:tcW w:w="592" w:type="dxa"/>
          </w:tcPr>
          <w:p>
            <w:pPr>
              <w:pStyle w:val="0"/>
            </w:pPr>
            <w:r>
              <w:rPr>
                <w:sz w:val="20"/>
              </w:rPr>
            </w:r>
          </w:p>
        </w:tc>
        <w:tc>
          <w:tcPr>
            <w:tcW w:w="62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9" w:type="dxa"/>
          </w:tcPr>
          <w:p>
            <w:pPr>
              <w:pStyle w:val="0"/>
            </w:pPr>
            <w:r>
              <w:rPr>
                <w:sz w:val="20"/>
              </w:rPr>
            </w:r>
          </w:p>
        </w:tc>
        <w:tc>
          <w:tcPr>
            <w:tcW w:w="604" w:type="dxa"/>
          </w:tcPr>
          <w:p>
            <w:pPr>
              <w:pStyle w:val="0"/>
            </w:pPr>
            <w:r>
              <w:rPr>
                <w:sz w:val="20"/>
              </w:rPr>
            </w:r>
          </w:p>
        </w:tc>
        <w:tc>
          <w:tcPr>
            <w:tcW w:w="472" w:type="dxa"/>
          </w:tcPr>
          <w:p>
            <w:pPr>
              <w:pStyle w:val="0"/>
            </w:pPr>
            <w:r>
              <w:rPr>
                <w:sz w:val="20"/>
              </w:rPr>
            </w:r>
          </w:p>
        </w:tc>
        <w:tc>
          <w:tcPr>
            <w:tcW w:w="79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04" w:type="dxa"/>
          </w:tcPr>
          <w:p>
            <w:pPr>
              <w:pStyle w:val="0"/>
            </w:pPr>
            <w:r>
              <w:rPr>
                <w:sz w:val="20"/>
              </w:rPr>
            </w:r>
          </w:p>
        </w:tc>
        <w:tc>
          <w:tcPr>
            <w:tcW w:w="510" w:type="dxa"/>
          </w:tcPr>
          <w:p>
            <w:pPr>
              <w:pStyle w:val="0"/>
            </w:pPr>
            <w:r>
              <w:rPr>
                <w:sz w:val="20"/>
              </w:rPr>
            </w:r>
          </w:p>
        </w:tc>
        <w:tc>
          <w:tcPr>
            <w:tcW w:w="628" w:type="dxa"/>
          </w:tcPr>
          <w:p>
            <w:pPr>
              <w:pStyle w:val="0"/>
            </w:pPr>
            <w:r>
              <w:rPr>
                <w:sz w:val="20"/>
              </w:rPr>
            </w:r>
          </w:p>
        </w:tc>
        <w:tc>
          <w:tcPr>
            <w:tcW w:w="604"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772" w:type="dxa"/>
          </w:tcPr>
          <w:p>
            <w:pPr>
              <w:pStyle w:val="0"/>
            </w:pPr>
            <w:r>
              <w:rPr>
                <w:sz w:val="20"/>
              </w:rPr>
            </w:r>
          </w:p>
        </w:tc>
        <w:tc>
          <w:tcPr>
            <w:tcW w:w="508" w:type="dxa"/>
          </w:tcPr>
          <w:p>
            <w:pPr>
              <w:pStyle w:val="0"/>
            </w:pPr>
            <w:r>
              <w:rPr>
                <w:sz w:val="20"/>
              </w:rPr>
            </w:r>
          </w:p>
        </w:tc>
      </w:tr>
      <w:tr>
        <w:tc>
          <w:tcPr>
            <w:tcW w:w="484" w:type="dxa"/>
          </w:tcPr>
          <w:p>
            <w:pPr>
              <w:pStyle w:val="0"/>
            </w:pPr>
            <w:r>
              <w:rPr>
                <w:sz w:val="20"/>
              </w:rPr>
            </w:r>
          </w:p>
        </w:tc>
        <w:tc>
          <w:tcPr>
            <w:tcW w:w="502"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466" w:type="dxa"/>
          </w:tcPr>
          <w:p>
            <w:pPr>
              <w:pStyle w:val="0"/>
            </w:pPr>
            <w:r>
              <w:rPr>
                <w:sz w:val="20"/>
              </w:rPr>
            </w:r>
          </w:p>
        </w:tc>
        <w:tc>
          <w:tcPr>
            <w:tcW w:w="850" w:type="dxa"/>
          </w:tcPr>
          <w:p>
            <w:pPr>
              <w:pStyle w:val="0"/>
            </w:pPr>
            <w:r>
              <w:rPr>
                <w:sz w:val="20"/>
              </w:rPr>
            </w:r>
          </w:p>
        </w:tc>
        <w:tc>
          <w:tcPr>
            <w:tcW w:w="592" w:type="dxa"/>
          </w:tcPr>
          <w:p>
            <w:pPr>
              <w:pStyle w:val="0"/>
            </w:pPr>
            <w:r>
              <w:rPr>
                <w:sz w:val="20"/>
              </w:rPr>
            </w:r>
          </w:p>
        </w:tc>
        <w:tc>
          <w:tcPr>
            <w:tcW w:w="62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9" w:type="dxa"/>
          </w:tcPr>
          <w:p>
            <w:pPr>
              <w:pStyle w:val="0"/>
            </w:pPr>
            <w:r>
              <w:rPr>
                <w:sz w:val="20"/>
              </w:rPr>
            </w:r>
          </w:p>
        </w:tc>
        <w:tc>
          <w:tcPr>
            <w:tcW w:w="604" w:type="dxa"/>
          </w:tcPr>
          <w:p>
            <w:pPr>
              <w:pStyle w:val="0"/>
            </w:pPr>
            <w:r>
              <w:rPr>
                <w:sz w:val="20"/>
              </w:rPr>
            </w:r>
          </w:p>
        </w:tc>
        <w:tc>
          <w:tcPr>
            <w:tcW w:w="472" w:type="dxa"/>
          </w:tcPr>
          <w:p>
            <w:pPr>
              <w:pStyle w:val="0"/>
            </w:pPr>
            <w:r>
              <w:rPr>
                <w:sz w:val="20"/>
              </w:rPr>
            </w:r>
          </w:p>
        </w:tc>
        <w:tc>
          <w:tcPr>
            <w:tcW w:w="79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04" w:type="dxa"/>
          </w:tcPr>
          <w:p>
            <w:pPr>
              <w:pStyle w:val="0"/>
            </w:pPr>
            <w:r>
              <w:rPr>
                <w:sz w:val="20"/>
              </w:rPr>
            </w:r>
          </w:p>
        </w:tc>
        <w:tc>
          <w:tcPr>
            <w:tcW w:w="510" w:type="dxa"/>
          </w:tcPr>
          <w:p>
            <w:pPr>
              <w:pStyle w:val="0"/>
            </w:pPr>
            <w:r>
              <w:rPr>
                <w:sz w:val="20"/>
              </w:rPr>
            </w:r>
          </w:p>
        </w:tc>
        <w:tc>
          <w:tcPr>
            <w:tcW w:w="628" w:type="dxa"/>
          </w:tcPr>
          <w:p>
            <w:pPr>
              <w:pStyle w:val="0"/>
            </w:pPr>
            <w:r>
              <w:rPr>
                <w:sz w:val="20"/>
              </w:rPr>
            </w:r>
          </w:p>
        </w:tc>
        <w:tc>
          <w:tcPr>
            <w:tcW w:w="604"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772" w:type="dxa"/>
          </w:tcPr>
          <w:p>
            <w:pPr>
              <w:pStyle w:val="0"/>
            </w:pPr>
            <w:r>
              <w:rPr>
                <w:sz w:val="20"/>
              </w:rPr>
            </w:r>
          </w:p>
        </w:tc>
        <w:tc>
          <w:tcPr>
            <w:tcW w:w="508" w:type="dxa"/>
          </w:tcPr>
          <w:p>
            <w:pPr>
              <w:pStyle w:val="0"/>
            </w:pPr>
            <w:r>
              <w:rPr>
                <w:sz w:val="20"/>
              </w:rPr>
            </w:r>
          </w:p>
        </w:tc>
      </w:tr>
      <w:tr>
        <w:tc>
          <w:tcPr>
            <w:tcW w:w="484" w:type="dxa"/>
          </w:tcPr>
          <w:p>
            <w:pPr>
              <w:pStyle w:val="0"/>
            </w:pPr>
            <w:r>
              <w:rPr>
                <w:sz w:val="20"/>
              </w:rPr>
            </w:r>
          </w:p>
        </w:tc>
        <w:tc>
          <w:tcPr>
            <w:tcW w:w="502"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466" w:type="dxa"/>
          </w:tcPr>
          <w:p>
            <w:pPr>
              <w:pStyle w:val="0"/>
            </w:pPr>
            <w:r>
              <w:rPr>
                <w:sz w:val="20"/>
              </w:rPr>
            </w:r>
          </w:p>
        </w:tc>
        <w:tc>
          <w:tcPr>
            <w:tcW w:w="850" w:type="dxa"/>
          </w:tcPr>
          <w:p>
            <w:pPr>
              <w:pStyle w:val="0"/>
            </w:pPr>
            <w:r>
              <w:rPr>
                <w:sz w:val="20"/>
              </w:rPr>
            </w:r>
          </w:p>
        </w:tc>
        <w:tc>
          <w:tcPr>
            <w:tcW w:w="592" w:type="dxa"/>
          </w:tcPr>
          <w:p>
            <w:pPr>
              <w:pStyle w:val="0"/>
            </w:pPr>
            <w:r>
              <w:rPr>
                <w:sz w:val="20"/>
              </w:rPr>
            </w:r>
          </w:p>
        </w:tc>
        <w:tc>
          <w:tcPr>
            <w:tcW w:w="62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9" w:type="dxa"/>
          </w:tcPr>
          <w:p>
            <w:pPr>
              <w:pStyle w:val="0"/>
            </w:pPr>
            <w:r>
              <w:rPr>
                <w:sz w:val="20"/>
              </w:rPr>
            </w:r>
          </w:p>
        </w:tc>
        <w:tc>
          <w:tcPr>
            <w:tcW w:w="604" w:type="dxa"/>
          </w:tcPr>
          <w:p>
            <w:pPr>
              <w:pStyle w:val="0"/>
            </w:pPr>
            <w:r>
              <w:rPr>
                <w:sz w:val="20"/>
              </w:rPr>
            </w:r>
          </w:p>
        </w:tc>
        <w:tc>
          <w:tcPr>
            <w:tcW w:w="472" w:type="dxa"/>
          </w:tcPr>
          <w:p>
            <w:pPr>
              <w:pStyle w:val="0"/>
            </w:pPr>
            <w:r>
              <w:rPr>
                <w:sz w:val="20"/>
              </w:rPr>
            </w:r>
          </w:p>
        </w:tc>
        <w:tc>
          <w:tcPr>
            <w:tcW w:w="79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04" w:type="dxa"/>
          </w:tcPr>
          <w:p>
            <w:pPr>
              <w:pStyle w:val="0"/>
            </w:pPr>
            <w:r>
              <w:rPr>
                <w:sz w:val="20"/>
              </w:rPr>
            </w:r>
          </w:p>
        </w:tc>
        <w:tc>
          <w:tcPr>
            <w:tcW w:w="510" w:type="dxa"/>
          </w:tcPr>
          <w:p>
            <w:pPr>
              <w:pStyle w:val="0"/>
            </w:pPr>
            <w:r>
              <w:rPr>
                <w:sz w:val="20"/>
              </w:rPr>
            </w:r>
          </w:p>
        </w:tc>
        <w:tc>
          <w:tcPr>
            <w:tcW w:w="628" w:type="dxa"/>
          </w:tcPr>
          <w:p>
            <w:pPr>
              <w:pStyle w:val="0"/>
            </w:pPr>
            <w:r>
              <w:rPr>
                <w:sz w:val="20"/>
              </w:rPr>
            </w:r>
          </w:p>
        </w:tc>
        <w:tc>
          <w:tcPr>
            <w:tcW w:w="604"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772" w:type="dxa"/>
          </w:tcPr>
          <w:p>
            <w:pPr>
              <w:pStyle w:val="0"/>
            </w:pPr>
            <w:r>
              <w:rPr>
                <w:sz w:val="20"/>
              </w:rPr>
            </w:r>
          </w:p>
        </w:tc>
        <w:tc>
          <w:tcPr>
            <w:tcW w:w="508" w:type="dxa"/>
          </w:tcPr>
          <w:p>
            <w:pPr>
              <w:pStyle w:val="0"/>
            </w:pPr>
            <w:r>
              <w:rPr>
                <w:sz w:val="20"/>
              </w:rPr>
            </w:r>
          </w:p>
        </w:tc>
      </w:tr>
      <w:tr>
        <w:tc>
          <w:tcPr>
            <w:tcW w:w="484" w:type="dxa"/>
          </w:tcPr>
          <w:p>
            <w:pPr>
              <w:pStyle w:val="0"/>
            </w:pPr>
            <w:r>
              <w:rPr>
                <w:sz w:val="20"/>
              </w:rPr>
            </w:r>
          </w:p>
        </w:tc>
        <w:tc>
          <w:tcPr>
            <w:tcW w:w="502"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466" w:type="dxa"/>
          </w:tcPr>
          <w:p>
            <w:pPr>
              <w:pStyle w:val="0"/>
            </w:pPr>
            <w:r>
              <w:rPr>
                <w:sz w:val="20"/>
              </w:rPr>
            </w:r>
          </w:p>
        </w:tc>
        <w:tc>
          <w:tcPr>
            <w:tcW w:w="850" w:type="dxa"/>
          </w:tcPr>
          <w:p>
            <w:pPr>
              <w:pStyle w:val="0"/>
            </w:pPr>
            <w:r>
              <w:rPr>
                <w:sz w:val="20"/>
              </w:rPr>
            </w:r>
          </w:p>
        </w:tc>
        <w:tc>
          <w:tcPr>
            <w:tcW w:w="592" w:type="dxa"/>
          </w:tcPr>
          <w:p>
            <w:pPr>
              <w:pStyle w:val="0"/>
            </w:pPr>
            <w:r>
              <w:rPr>
                <w:sz w:val="20"/>
              </w:rPr>
            </w:r>
          </w:p>
        </w:tc>
        <w:tc>
          <w:tcPr>
            <w:tcW w:w="62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9" w:type="dxa"/>
          </w:tcPr>
          <w:p>
            <w:pPr>
              <w:pStyle w:val="0"/>
            </w:pPr>
            <w:r>
              <w:rPr>
                <w:sz w:val="20"/>
              </w:rPr>
            </w:r>
          </w:p>
        </w:tc>
        <w:tc>
          <w:tcPr>
            <w:tcW w:w="604" w:type="dxa"/>
          </w:tcPr>
          <w:p>
            <w:pPr>
              <w:pStyle w:val="0"/>
            </w:pPr>
            <w:r>
              <w:rPr>
                <w:sz w:val="20"/>
              </w:rPr>
            </w:r>
          </w:p>
        </w:tc>
        <w:tc>
          <w:tcPr>
            <w:tcW w:w="472" w:type="dxa"/>
          </w:tcPr>
          <w:p>
            <w:pPr>
              <w:pStyle w:val="0"/>
            </w:pPr>
            <w:r>
              <w:rPr>
                <w:sz w:val="20"/>
              </w:rPr>
            </w:r>
          </w:p>
        </w:tc>
        <w:tc>
          <w:tcPr>
            <w:tcW w:w="79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04" w:type="dxa"/>
          </w:tcPr>
          <w:p>
            <w:pPr>
              <w:pStyle w:val="0"/>
            </w:pPr>
            <w:r>
              <w:rPr>
                <w:sz w:val="20"/>
              </w:rPr>
            </w:r>
          </w:p>
        </w:tc>
        <w:tc>
          <w:tcPr>
            <w:tcW w:w="510" w:type="dxa"/>
          </w:tcPr>
          <w:p>
            <w:pPr>
              <w:pStyle w:val="0"/>
            </w:pPr>
            <w:r>
              <w:rPr>
                <w:sz w:val="20"/>
              </w:rPr>
            </w:r>
          </w:p>
        </w:tc>
        <w:tc>
          <w:tcPr>
            <w:tcW w:w="628" w:type="dxa"/>
          </w:tcPr>
          <w:p>
            <w:pPr>
              <w:pStyle w:val="0"/>
            </w:pPr>
            <w:r>
              <w:rPr>
                <w:sz w:val="20"/>
              </w:rPr>
            </w:r>
          </w:p>
        </w:tc>
        <w:tc>
          <w:tcPr>
            <w:tcW w:w="604"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772" w:type="dxa"/>
          </w:tcPr>
          <w:p>
            <w:pPr>
              <w:pStyle w:val="0"/>
            </w:pPr>
            <w:r>
              <w:rPr>
                <w:sz w:val="20"/>
              </w:rPr>
            </w:r>
          </w:p>
        </w:tc>
        <w:tc>
          <w:tcPr>
            <w:tcW w:w="508" w:type="dxa"/>
          </w:tcPr>
          <w:p>
            <w:pPr>
              <w:pStyle w:val="0"/>
            </w:pPr>
            <w:r>
              <w:rPr>
                <w:sz w:val="20"/>
              </w:rPr>
            </w:r>
          </w:p>
        </w:tc>
      </w:tr>
      <w:tr>
        <w:tc>
          <w:tcPr>
            <w:tcW w:w="484" w:type="dxa"/>
          </w:tcPr>
          <w:p>
            <w:pPr>
              <w:pStyle w:val="0"/>
            </w:pPr>
            <w:r>
              <w:rPr>
                <w:sz w:val="20"/>
              </w:rPr>
            </w:r>
          </w:p>
        </w:tc>
        <w:tc>
          <w:tcPr>
            <w:tcW w:w="502"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466" w:type="dxa"/>
          </w:tcPr>
          <w:p>
            <w:pPr>
              <w:pStyle w:val="0"/>
            </w:pPr>
            <w:r>
              <w:rPr>
                <w:sz w:val="20"/>
              </w:rPr>
            </w:r>
          </w:p>
        </w:tc>
        <w:tc>
          <w:tcPr>
            <w:tcW w:w="850" w:type="dxa"/>
          </w:tcPr>
          <w:p>
            <w:pPr>
              <w:pStyle w:val="0"/>
            </w:pPr>
            <w:r>
              <w:rPr>
                <w:sz w:val="20"/>
              </w:rPr>
            </w:r>
          </w:p>
        </w:tc>
        <w:tc>
          <w:tcPr>
            <w:tcW w:w="592" w:type="dxa"/>
          </w:tcPr>
          <w:p>
            <w:pPr>
              <w:pStyle w:val="0"/>
            </w:pPr>
            <w:r>
              <w:rPr>
                <w:sz w:val="20"/>
              </w:rPr>
            </w:r>
          </w:p>
        </w:tc>
        <w:tc>
          <w:tcPr>
            <w:tcW w:w="62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9" w:type="dxa"/>
          </w:tcPr>
          <w:p>
            <w:pPr>
              <w:pStyle w:val="0"/>
            </w:pPr>
            <w:r>
              <w:rPr>
                <w:sz w:val="20"/>
              </w:rPr>
            </w:r>
          </w:p>
        </w:tc>
        <w:tc>
          <w:tcPr>
            <w:tcW w:w="604" w:type="dxa"/>
          </w:tcPr>
          <w:p>
            <w:pPr>
              <w:pStyle w:val="0"/>
            </w:pPr>
            <w:r>
              <w:rPr>
                <w:sz w:val="20"/>
              </w:rPr>
            </w:r>
          </w:p>
        </w:tc>
        <w:tc>
          <w:tcPr>
            <w:tcW w:w="472" w:type="dxa"/>
          </w:tcPr>
          <w:p>
            <w:pPr>
              <w:pStyle w:val="0"/>
            </w:pPr>
            <w:r>
              <w:rPr>
                <w:sz w:val="20"/>
              </w:rPr>
            </w:r>
          </w:p>
        </w:tc>
        <w:tc>
          <w:tcPr>
            <w:tcW w:w="79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04" w:type="dxa"/>
          </w:tcPr>
          <w:p>
            <w:pPr>
              <w:pStyle w:val="0"/>
            </w:pPr>
            <w:r>
              <w:rPr>
                <w:sz w:val="20"/>
              </w:rPr>
            </w:r>
          </w:p>
        </w:tc>
        <w:tc>
          <w:tcPr>
            <w:tcW w:w="510" w:type="dxa"/>
          </w:tcPr>
          <w:p>
            <w:pPr>
              <w:pStyle w:val="0"/>
            </w:pPr>
            <w:r>
              <w:rPr>
                <w:sz w:val="20"/>
              </w:rPr>
            </w:r>
          </w:p>
        </w:tc>
        <w:tc>
          <w:tcPr>
            <w:tcW w:w="628" w:type="dxa"/>
          </w:tcPr>
          <w:p>
            <w:pPr>
              <w:pStyle w:val="0"/>
            </w:pPr>
            <w:r>
              <w:rPr>
                <w:sz w:val="20"/>
              </w:rPr>
            </w:r>
          </w:p>
        </w:tc>
        <w:tc>
          <w:tcPr>
            <w:tcW w:w="604"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772" w:type="dxa"/>
          </w:tcPr>
          <w:p>
            <w:pPr>
              <w:pStyle w:val="0"/>
            </w:pPr>
            <w:r>
              <w:rPr>
                <w:sz w:val="20"/>
              </w:rPr>
            </w:r>
          </w:p>
        </w:tc>
        <w:tc>
          <w:tcPr>
            <w:tcW w:w="508" w:type="dxa"/>
          </w:tcPr>
          <w:p>
            <w:pPr>
              <w:pStyle w:val="0"/>
            </w:pPr>
            <w:r>
              <w:rPr>
                <w:sz w:val="20"/>
              </w:rPr>
            </w:r>
          </w:p>
        </w:tc>
      </w:tr>
      <w:tr>
        <w:tc>
          <w:tcPr>
            <w:tcW w:w="484" w:type="dxa"/>
          </w:tcPr>
          <w:p>
            <w:pPr>
              <w:pStyle w:val="0"/>
            </w:pPr>
            <w:r>
              <w:rPr>
                <w:sz w:val="20"/>
              </w:rPr>
            </w:r>
          </w:p>
        </w:tc>
        <w:tc>
          <w:tcPr>
            <w:tcW w:w="502"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466" w:type="dxa"/>
          </w:tcPr>
          <w:p>
            <w:pPr>
              <w:pStyle w:val="0"/>
            </w:pPr>
            <w:r>
              <w:rPr>
                <w:sz w:val="20"/>
              </w:rPr>
            </w:r>
          </w:p>
        </w:tc>
        <w:tc>
          <w:tcPr>
            <w:tcW w:w="850" w:type="dxa"/>
          </w:tcPr>
          <w:p>
            <w:pPr>
              <w:pStyle w:val="0"/>
            </w:pPr>
            <w:r>
              <w:rPr>
                <w:sz w:val="20"/>
              </w:rPr>
            </w:r>
          </w:p>
        </w:tc>
        <w:tc>
          <w:tcPr>
            <w:tcW w:w="592" w:type="dxa"/>
          </w:tcPr>
          <w:p>
            <w:pPr>
              <w:pStyle w:val="0"/>
            </w:pPr>
            <w:r>
              <w:rPr>
                <w:sz w:val="20"/>
              </w:rPr>
            </w:r>
          </w:p>
        </w:tc>
        <w:tc>
          <w:tcPr>
            <w:tcW w:w="62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8" w:type="dxa"/>
          </w:tcPr>
          <w:p>
            <w:pPr>
              <w:pStyle w:val="0"/>
            </w:pPr>
            <w:r>
              <w:rPr>
                <w:sz w:val="20"/>
              </w:rPr>
            </w:r>
          </w:p>
        </w:tc>
        <w:tc>
          <w:tcPr>
            <w:tcW w:w="439" w:type="dxa"/>
          </w:tcPr>
          <w:p>
            <w:pPr>
              <w:pStyle w:val="0"/>
            </w:pPr>
            <w:r>
              <w:rPr>
                <w:sz w:val="20"/>
              </w:rPr>
            </w:r>
          </w:p>
        </w:tc>
        <w:tc>
          <w:tcPr>
            <w:tcW w:w="604" w:type="dxa"/>
          </w:tcPr>
          <w:p>
            <w:pPr>
              <w:pStyle w:val="0"/>
            </w:pPr>
            <w:r>
              <w:rPr>
                <w:sz w:val="20"/>
              </w:rPr>
            </w:r>
          </w:p>
        </w:tc>
        <w:tc>
          <w:tcPr>
            <w:tcW w:w="472" w:type="dxa"/>
          </w:tcPr>
          <w:p>
            <w:pPr>
              <w:pStyle w:val="0"/>
            </w:pPr>
            <w:r>
              <w:rPr>
                <w:sz w:val="20"/>
              </w:rPr>
            </w:r>
          </w:p>
        </w:tc>
        <w:tc>
          <w:tcPr>
            <w:tcW w:w="79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04" w:type="dxa"/>
          </w:tcPr>
          <w:p>
            <w:pPr>
              <w:pStyle w:val="0"/>
            </w:pPr>
            <w:r>
              <w:rPr>
                <w:sz w:val="20"/>
              </w:rPr>
            </w:r>
          </w:p>
        </w:tc>
        <w:tc>
          <w:tcPr>
            <w:tcW w:w="510" w:type="dxa"/>
          </w:tcPr>
          <w:p>
            <w:pPr>
              <w:pStyle w:val="0"/>
            </w:pPr>
            <w:r>
              <w:rPr>
                <w:sz w:val="20"/>
              </w:rPr>
            </w:r>
          </w:p>
        </w:tc>
        <w:tc>
          <w:tcPr>
            <w:tcW w:w="628" w:type="dxa"/>
          </w:tcPr>
          <w:p>
            <w:pPr>
              <w:pStyle w:val="0"/>
            </w:pPr>
            <w:r>
              <w:rPr>
                <w:sz w:val="20"/>
              </w:rPr>
            </w:r>
          </w:p>
        </w:tc>
        <w:tc>
          <w:tcPr>
            <w:tcW w:w="604"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772" w:type="dxa"/>
          </w:tcPr>
          <w:p>
            <w:pPr>
              <w:pStyle w:val="0"/>
            </w:pPr>
            <w:r>
              <w:rPr>
                <w:sz w:val="20"/>
              </w:rPr>
            </w:r>
          </w:p>
        </w:tc>
        <w:tc>
          <w:tcPr>
            <w:tcW w:w="508"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947" w:name="P947"/>
    <w:bookmarkEnd w:id="947"/>
    <w:p>
      <w:pPr>
        <w:pStyle w:val="0"/>
        <w:jc w:val="center"/>
      </w:pPr>
      <w:r>
        <w:rPr>
          <w:sz w:val="20"/>
        </w:rPr>
        <w:t xml:space="preserve">Таблица N 3.3</w:t>
      </w:r>
    </w:p>
    <w:p>
      <w:pPr>
        <w:pStyle w:val="0"/>
        <w:jc w:val="center"/>
      </w:pPr>
      <w:r>
        <w:rPr>
          <w:sz w:val="20"/>
        </w:rPr>
        <w:t xml:space="preserve">Данные для стационарных ИЗАВ, имеющих</w:t>
      </w:r>
    </w:p>
    <w:p>
      <w:pPr>
        <w:pStyle w:val="0"/>
        <w:jc w:val="center"/>
      </w:pPr>
      <w:r>
        <w:rPr>
          <w:sz w:val="20"/>
        </w:rPr>
        <w:t xml:space="preserve">произвольную форму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077"/>
        <w:gridCol w:w="1361"/>
        <w:gridCol w:w="4231"/>
        <w:gridCol w:w="1474"/>
      </w:tblGrid>
      <w:tr>
        <w:tc>
          <w:tcPr>
            <w:tcW w:w="907" w:type="dxa"/>
          </w:tcPr>
          <w:p>
            <w:pPr>
              <w:pStyle w:val="0"/>
              <w:jc w:val="center"/>
            </w:pPr>
            <w:r>
              <w:rPr>
                <w:sz w:val="20"/>
              </w:rPr>
              <w:t xml:space="preserve">N ИЗАВ</w:t>
            </w:r>
          </w:p>
        </w:tc>
        <w:tc>
          <w:tcPr>
            <w:tcW w:w="1077" w:type="dxa"/>
          </w:tcPr>
          <w:p>
            <w:pPr>
              <w:pStyle w:val="0"/>
              <w:jc w:val="center"/>
            </w:pPr>
            <w:r>
              <w:rPr>
                <w:sz w:val="20"/>
              </w:rPr>
              <w:t xml:space="preserve">Тип ИЗАВ</w:t>
            </w:r>
          </w:p>
        </w:tc>
        <w:tc>
          <w:tcPr>
            <w:tcW w:w="1361" w:type="dxa"/>
          </w:tcPr>
          <w:p>
            <w:pPr>
              <w:pStyle w:val="0"/>
              <w:jc w:val="center"/>
            </w:pPr>
            <w:r>
              <w:rPr>
                <w:sz w:val="20"/>
              </w:rPr>
              <w:t xml:space="preserve">Наименование ИЗАВ</w:t>
            </w:r>
          </w:p>
        </w:tc>
        <w:tc>
          <w:tcPr>
            <w:tcW w:w="4231" w:type="dxa"/>
          </w:tcPr>
          <w:p>
            <w:pPr>
              <w:pStyle w:val="0"/>
              <w:jc w:val="center"/>
            </w:pPr>
            <w:r>
              <w:rPr>
                <w:sz w:val="20"/>
              </w:rPr>
              <w:t xml:space="preserve">Координаты вершин многоугольника, описывающего источник выбросов</w:t>
            </w:r>
          </w:p>
          <w:p>
            <w:pPr>
              <w:pStyle w:val="0"/>
              <w:jc w:val="center"/>
            </w:pPr>
            <w:r>
              <w:rPr>
                <w:sz w:val="20"/>
              </w:rPr>
              <w:t xml:space="preserve">(X1; Y1) ... (Xn; Yn), м</w:t>
            </w:r>
          </w:p>
        </w:tc>
        <w:tc>
          <w:tcPr>
            <w:tcW w:w="1474" w:type="dxa"/>
          </w:tcPr>
          <w:p>
            <w:pPr>
              <w:pStyle w:val="0"/>
              <w:jc w:val="center"/>
            </w:pPr>
            <w:r>
              <w:rPr>
                <w:sz w:val="20"/>
              </w:rPr>
              <w:t xml:space="preserve">Площадь многоугольника, м</w:t>
            </w:r>
            <w:r>
              <w:rPr>
                <w:sz w:val="20"/>
                <w:vertAlign w:val="superscript"/>
              </w:rPr>
              <w:t xml:space="preserve">2</w:t>
            </w:r>
          </w:p>
        </w:tc>
      </w:tr>
      <w:tr>
        <w:tc>
          <w:tcPr>
            <w:tcW w:w="907" w:type="dxa"/>
          </w:tcPr>
          <w:p>
            <w:pPr>
              <w:pStyle w:val="0"/>
              <w:jc w:val="center"/>
            </w:pPr>
            <w:r>
              <w:rPr>
                <w:sz w:val="20"/>
              </w:rPr>
              <w:t xml:space="preserve">1</w:t>
            </w:r>
          </w:p>
        </w:tc>
        <w:tc>
          <w:tcPr>
            <w:tcW w:w="1077" w:type="dxa"/>
          </w:tcPr>
          <w:p>
            <w:pPr>
              <w:pStyle w:val="0"/>
              <w:jc w:val="center"/>
            </w:pPr>
            <w:r>
              <w:rPr>
                <w:sz w:val="20"/>
              </w:rPr>
              <w:t xml:space="preserve">2</w:t>
            </w:r>
          </w:p>
        </w:tc>
        <w:tc>
          <w:tcPr>
            <w:tcW w:w="1361" w:type="dxa"/>
          </w:tcPr>
          <w:p>
            <w:pPr>
              <w:pStyle w:val="0"/>
              <w:jc w:val="center"/>
            </w:pPr>
            <w:r>
              <w:rPr>
                <w:sz w:val="20"/>
              </w:rPr>
              <w:t xml:space="preserve">3</w:t>
            </w:r>
          </w:p>
        </w:tc>
        <w:tc>
          <w:tcPr>
            <w:tcW w:w="4231" w:type="dxa"/>
          </w:tcPr>
          <w:p>
            <w:pPr>
              <w:pStyle w:val="0"/>
              <w:jc w:val="center"/>
            </w:pPr>
            <w:r>
              <w:rPr>
                <w:sz w:val="20"/>
              </w:rPr>
              <w:t xml:space="preserve">4</w:t>
            </w:r>
          </w:p>
        </w:tc>
        <w:tc>
          <w:tcPr>
            <w:tcW w:w="1474" w:type="dxa"/>
          </w:tcPr>
          <w:p>
            <w:pPr>
              <w:pStyle w:val="0"/>
              <w:jc w:val="center"/>
            </w:pPr>
            <w:r>
              <w:rPr>
                <w:sz w:val="20"/>
              </w:rPr>
              <w:t xml:space="preserve">5</w:t>
            </w:r>
          </w:p>
        </w:tc>
      </w:tr>
      <w:tr>
        <w:tc>
          <w:tcPr>
            <w:tcW w:w="907" w:type="dxa"/>
          </w:tcPr>
          <w:p>
            <w:pPr>
              <w:pStyle w:val="0"/>
            </w:pPr>
            <w:r>
              <w:rPr>
                <w:sz w:val="20"/>
              </w:rPr>
            </w:r>
          </w:p>
        </w:tc>
        <w:tc>
          <w:tcPr>
            <w:tcW w:w="1077" w:type="dxa"/>
          </w:tcPr>
          <w:p>
            <w:pPr>
              <w:pStyle w:val="0"/>
            </w:pPr>
            <w:r>
              <w:rPr>
                <w:sz w:val="20"/>
              </w:rPr>
            </w:r>
          </w:p>
        </w:tc>
        <w:tc>
          <w:tcPr>
            <w:tcW w:w="1361" w:type="dxa"/>
          </w:tcPr>
          <w:p>
            <w:pPr>
              <w:pStyle w:val="0"/>
            </w:pPr>
            <w:r>
              <w:rPr>
                <w:sz w:val="20"/>
              </w:rPr>
            </w:r>
          </w:p>
        </w:tc>
        <w:tc>
          <w:tcPr>
            <w:tcW w:w="4231" w:type="dxa"/>
          </w:tcPr>
          <w:p>
            <w:pPr>
              <w:pStyle w:val="0"/>
            </w:pPr>
            <w:r>
              <w:rPr>
                <w:sz w:val="20"/>
              </w:rPr>
            </w:r>
          </w:p>
        </w:tc>
        <w:tc>
          <w:tcPr>
            <w:tcW w:w="147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972" w:name="P972"/>
    <w:bookmarkEnd w:id="972"/>
    <w:p>
      <w:pPr>
        <w:pStyle w:val="0"/>
        <w:jc w:val="center"/>
      </w:pPr>
      <w:r>
        <w:rPr>
          <w:sz w:val="20"/>
        </w:rPr>
        <w:t xml:space="preserve">Таблица N 3.4</w:t>
      </w:r>
    </w:p>
    <w:p>
      <w:pPr>
        <w:pStyle w:val="0"/>
        <w:jc w:val="center"/>
      </w:pPr>
      <w:r>
        <w:rPr>
          <w:sz w:val="20"/>
        </w:rPr>
        <w:t xml:space="preserve">Данные для стационарных ИЗАВ, ось устья которых отклоняется</w:t>
      </w:r>
    </w:p>
    <w:p>
      <w:pPr>
        <w:pStyle w:val="0"/>
        <w:jc w:val="center"/>
      </w:pPr>
      <w:r>
        <w:rPr>
          <w:sz w:val="20"/>
        </w:rPr>
        <w:t xml:space="preserve">от вертикали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1020"/>
        <w:gridCol w:w="1247"/>
        <w:gridCol w:w="2267"/>
        <w:gridCol w:w="3741"/>
      </w:tblGrid>
      <w:tr>
        <w:tc>
          <w:tcPr>
            <w:tcW w:w="793" w:type="dxa"/>
          </w:tcPr>
          <w:p>
            <w:pPr>
              <w:pStyle w:val="0"/>
              <w:jc w:val="center"/>
            </w:pPr>
            <w:r>
              <w:rPr>
                <w:sz w:val="20"/>
              </w:rPr>
              <w:t xml:space="preserve">N ИЗАВ</w:t>
            </w:r>
          </w:p>
        </w:tc>
        <w:tc>
          <w:tcPr>
            <w:tcW w:w="1020" w:type="dxa"/>
          </w:tcPr>
          <w:p>
            <w:pPr>
              <w:pStyle w:val="0"/>
              <w:jc w:val="center"/>
            </w:pPr>
            <w:r>
              <w:rPr>
                <w:sz w:val="20"/>
              </w:rPr>
              <w:t xml:space="preserve">Тип ИЗАВ</w:t>
            </w:r>
          </w:p>
        </w:tc>
        <w:tc>
          <w:tcPr>
            <w:tcW w:w="1247" w:type="dxa"/>
          </w:tcPr>
          <w:p>
            <w:pPr>
              <w:pStyle w:val="0"/>
              <w:jc w:val="center"/>
            </w:pPr>
            <w:r>
              <w:rPr>
                <w:sz w:val="20"/>
              </w:rPr>
              <w:t xml:space="preserve">Наименова ние ИЗАВ</w:t>
            </w:r>
          </w:p>
        </w:tc>
        <w:tc>
          <w:tcPr>
            <w:tcW w:w="2267" w:type="dxa"/>
          </w:tcPr>
          <w:p>
            <w:pPr>
              <w:pStyle w:val="0"/>
              <w:jc w:val="center"/>
            </w:pPr>
            <w:r>
              <w:rPr>
                <w:sz w:val="20"/>
              </w:rPr>
              <w:t xml:space="preserve">Угол отклонения оси устья источника от вертикали, градус</w:t>
            </w:r>
          </w:p>
        </w:tc>
        <w:tc>
          <w:tcPr>
            <w:tcW w:w="3741" w:type="dxa"/>
          </w:tcPr>
          <w:p>
            <w:pPr>
              <w:pStyle w:val="0"/>
              <w:jc w:val="center"/>
            </w:pPr>
            <w:r>
              <w:rPr>
                <w:sz w:val="20"/>
              </w:rPr>
              <w:t xml:space="preserve">Направление отклонения (азимут) оси источника, градус (угол между направлением от основания источника на север и горизонтальной проекцией оси устья источника)</w:t>
            </w:r>
          </w:p>
        </w:tc>
      </w:tr>
      <w:tr>
        <w:tc>
          <w:tcPr>
            <w:tcW w:w="793" w:type="dxa"/>
          </w:tcPr>
          <w:p>
            <w:pPr>
              <w:pStyle w:val="0"/>
              <w:jc w:val="center"/>
            </w:pPr>
            <w:r>
              <w:rPr>
                <w:sz w:val="20"/>
              </w:rPr>
              <w:t xml:space="preserve">1</w:t>
            </w:r>
          </w:p>
        </w:tc>
        <w:tc>
          <w:tcPr>
            <w:tcW w:w="1020" w:type="dxa"/>
          </w:tcPr>
          <w:p>
            <w:pPr>
              <w:pStyle w:val="0"/>
              <w:jc w:val="center"/>
            </w:pPr>
            <w:r>
              <w:rPr>
                <w:sz w:val="20"/>
              </w:rPr>
              <w:t xml:space="preserve">2</w:t>
            </w:r>
          </w:p>
        </w:tc>
        <w:tc>
          <w:tcPr>
            <w:tcW w:w="1247" w:type="dxa"/>
          </w:tcPr>
          <w:p>
            <w:pPr>
              <w:pStyle w:val="0"/>
              <w:jc w:val="center"/>
            </w:pPr>
            <w:r>
              <w:rPr>
                <w:sz w:val="20"/>
              </w:rPr>
              <w:t xml:space="preserve">3</w:t>
            </w:r>
          </w:p>
        </w:tc>
        <w:tc>
          <w:tcPr>
            <w:tcW w:w="2267" w:type="dxa"/>
          </w:tcPr>
          <w:p>
            <w:pPr>
              <w:pStyle w:val="0"/>
              <w:jc w:val="center"/>
            </w:pPr>
            <w:r>
              <w:rPr>
                <w:sz w:val="20"/>
              </w:rPr>
              <w:t xml:space="preserve">4</w:t>
            </w:r>
          </w:p>
        </w:tc>
        <w:tc>
          <w:tcPr>
            <w:tcW w:w="3741" w:type="dxa"/>
          </w:tcPr>
          <w:p>
            <w:pPr>
              <w:pStyle w:val="0"/>
              <w:jc w:val="center"/>
            </w:pPr>
            <w:r>
              <w:rPr>
                <w:sz w:val="20"/>
              </w:rPr>
              <w:t xml:space="preserve">5</w:t>
            </w:r>
          </w:p>
        </w:tc>
      </w:tr>
      <w:tr>
        <w:tc>
          <w:tcPr>
            <w:tcW w:w="793"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2267" w:type="dxa"/>
          </w:tcPr>
          <w:p>
            <w:pPr>
              <w:pStyle w:val="0"/>
            </w:pPr>
            <w:r>
              <w:rPr>
                <w:sz w:val="20"/>
              </w:rPr>
            </w:r>
          </w:p>
        </w:tc>
        <w:tc>
          <w:tcPr>
            <w:tcW w:w="37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996" w:name="P996"/>
    <w:bookmarkEnd w:id="996"/>
    <w:p>
      <w:pPr>
        <w:pStyle w:val="0"/>
        <w:jc w:val="center"/>
      </w:pPr>
      <w:r>
        <w:rPr>
          <w:sz w:val="20"/>
        </w:rPr>
        <w:t xml:space="preserve">Таблица N 3.5</w:t>
      </w:r>
    </w:p>
    <w:p>
      <w:pPr>
        <w:pStyle w:val="0"/>
        <w:jc w:val="center"/>
      </w:pPr>
      <w:r>
        <w:rPr>
          <w:sz w:val="20"/>
        </w:rPr>
        <w:t xml:space="preserve">Данные для стационарных ИЗАВ в случае факельного горения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964"/>
        <w:gridCol w:w="1304"/>
        <w:gridCol w:w="3515"/>
        <w:gridCol w:w="2494"/>
      </w:tblGrid>
      <w:tr>
        <w:tc>
          <w:tcPr>
            <w:tcW w:w="794" w:type="dxa"/>
          </w:tcPr>
          <w:p>
            <w:pPr>
              <w:pStyle w:val="0"/>
              <w:jc w:val="center"/>
            </w:pPr>
            <w:r>
              <w:rPr>
                <w:sz w:val="20"/>
              </w:rPr>
              <w:t xml:space="preserve">N ИЗАВ</w:t>
            </w:r>
          </w:p>
        </w:tc>
        <w:tc>
          <w:tcPr>
            <w:tcW w:w="964" w:type="dxa"/>
          </w:tcPr>
          <w:p>
            <w:pPr>
              <w:pStyle w:val="0"/>
              <w:jc w:val="center"/>
            </w:pPr>
            <w:r>
              <w:rPr>
                <w:sz w:val="20"/>
              </w:rPr>
              <w:t xml:space="preserve">Тип ИЗАВ</w:t>
            </w:r>
          </w:p>
        </w:tc>
        <w:tc>
          <w:tcPr>
            <w:tcW w:w="1304" w:type="dxa"/>
          </w:tcPr>
          <w:p>
            <w:pPr>
              <w:pStyle w:val="0"/>
              <w:jc w:val="center"/>
            </w:pPr>
            <w:r>
              <w:rPr>
                <w:sz w:val="20"/>
              </w:rPr>
              <w:t xml:space="preserve">Наименование ИЗАВ</w:t>
            </w:r>
          </w:p>
        </w:tc>
        <w:tc>
          <w:tcPr>
            <w:tcW w:w="3515" w:type="dxa"/>
          </w:tcPr>
          <w:p>
            <w:pPr>
              <w:pStyle w:val="0"/>
              <w:jc w:val="center"/>
            </w:pPr>
            <w:r>
              <w:rPr>
                <w:sz w:val="20"/>
              </w:rPr>
              <w:t xml:space="preserve">Тепловая мощность ИВ, вычисленная с учетом неполноты сгорания топлива, Вт</w:t>
            </w:r>
          </w:p>
        </w:tc>
        <w:tc>
          <w:tcPr>
            <w:tcW w:w="2494" w:type="dxa"/>
          </w:tcPr>
          <w:p>
            <w:pPr>
              <w:pStyle w:val="0"/>
              <w:jc w:val="center"/>
            </w:pPr>
            <w:r>
              <w:rPr>
                <w:sz w:val="20"/>
              </w:rPr>
              <w:t xml:space="preserve">Часть тепловой мощности ИВ, затрачиваемая на излучение</w:t>
            </w:r>
          </w:p>
        </w:tc>
      </w:tr>
      <w:tr>
        <w:tc>
          <w:tcPr>
            <w:tcW w:w="794" w:type="dxa"/>
          </w:tcPr>
          <w:p>
            <w:pPr>
              <w:pStyle w:val="0"/>
              <w:jc w:val="center"/>
            </w:pPr>
            <w:r>
              <w:rPr>
                <w:sz w:val="20"/>
              </w:rPr>
              <w:t xml:space="preserve">1</w:t>
            </w:r>
          </w:p>
        </w:tc>
        <w:tc>
          <w:tcPr>
            <w:tcW w:w="964" w:type="dxa"/>
          </w:tcPr>
          <w:p>
            <w:pPr>
              <w:pStyle w:val="0"/>
              <w:jc w:val="center"/>
            </w:pPr>
            <w:r>
              <w:rPr>
                <w:sz w:val="20"/>
              </w:rPr>
              <w:t xml:space="preserve">2</w:t>
            </w:r>
          </w:p>
        </w:tc>
        <w:tc>
          <w:tcPr>
            <w:tcW w:w="1304" w:type="dxa"/>
          </w:tcPr>
          <w:p>
            <w:pPr>
              <w:pStyle w:val="0"/>
              <w:jc w:val="center"/>
            </w:pPr>
            <w:r>
              <w:rPr>
                <w:sz w:val="20"/>
              </w:rPr>
              <w:t xml:space="preserve">3</w:t>
            </w:r>
          </w:p>
        </w:tc>
        <w:tc>
          <w:tcPr>
            <w:tcW w:w="3515" w:type="dxa"/>
          </w:tcPr>
          <w:p>
            <w:pPr>
              <w:pStyle w:val="0"/>
              <w:jc w:val="center"/>
            </w:pPr>
            <w:r>
              <w:rPr>
                <w:sz w:val="20"/>
              </w:rPr>
              <w:t xml:space="preserve">4</w:t>
            </w:r>
          </w:p>
        </w:tc>
        <w:tc>
          <w:tcPr>
            <w:tcW w:w="2494" w:type="dxa"/>
          </w:tcPr>
          <w:p>
            <w:pPr>
              <w:pStyle w:val="0"/>
              <w:jc w:val="center"/>
            </w:pPr>
            <w:r>
              <w:rPr>
                <w:sz w:val="20"/>
              </w:rPr>
              <w:t xml:space="preserve">5</w:t>
            </w:r>
          </w:p>
        </w:tc>
      </w:tr>
      <w:tr>
        <w:tc>
          <w:tcPr>
            <w:tcW w:w="794"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3515" w:type="dxa"/>
          </w:tcPr>
          <w:p>
            <w:pPr>
              <w:pStyle w:val="0"/>
            </w:pPr>
            <w:r>
              <w:rPr>
                <w:sz w:val="20"/>
              </w:rPr>
            </w:r>
          </w:p>
        </w:tc>
        <w:tc>
          <w:tcPr>
            <w:tcW w:w="249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019" w:name="P1019"/>
    <w:bookmarkEnd w:id="1019"/>
    <w:p>
      <w:pPr>
        <w:pStyle w:val="0"/>
        <w:jc w:val="center"/>
      </w:pPr>
      <w:r>
        <w:rPr>
          <w:sz w:val="20"/>
        </w:rPr>
        <w:t xml:space="preserve">Таблица N 3.6</w:t>
      </w:r>
    </w:p>
    <w:p>
      <w:pPr>
        <w:pStyle w:val="0"/>
        <w:jc w:val="center"/>
      </w:pPr>
      <w:r>
        <w:rPr>
          <w:sz w:val="20"/>
        </w:rPr>
        <w:t xml:space="preserve">Результаты обследования установок очистки газа</w:t>
      </w:r>
    </w:p>
    <w:p>
      <w:pPr>
        <w:pStyle w:val="0"/>
        <w:jc w:val="center"/>
      </w:pPr>
      <w:r>
        <w:rPr>
          <w:sz w:val="20"/>
        </w:rPr>
        <w:t xml:space="preserve">и условий их эксплуатации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20"/>
        <w:gridCol w:w="571"/>
        <w:gridCol w:w="1701"/>
        <w:gridCol w:w="1718"/>
        <w:gridCol w:w="1701"/>
        <w:gridCol w:w="1133"/>
        <w:gridCol w:w="1104"/>
        <w:gridCol w:w="1020"/>
        <w:gridCol w:w="1077"/>
        <w:gridCol w:w="1134"/>
      </w:tblGrid>
      <w:tr>
        <w:tc>
          <w:tcPr>
            <w:tcW w:w="850" w:type="dxa"/>
            <w:vMerge w:val="restart"/>
          </w:tcPr>
          <w:p>
            <w:pPr>
              <w:pStyle w:val="0"/>
              <w:jc w:val="center"/>
            </w:pPr>
            <w:r>
              <w:rPr>
                <w:sz w:val="20"/>
              </w:rPr>
              <w:t xml:space="preserve">Результаты обследования установок очистки газа, N цеха</w:t>
            </w:r>
          </w:p>
        </w:tc>
        <w:tc>
          <w:tcPr>
            <w:tcW w:w="720" w:type="dxa"/>
            <w:vMerge w:val="restart"/>
          </w:tcPr>
          <w:p>
            <w:pPr>
              <w:pStyle w:val="0"/>
              <w:jc w:val="center"/>
            </w:pPr>
            <w:r>
              <w:rPr>
                <w:sz w:val="20"/>
              </w:rPr>
              <w:t xml:space="preserve">Наименование цеха</w:t>
            </w:r>
          </w:p>
        </w:tc>
        <w:tc>
          <w:tcPr>
            <w:tcW w:w="571" w:type="dxa"/>
            <w:vMerge w:val="restart"/>
          </w:tcPr>
          <w:p>
            <w:pPr>
              <w:pStyle w:val="0"/>
              <w:jc w:val="center"/>
            </w:pPr>
            <w:r>
              <w:rPr>
                <w:sz w:val="20"/>
              </w:rPr>
              <w:t xml:space="preserve">N участка</w:t>
            </w:r>
          </w:p>
        </w:tc>
        <w:tc>
          <w:tcPr>
            <w:tcW w:w="1701" w:type="dxa"/>
            <w:vMerge w:val="restart"/>
          </w:tcPr>
          <w:p>
            <w:pPr>
              <w:pStyle w:val="0"/>
              <w:jc w:val="center"/>
            </w:pPr>
            <w:r>
              <w:rPr>
                <w:sz w:val="20"/>
              </w:rPr>
              <w:t xml:space="preserve">Наименование источника выделения (выброса), его номер</w:t>
            </w:r>
          </w:p>
        </w:tc>
        <w:tc>
          <w:tcPr>
            <w:tcW w:w="1718" w:type="dxa"/>
            <w:vMerge w:val="restart"/>
          </w:tcPr>
          <w:p>
            <w:pPr>
              <w:pStyle w:val="0"/>
              <w:jc w:val="center"/>
            </w:pPr>
            <w:r>
              <w:rPr>
                <w:sz w:val="20"/>
              </w:rPr>
              <w:t xml:space="preserve">Наименование установок очистки газа, его тип и марка (N в реестре установок очистки газа на объекте ОНВ)</w:t>
            </w:r>
          </w:p>
        </w:tc>
        <w:tc>
          <w:tcPr>
            <w:tcW w:w="1701" w:type="dxa"/>
            <w:vMerge w:val="restart"/>
          </w:tcPr>
          <w:p>
            <w:pPr>
              <w:pStyle w:val="0"/>
              <w:jc w:val="center"/>
            </w:pPr>
            <w:r>
              <w:rPr>
                <w:sz w:val="20"/>
              </w:rPr>
              <w:t xml:space="preserve">Номер ИЗАВ, через который осуществляются выбросы после очистки</w:t>
            </w:r>
          </w:p>
        </w:tc>
        <w:tc>
          <w:tcPr>
            <w:gridSpan w:val="2"/>
            <w:tcW w:w="2237" w:type="dxa"/>
          </w:tcPr>
          <w:p>
            <w:pPr>
              <w:pStyle w:val="0"/>
              <w:jc w:val="center"/>
            </w:pPr>
            <w:r>
              <w:rPr>
                <w:sz w:val="20"/>
              </w:rPr>
              <w:t xml:space="preserve">Эффективность (степень очистки), установок очистки газа, %</w:t>
            </w:r>
          </w:p>
        </w:tc>
        <w:tc>
          <w:tcPr>
            <w:tcW w:w="1020" w:type="dxa"/>
            <w:vMerge w:val="restart"/>
          </w:tcPr>
          <w:p>
            <w:pPr>
              <w:pStyle w:val="0"/>
              <w:jc w:val="center"/>
            </w:pPr>
            <w:r>
              <w:rPr>
                <w:sz w:val="20"/>
              </w:rPr>
              <w:t xml:space="preserve">Наименование и код ЗВ</w:t>
            </w:r>
          </w:p>
        </w:tc>
        <w:tc>
          <w:tcPr>
            <w:gridSpan w:val="2"/>
            <w:tcW w:w="2211" w:type="dxa"/>
          </w:tcPr>
          <w:p>
            <w:pPr>
              <w:pStyle w:val="0"/>
              <w:jc w:val="center"/>
            </w:pPr>
            <w:r>
              <w:rPr>
                <w:sz w:val="20"/>
              </w:rPr>
              <w:t xml:space="preserve">Коэффициент обеспеченности, %</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Проектный</w:t>
            </w:r>
          </w:p>
        </w:tc>
        <w:tc>
          <w:tcPr>
            <w:tcW w:w="1104" w:type="dxa"/>
          </w:tcPr>
          <w:p>
            <w:pPr>
              <w:pStyle w:val="0"/>
              <w:jc w:val="center"/>
            </w:pPr>
            <w:r>
              <w:rPr>
                <w:sz w:val="20"/>
              </w:rPr>
              <w:t xml:space="preserve">Фактический</w:t>
            </w:r>
          </w:p>
        </w:tc>
        <w:tc>
          <w:tcPr>
            <w:vMerge w:val="continue"/>
          </w:tcPr>
          <w:p/>
        </w:tc>
        <w:tc>
          <w:tcPr>
            <w:tcW w:w="1077" w:type="dxa"/>
          </w:tcPr>
          <w:p>
            <w:pPr>
              <w:pStyle w:val="0"/>
              <w:jc w:val="center"/>
            </w:pPr>
            <w:r>
              <w:rPr>
                <w:sz w:val="20"/>
              </w:rPr>
              <w:t xml:space="preserve">Нормативный</w:t>
            </w:r>
          </w:p>
        </w:tc>
        <w:tc>
          <w:tcPr>
            <w:tcW w:w="1134" w:type="dxa"/>
          </w:tcPr>
          <w:p>
            <w:pPr>
              <w:pStyle w:val="0"/>
              <w:jc w:val="center"/>
            </w:pPr>
            <w:r>
              <w:rPr>
                <w:sz w:val="20"/>
              </w:rPr>
              <w:t xml:space="preserve">Фактический</w:t>
            </w:r>
          </w:p>
        </w:tc>
      </w:tr>
      <w:tr>
        <w:tc>
          <w:tcPr>
            <w:tcW w:w="850" w:type="dxa"/>
          </w:tcPr>
          <w:p>
            <w:pPr>
              <w:pStyle w:val="0"/>
              <w:jc w:val="center"/>
            </w:pPr>
            <w:r>
              <w:rPr>
                <w:sz w:val="20"/>
              </w:rPr>
              <w:t xml:space="preserve">1</w:t>
            </w:r>
          </w:p>
        </w:tc>
        <w:tc>
          <w:tcPr>
            <w:tcW w:w="720" w:type="dxa"/>
          </w:tcPr>
          <w:p>
            <w:pPr>
              <w:pStyle w:val="0"/>
              <w:jc w:val="center"/>
            </w:pPr>
            <w:r>
              <w:rPr>
                <w:sz w:val="20"/>
              </w:rPr>
              <w:t xml:space="preserve">2</w:t>
            </w:r>
          </w:p>
        </w:tc>
        <w:tc>
          <w:tcPr>
            <w:tcW w:w="571" w:type="dxa"/>
          </w:tcPr>
          <w:p>
            <w:pPr>
              <w:pStyle w:val="0"/>
              <w:jc w:val="center"/>
            </w:pPr>
            <w:r>
              <w:rPr>
                <w:sz w:val="20"/>
              </w:rPr>
              <w:t xml:space="preserve">3</w:t>
            </w:r>
          </w:p>
        </w:tc>
        <w:tc>
          <w:tcPr>
            <w:tcW w:w="1701" w:type="dxa"/>
          </w:tcPr>
          <w:p>
            <w:pPr>
              <w:pStyle w:val="0"/>
              <w:jc w:val="center"/>
            </w:pPr>
            <w:r>
              <w:rPr>
                <w:sz w:val="20"/>
              </w:rPr>
              <w:t xml:space="preserve">4</w:t>
            </w:r>
          </w:p>
        </w:tc>
        <w:tc>
          <w:tcPr>
            <w:tcW w:w="1718" w:type="dxa"/>
          </w:tcPr>
          <w:p>
            <w:pPr>
              <w:pStyle w:val="0"/>
              <w:jc w:val="center"/>
            </w:pPr>
            <w:r>
              <w:rPr>
                <w:sz w:val="20"/>
              </w:rPr>
              <w:t xml:space="preserve">5</w:t>
            </w:r>
          </w:p>
        </w:tc>
        <w:tc>
          <w:tcPr>
            <w:tcW w:w="1701" w:type="dxa"/>
          </w:tcPr>
          <w:p>
            <w:pPr>
              <w:pStyle w:val="0"/>
              <w:jc w:val="center"/>
            </w:pPr>
            <w:r>
              <w:rPr>
                <w:sz w:val="20"/>
              </w:rPr>
              <w:t xml:space="preserve">6</w:t>
            </w:r>
          </w:p>
        </w:tc>
        <w:tc>
          <w:tcPr>
            <w:tcW w:w="1133" w:type="dxa"/>
          </w:tcPr>
          <w:p>
            <w:pPr>
              <w:pStyle w:val="0"/>
              <w:jc w:val="center"/>
            </w:pPr>
            <w:r>
              <w:rPr>
                <w:sz w:val="20"/>
              </w:rPr>
              <w:t xml:space="preserve">7</w:t>
            </w:r>
          </w:p>
        </w:tc>
        <w:tc>
          <w:tcPr>
            <w:tcW w:w="1104" w:type="dxa"/>
          </w:tcPr>
          <w:p>
            <w:pPr>
              <w:pStyle w:val="0"/>
              <w:jc w:val="center"/>
            </w:pPr>
            <w:r>
              <w:rPr>
                <w:sz w:val="20"/>
              </w:rPr>
              <w:t xml:space="preserve">8</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2729" w:type="dxa"/>
          </w:tcPr>
          <w:p>
            <w:pPr>
              <w:pStyle w:val="0"/>
              <w:jc w:val="center"/>
            </w:pPr>
            <w:r>
              <w:rPr>
                <w:sz w:val="20"/>
              </w:rPr>
              <w:t xml:space="preserve">__________________________________________________________________</w:t>
            </w:r>
          </w:p>
          <w:p>
            <w:pPr>
              <w:pStyle w:val="0"/>
              <w:jc w:val="center"/>
            </w:pPr>
            <w:r>
              <w:rPr>
                <w:sz w:val="20"/>
              </w:rPr>
              <w:t xml:space="preserve">(номер и наименование отдельной территории объекта ОНВ)</w:t>
            </w:r>
          </w:p>
        </w:tc>
      </w:tr>
      <w:tr>
        <w:tc>
          <w:tcPr>
            <w:tcW w:w="850"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1701" w:type="dxa"/>
          </w:tcPr>
          <w:p>
            <w:pPr>
              <w:pStyle w:val="0"/>
            </w:pPr>
            <w:r>
              <w:rPr>
                <w:sz w:val="20"/>
              </w:rPr>
            </w:r>
          </w:p>
        </w:tc>
        <w:tc>
          <w:tcPr>
            <w:tcW w:w="1718" w:type="dxa"/>
          </w:tcPr>
          <w:p>
            <w:pPr>
              <w:pStyle w:val="0"/>
            </w:pPr>
            <w:r>
              <w:rPr>
                <w:sz w:val="20"/>
              </w:rPr>
            </w:r>
          </w:p>
        </w:tc>
        <w:tc>
          <w:tcPr>
            <w:tcW w:w="1701" w:type="dxa"/>
          </w:tcPr>
          <w:p>
            <w:pPr>
              <w:pStyle w:val="0"/>
            </w:pPr>
            <w:r>
              <w:rPr>
                <w:sz w:val="20"/>
              </w:rPr>
            </w:r>
          </w:p>
        </w:tc>
        <w:tc>
          <w:tcPr>
            <w:tcW w:w="1133" w:type="dxa"/>
          </w:tcPr>
          <w:p>
            <w:pPr>
              <w:pStyle w:val="0"/>
            </w:pPr>
            <w:r>
              <w:rPr>
                <w:sz w:val="20"/>
              </w:rPr>
            </w:r>
          </w:p>
        </w:tc>
        <w:tc>
          <w:tcPr>
            <w:tcW w:w="110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r>
      <w:tr>
        <w:tc>
          <w:tcPr>
            <w:tcW w:w="850"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1701" w:type="dxa"/>
          </w:tcPr>
          <w:p>
            <w:pPr>
              <w:pStyle w:val="0"/>
            </w:pPr>
            <w:r>
              <w:rPr>
                <w:sz w:val="20"/>
              </w:rPr>
            </w:r>
          </w:p>
        </w:tc>
        <w:tc>
          <w:tcPr>
            <w:tcW w:w="1718" w:type="dxa"/>
          </w:tcPr>
          <w:p>
            <w:pPr>
              <w:pStyle w:val="0"/>
            </w:pPr>
            <w:r>
              <w:rPr>
                <w:sz w:val="20"/>
              </w:rPr>
            </w:r>
          </w:p>
        </w:tc>
        <w:tc>
          <w:tcPr>
            <w:tcW w:w="1701" w:type="dxa"/>
          </w:tcPr>
          <w:p>
            <w:pPr>
              <w:pStyle w:val="0"/>
            </w:pPr>
            <w:r>
              <w:rPr>
                <w:sz w:val="20"/>
              </w:rPr>
            </w:r>
          </w:p>
        </w:tc>
        <w:tc>
          <w:tcPr>
            <w:tcW w:w="1133" w:type="dxa"/>
          </w:tcPr>
          <w:p>
            <w:pPr>
              <w:pStyle w:val="0"/>
            </w:pPr>
            <w:r>
              <w:rPr>
                <w:sz w:val="20"/>
              </w:rPr>
            </w:r>
          </w:p>
        </w:tc>
        <w:tc>
          <w:tcPr>
            <w:tcW w:w="110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076" w:name="P1076"/>
    <w:bookmarkEnd w:id="1076"/>
    <w:p>
      <w:pPr>
        <w:pStyle w:val="0"/>
        <w:jc w:val="center"/>
      </w:pPr>
      <w:r>
        <w:rPr>
          <w:sz w:val="20"/>
        </w:rPr>
        <w:t xml:space="preserve">Таблица N 3.7</w:t>
      </w:r>
    </w:p>
    <w:p>
      <w:pPr>
        <w:pStyle w:val="0"/>
        <w:jc w:val="center"/>
      </w:pPr>
      <w:r>
        <w:rPr>
          <w:sz w:val="20"/>
        </w:rPr>
        <w:t xml:space="preserve">Суммарные выбросы ЗВ в атмосферный воздух, их очистка</w:t>
      </w:r>
    </w:p>
    <w:p>
      <w:pPr>
        <w:pStyle w:val="0"/>
        <w:jc w:val="center"/>
      </w:pPr>
      <w:r>
        <w:rPr>
          <w:sz w:val="20"/>
        </w:rPr>
        <w:t xml:space="preserve">и утилизация (в целом по объекту ОНВ), т/год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077"/>
        <w:gridCol w:w="1367"/>
        <w:gridCol w:w="510"/>
        <w:gridCol w:w="1020"/>
        <w:gridCol w:w="796"/>
        <w:gridCol w:w="624"/>
        <w:gridCol w:w="340"/>
        <w:gridCol w:w="397"/>
        <w:gridCol w:w="624"/>
        <w:gridCol w:w="850"/>
        <w:gridCol w:w="819"/>
      </w:tblGrid>
      <w:tr>
        <w:tc>
          <w:tcPr>
            <w:gridSpan w:val="2"/>
            <w:tcW w:w="1701" w:type="dxa"/>
          </w:tcPr>
          <w:p>
            <w:pPr>
              <w:pStyle w:val="0"/>
              <w:jc w:val="center"/>
            </w:pPr>
            <w:r>
              <w:rPr>
                <w:sz w:val="20"/>
              </w:rPr>
              <w:t xml:space="preserve">Загрязняющее вещество</w:t>
            </w:r>
          </w:p>
        </w:tc>
        <w:tc>
          <w:tcPr>
            <w:tcW w:w="1367" w:type="dxa"/>
            <w:vMerge w:val="restart"/>
          </w:tcPr>
          <w:p>
            <w:pPr>
              <w:pStyle w:val="0"/>
              <w:jc w:val="center"/>
            </w:pPr>
            <w:r>
              <w:rPr>
                <w:sz w:val="20"/>
              </w:rPr>
              <w:t xml:space="preserve">Количество загрязняющих веществ, отходящих от источников выделения</w:t>
            </w:r>
          </w:p>
        </w:tc>
        <w:tc>
          <w:tcPr>
            <w:gridSpan w:val="2"/>
            <w:tcW w:w="1530" w:type="dxa"/>
            <w:vMerge w:val="restart"/>
          </w:tcPr>
          <w:p>
            <w:pPr>
              <w:pStyle w:val="0"/>
              <w:jc w:val="center"/>
            </w:pPr>
            <w:r>
              <w:rPr>
                <w:sz w:val="20"/>
              </w:rPr>
              <w:t xml:space="preserve">Выбрасывается без очистки</w:t>
            </w:r>
          </w:p>
        </w:tc>
        <w:tc>
          <w:tcPr>
            <w:tcW w:w="796" w:type="dxa"/>
            <w:vMerge w:val="restart"/>
          </w:tcPr>
          <w:p>
            <w:pPr>
              <w:pStyle w:val="0"/>
              <w:jc w:val="center"/>
            </w:pPr>
            <w:r>
              <w:rPr>
                <w:sz w:val="20"/>
              </w:rPr>
              <w:t xml:space="preserve">Поступает на очистку</w:t>
            </w:r>
          </w:p>
        </w:tc>
        <w:tc>
          <w:tcPr>
            <w:gridSpan w:val="5"/>
            <w:tcW w:w="2835" w:type="dxa"/>
          </w:tcPr>
          <w:p>
            <w:pPr>
              <w:pStyle w:val="0"/>
              <w:jc w:val="center"/>
            </w:pPr>
            <w:r>
              <w:rPr>
                <w:sz w:val="20"/>
              </w:rPr>
              <w:t xml:space="preserve">Из поступивших на очистку</w:t>
            </w:r>
          </w:p>
        </w:tc>
        <w:tc>
          <w:tcPr>
            <w:tcW w:w="819" w:type="dxa"/>
            <w:vMerge w:val="restart"/>
          </w:tcPr>
          <w:p>
            <w:pPr>
              <w:pStyle w:val="0"/>
              <w:jc w:val="center"/>
            </w:pPr>
            <w:r>
              <w:rPr>
                <w:sz w:val="20"/>
              </w:rPr>
              <w:t xml:space="preserve">Всего выброшено в атмосферный воздух</w:t>
            </w:r>
          </w:p>
        </w:tc>
      </w:tr>
      <w:tr>
        <w:tc>
          <w:tcPr>
            <w:tcW w:w="624" w:type="dxa"/>
            <w:vMerge w:val="restart"/>
          </w:tcPr>
          <w:p>
            <w:pPr>
              <w:pStyle w:val="0"/>
              <w:jc w:val="center"/>
            </w:pPr>
            <w:r>
              <w:rPr>
                <w:sz w:val="20"/>
              </w:rPr>
              <w:t xml:space="preserve">Код</w:t>
            </w:r>
          </w:p>
        </w:tc>
        <w:tc>
          <w:tcPr>
            <w:tcW w:w="1077" w:type="dxa"/>
            <w:vMerge w:val="restart"/>
          </w:tcPr>
          <w:p>
            <w:pPr>
              <w:pStyle w:val="0"/>
              <w:jc w:val="center"/>
            </w:pPr>
            <w:r>
              <w:rPr>
                <w:sz w:val="20"/>
              </w:rPr>
              <w:t xml:space="preserve">Наименование</w:t>
            </w:r>
          </w:p>
        </w:tc>
        <w:tc>
          <w:tcPr>
            <w:vMerge w:val="continue"/>
          </w:tcPr>
          <w:p/>
        </w:tc>
        <w:tc>
          <w:tcPr>
            <w:gridSpan w:val="2"/>
            <w:vMerge w:val="continue"/>
          </w:tcPr>
          <w:p/>
        </w:tc>
        <w:tc>
          <w:tcPr>
            <w:vMerge w:val="continue"/>
          </w:tcPr>
          <w:p/>
        </w:tc>
        <w:tc>
          <w:tcPr>
            <w:gridSpan w:val="4"/>
            <w:tcW w:w="1985" w:type="dxa"/>
          </w:tcPr>
          <w:p>
            <w:pPr>
              <w:pStyle w:val="0"/>
              <w:jc w:val="center"/>
            </w:pPr>
            <w:r>
              <w:rPr>
                <w:sz w:val="20"/>
              </w:rPr>
              <w:t xml:space="preserve">Уловлено и обезврежено</w:t>
            </w:r>
          </w:p>
        </w:tc>
        <w:tc>
          <w:tcPr>
            <w:tcW w:w="850" w:type="dxa"/>
            <w:vMerge w:val="restart"/>
          </w:tcPr>
          <w:p>
            <w:pPr>
              <w:pStyle w:val="0"/>
              <w:jc w:val="center"/>
            </w:pPr>
            <w:r>
              <w:rPr>
                <w:sz w:val="20"/>
              </w:rPr>
              <w:t xml:space="preserve">Выброшено в атмосферный воздух</w:t>
            </w:r>
          </w:p>
        </w:tc>
        <w:tc>
          <w:tcPr>
            <w:vMerge w:val="continue"/>
          </w:tcPr>
          <w:p/>
        </w:tc>
      </w:tr>
      <w:tr>
        <w:tc>
          <w:tcPr>
            <w:vMerge w:val="continue"/>
          </w:tcPr>
          <w:p/>
        </w:tc>
        <w:tc>
          <w:tcPr>
            <w:vMerge w:val="continue"/>
          </w:tcPr>
          <w:p/>
        </w:tc>
        <w:tc>
          <w:tcPr>
            <w:vMerge w:val="continue"/>
          </w:tcPr>
          <w:p/>
        </w:tc>
        <w:tc>
          <w:tcPr>
            <w:tcW w:w="510" w:type="dxa"/>
          </w:tcPr>
          <w:p>
            <w:pPr>
              <w:pStyle w:val="0"/>
              <w:jc w:val="center"/>
            </w:pPr>
            <w:r>
              <w:rPr>
                <w:sz w:val="20"/>
              </w:rPr>
              <w:t xml:space="preserve">Всего</w:t>
            </w:r>
          </w:p>
        </w:tc>
        <w:tc>
          <w:tcPr>
            <w:tcW w:w="1020" w:type="dxa"/>
          </w:tcPr>
          <w:p>
            <w:pPr>
              <w:pStyle w:val="0"/>
              <w:jc w:val="center"/>
            </w:pPr>
            <w:r>
              <w:rPr>
                <w:sz w:val="20"/>
              </w:rPr>
              <w:t xml:space="preserve">В том числе от организованных ИЗАВ</w:t>
            </w:r>
          </w:p>
        </w:tc>
        <w:tc>
          <w:tcPr>
            <w:vMerge w:val="continue"/>
          </w:tcPr>
          <w:p/>
        </w:tc>
        <w:tc>
          <w:tcPr>
            <w:gridSpan w:val="2"/>
            <w:tcW w:w="964" w:type="dxa"/>
          </w:tcPr>
          <w:p>
            <w:pPr>
              <w:pStyle w:val="0"/>
              <w:jc w:val="center"/>
            </w:pPr>
            <w:r>
              <w:rPr>
                <w:sz w:val="20"/>
              </w:rPr>
              <w:t xml:space="preserve">Фактически</w:t>
            </w:r>
          </w:p>
        </w:tc>
        <w:tc>
          <w:tcPr>
            <w:gridSpan w:val="2"/>
            <w:tcW w:w="1021" w:type="dxa"/>
          </w:tcPr>
          <w:p>
            <w:pPr>
              <w:pStyle w:val="0"/>
              <w:jc w:val="center"/>
            </w:pPr>
            <w:r>
              <w:rPr>
                <w:sz w:val="20"/>
              </w:rPr>
              <w:t xml:space="preserve">Из них утилизировано</w:t>
            </w:r>
          </w:p>
        </w:tc>
        <w:tc>
          <w:tcPr>
            <w:vMerge w:val="continue"/>
          </w:tcPr>
          <w:p/>
        </w:tc>
        <w:tc>
          <w:tcPr>
            <w:vMerge w:val="continue"/>
          </w:tcPr>
          <w:p/>
        </w:tc>
      </w:tr>
      <w:tr>
        <w:tc>
          <w:tcPr>
            <w:tcW w:w="624" w:type="dxa"/>
          </w:tcPr>
          <w:p>
            <w:pPr>
              <w:pStyle w:val="0"/>
              <w:jc w:val="center"/>
            </w:pPr>
            <w:r>
              <w:rPr>
                <w:sz w:val="20"/>
              </w:rPr>
              <w:t xml:space="preserve">1</w:t>
            </w:r>
          </w:p>
        </w:tc>
        <w:tc>
          <w:tcPr>
            <w:tcW w:w="1077" w:type="dxa"/>
          </w:tcPr>
          <w:p>
            <w:pPr>
              <w:pStyle w:val="0"/>
              <w:jc w:val="center"/>
            </w:pPr>
            <w:r>
              <w:rPr>
                <w:sz w:val="20"/>
              </w:rPr>
              <w:t xml:space="preserve">2</w:t>
            </w:r>
          </w:p>
        </w:tc>
        <w:tc>
          <w:tcPr>
            <w:tcW w:w="1367" w:type="dxa"/>
          </w:tcPr>
          <w:p>
            <w:pPr>
              <w:pStyle w:val="0"/>
              <w:jc w:val="center"/>
            </w:pPr>
            <w:r>
              <w:rPr>
                <w:sz w:val="20"/>
              </w:rPr>
              <w:t xml:space="preserve">3</w:t>
            </w:r>
          </w:p>
        </w:tc>
        <w:tc>
          <w:tcPr>
            <w:tcW w:w="510" w:type="dxa"/>
          </w:tcPr>
          <w:p>
            <w:pPr>
              <w:pStyle w:val="0"/>
              <w:jc w:val="center"/>
            </w:pPr>
            <w:r>
              <w:rPr>
                <w:sz w:val="20"/>
              </w:rPr>
              <w:t xml:space="preserve">4</w:t>
            </w:r>
          </w:p>
        </w:tc>
        <w:tc>
          <w:tcPr>
            <w:tcW w:w="1020" w:type="dxa"/>
          </w:tcPr>
          <w:p>
            <w:pPr>
              <w:pStyle w:val="0"/>
              <w:jc w:val="center"/>
            </w:pPr>
            <w:r>
              <w:rPr>
                <w:sz w:val="20"/>
              </w:rPr>
              <w:t xml:space="preserve">5</w:t>
            </w:r>
          </w:p>
        </w:tc>
        <w:tc>
          <w:tcPr>
            <w:tcW w:w="796" w:type="dxa"/>
          </w:tcPr>
          <w:p>
            <w:pPr>
              <w:pStyle w:val="0"/>
              <w:jc w:val="center"/>
            </w:pPr>
            <w:r>
              <w:rPr>
                <w:sz w:val="20"/>
              </w:rPr>
              <w:t xml:space="preserve">6</w:t>
            </w:r>
          </w:p>
        </w:tc>
        <w:tc>
          <w:tcPr>
            <w:gridSpan w:val="2"/>
            <w:tcW w:w="964" w:type="dxa"/>
          </w:tcPr>
          <w:p>
            <w:pPr>
              <w:pStyle w:val="0"/>
              <w:jc w:val="center"/>
            </w:pPr>
            <w:r>
              <w:rPr>
                <w:sz w:val="20"/>
              </w:rPr>
              <w:t xml:space="preserve">7</w:t>
            </w:r>
          </w:p>
        </w:tc>
        <w:tc>
          <w:tcPr>
            <w:gridSpan w:val="2"/>
            <w:tcW w:w="1021" w:type="dxa"/>
          </w:tcPr>
          <w:p>
            <w:pPr>
              <w:pStyle w:val="0"/>
              <w:jc w:val="center"/>
            </w:pPr>
            <w:r>
              <w:rPr>
                <w:sz w:val="20"/>
              </w:rPr>
              <w:t xml:space="preserve">8</w:t>
            </w:r>
          </w:p>
        </w:tc>
        <w:tc>
          <w:tcPr>
            <w:tcW w:w="850" w:type="dxa"/>
          </w:tcPr>
          <w:p>
            <w:pPr>
              <w:pStyle w:val="0"/>
              <w:jc w:val="center"/>
            </w:pPr>
            <w:r>
              <w:rPr>
                <w:sz w:val="20"/>
              </w:rPr>
              <w:t xml:space="preserve">9</w:t>
            </w:r>
          </w:p>
        </w:tc>
        <w:tc>
          <w:tcPr>
            <w:tcW w:w="819" w:type="dxa"/>
          </w:tcPr>
          <w:p>
            <w:pPr>
              <w:pStyle w:val="0"/>
              <w:jc w:val="center"/>
            </w:pPr>
            <w:r>
              <w:rPr>
                <w:sz w:val="20"/>
              </w:rPr>
              <w:t xml:space="preserve">10</w:t>
            </w:r>
          </w:p>
        </w:tc>
      </w:tr>
      <w:tr>
        <w:tc>
          <w:tcPr>
            <w:tcW w:w="624" w:type="dxa"/>
            <w:vMerge w:val="restart"/>
          </w:tcPr>
          <w:p>
            <w:pPr>
              <w:pStyle w:val="0"/>
            </w:pPr>
            <w:r>
              <w:rPr>
                <w:sz w:val="20"/>
              </w:rPr>
            </w:r>
          </w:p>
        </w:tc>
        <w:tc>
          <w:tcPr>
            <w:tcW w:w="1077" w:type="dxa"/>
            <w:vAlign w:val="bottom"/>
            <w:vMerge w:val="restart"/>
          </w:tcPr>
          <w:p>
            <w:pPr>
              <w:pStyle w:val="0"/>
              <w:jc w:val="center"/>
            </w:pPr>
            <w:r>
              <w:rPr>
                <w:sz w:val="20"/>
              </w:rPr>
              <w:t xml:space="preserve">.</w:t>
            </w:r>
          </w:p>
        </w:tc>
        <w:tc>
          <w:tcPr>
            <w:gridSpan w:val="9"/>
            <w:tcW w:w="6528" w:type="dxa"/>
          </w:tcPr>
          <w:p>
            <w:pPr>
              <w:pStyle w:val="0"/>
            </w:pPr>
            <w:r>
              <w:rPr>
                <w:sz w:val="20"/>
              </w:rPr>
            </w:r>
          </w:p>
        </w:tc>
        <w:tc>
          <w:tcPr>
            <w:tcW w:w="819" w:type="dxa"/>
            <w:vMerge w:val="restart"/>
          </w:tcPr>
          <w:p>
            <w:pPr>
              <w:pStyle w:val="0"/>
            </w:pPr>
            <w:r>
              <w:rPr>
                <w:sz w:val="20"/>
              </w:rPr>
            </w:r>
          </w:p>
        </w:tc>
      </w:tr>
      <w:tr>
        <w:tc>
          <w:tcPr>
            <w:vMerge w:val="continue"/>
          </w:tcPr>
          <w:p/>
        </w:tc>
        <w:tc>
          <w:tcPr>
            <w:vMerge w:val="continue"/>
          </w:tcPr>
          <w:p/>
        </w:tc>
        <w:tc>
          <w:tcPr>
            <w:gridSpan w:val="9"/>
            <w:tcW w:w="6528" w:type="dxa"/>
          </w:tcPr>
          <w:p>
            <w:pPr>
              <w:pStyle w:val="0"/>
              <w:jc w:val="center"/>
            </w:pPr>
            <w:r>
              <w:rPr>
                <w:sz w:val="20"/>
              </w:rPr>
              <w:t xml:space="preserve">(номер и наименование территориально обособленного подразделения объекта ОНВ)</w:t>
            </w:r>
          </w:p>
        </w:tc>
        <w:tc>
          <w:tcPr>
            <w:vMerge w:val="continue"/>
          </w:tcPr>
          <w:p/>
        </w:tc>
      </w:tr>
      <w:tr>
        <w:tc>
          <w:tcPr>
            <w:tcW w:w="624" w:type="dxa"/>
          </w:tcPr>
          <w:p>
            <w:pPr>
              <w:pStyle w:val="0"/>
            </w:pPr>
            <w:r>
              <w:rPr>
                <w:sz w:val="20"/>
              </w:rPr>
            </w:r>
          </w:p>
        </w:tc>
        <w:tc>
          <w:tcPr>
            <w:tcW w:w="1077" w:type="dxa"/>
            <w:vAlign w:val="bottom"/>
          </w:tcPr>
          <w:p>
            <w:pPr>
              <w:pStyle w:val="0"/>
              <w:jc w:val="center"/>
            </w:pPr>
            <w:r>
              <w:rPr>
                <w:sz w:val="20"/>
              </w:rPr>
              <w:t xml:space="preserve">.</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r>
        <w:tc>
          <w:tcPr>
            <w:tcW w:w="624" w:type="dxa"/>
          </w:tcPr>
          <w:p>
            <w:pPr>
              <w:pStyle w:val="0"/>
            </w:pPr>
            <w:r>
              <w:rPr>
                <w:sz w:val="20"/>
              </w:rPr>
            </w:r>
          </w:p>
        </w:tc>
        <w:tc>
          <w:tcPr>
            <w:tcW w:w="1077" w:type="dxa"/>
            <w:vAlign w:val="bottom"/>
          </w:tcPr>
          <w:p>
            <w:pPr>
              <w:pStyle w:val="0"/>
              <w:jc w:val="center"/>
            </w:pPr>
            <w:r>
              <w:rPr>
                <w:sz w:val="20"/>
              </w:rPr>
              <w:t xml:space="preserve">.</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r>
        <w:tc>
          <w:tcPr>
            <w:tcW w:w="624" w:type="dxa"/>
          </w:tcPr>
          <w:p>
            <w:pPr>
              <w:pStyle w:val="0"/>
            </w:pPr>
            <w:r>
              <w:rPr>
                <w:sz w:val="20"/>
              </w:rPr>
            </w:r>
          </w:p>
        </w:tc>
        <w:tc>
          <w:tcPr>
            <w:tcW w:w="1077" w:type="dxa"/>
            <w:vAlign w:val="bottom"/>
          </w:tcPr>
          <w:p>
            <w:pPr>
              <w:pStyle w:val="0"/>
              <w:jc w:val="center"/>
            </w:pPr>
            <w:r>
              <w:rPr>
                <w:sz w:val="20"/>
              </w:rPr>
              <w:t xml:space="preserve">.</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r>
        <w:tc>
          <w:tcPr>
            <w:gridSpan w:val="2"/>
            <w:tcW w:w="1701" w:type="dxa"/>
          </w:tcPr>
          <w:p>
            <w:pPr>
              <w:pStyle w:val="0"/>
              <w:jc w:val="center"/>
            </w:pPr>
            <w:r>
              <w:rPr>
                <w:sz w:val="20"/>
              </w:rPr>
              <w:t xml:space="preserve">Всего:</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r>
        <w:tc>
          <w:tcPr>
            <w:gridSpan w:val="2"/>
            <w:tcW w:w="1701" w:type="dxa"/>
          </w:tcPr>
          <w:p>
            <w:pPr>
              <w:pStyle w:val="0"/>
              <w:jc w:val="center"/>
            </w:pPr>
            <w:r>
              <w:rPr>
                <w:sz w:val="20"/>
              </w:rPr>
              <w:t xml:space="preserve">в том числе</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r>
        <w:tc>
          <w:tcPr>
            <w:gridSpan w:val="2"/>
            <w:tcW w:w="1701" w:type="dxa"/>
          </w:tcPr>
          <w:p>
            <w:pPr>
              <w:pStyle w:val="0"/>
              <w:jc w:val="center"/>
            </w:pPr>
            <w:r>
              <w:rPr>
                <w:sz w:val="20"/>
              </w:rPr>
              <w:t xml:space="preserve">Твердых:</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r>
        <w:tc>
          <w:tcPr>
            <w:gridSpan w:val="2"/>
            <w:tcW w:w="1701" w:type="dxa"/>
          </w:tcPr>
          <w:p>
            <w:pPr>
              <w:pStyle w:val="0"/>
              <w:jc w:val="center"/>
            </w:pPr>
            <w:r>
              <w:rPr>
                <w:sz w:val="20"/>
              </w:rPr>
              <w:t xml:space="preserve">Газообразных и жидких:</w:t>
            </w:r>
          </w:p>
        </w:tc>
        <w:tc>
          <w:tcPr>
            <w:tcW w:w="1367" w:type="dxa"/>
          </w:tcPr>
          <w:p>
            <w:pPr>
              <w:pStyle w:val="0"/>
            </w:pPr>
            <w:r>
              <w:rPr>
                <w:sz w:val="20"/>
              </w:rPr>
            </w:r>
          </w:p>
        </w:tc>
        <w:tc>
          <w:tcPr>
            <w:tcW w:w="510" w:type="dxa"/>
          </w:tcPr>
          <w:p>
            <w:pPr>
              <w:pStyle w:val="0"/>
            </w:pPr>
            <w:r>
              <w:rPr>
                <w:sz w:val="20"/>
              </w:rPr>
            </w:r>
          </w:p>
        </w:tc>
        <w:tc>
          <w:tcPr>
            <w:tcW w:w="1020" w:type="dxa"/>
          </w:tcPr>
          <w:p>
            <w:pPr>
              <w:pStyle w:val="0"/>
            </w:pPr>
            <w:r>
              <w:rPr>
                <w:sz w:val="20"/>
              </w:rPr>
            </w:r>
          </w:p>
        </w:tc>
        <w:tc>
          <w:tcPr>
            <w:tcW w:w="796" w:type="dxa"/>
          </w:tcPr>
          <w:p>
            <w:pPr>
              <w:pStyle w:val="0"/>
            </w:pPr>
            <w:r>
              <w:rPr>
                <w:sz w:val="20"/>
              </w:rPr>
            </w:r>
          </w:p>
        </w:tc>
        <w:tc>
          <w:tcPr>
            <w:tcW w:w="624" w:type="dxa"/>
          </w:tcPr>
          <w:p>
            <w:pPr>
              <w:pStyle w:val="0"/>
            </w:pPr>
            <w:r>
              <w:rPr>
                <w:sz w:val="20"/>
              </w:rPr>
            </w:r>
          </w:p>
        </w:tc>
        <w:tc>
          <w:tcPr>
            <w:gridSpan w:val="2"/>
            <w:tcW w:w="737" w:type="dxa"/>
          </w:tcPr>
          <w:p>
            <w:pPr>
              <w:pStyle w:val="0"/>
            </w:pPr>
            <w:r>
              <w:rPr>
                <w:sz w:val="20"/>
              </w:rPr>
            </w:r>
          </w:p>
        </w:tc>
        <w:tc>
          <w:tcPr>
            <w:gridSpan w:val="2"/>
            <w:tcW w:w="1474" w:type="dxa"/>
          </w:tcPr>
          <w:p>
            <w:pPr>
              <w:pStyle w:val="0"/>
            </w:pPr>
            <w:r>
              <w:rPr>
                <w:sz w:val="20"/>
              </w:rPr>
            </w:r>
          </w:p>
        </w:tc>
        <w:tc>
          <w:tcPr>
            <w:tcW w:w="81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180" w:name="P1180"/>
    <w:bookmarkEnd w:id="1180"/>
    <w:p>
      <w:pPr>
        <w:pStyle w:val="0"/>
        <w:jc w:val="center"/>
      </w:pPr>
      <w:r>
        <w:rPr>
          <w:sz w:val="20"/>
        </w:rPr>
        <w:t xml:space="preserve">Таблица N 3.8</w:t>
      </w:r>
    </w:p>
    <w:p>
      <w:pPr>
        <w:pStyle w:val="0"/>
        <w:jc w:val="center"/>
      </w:pPr>
      <w:r>
        <w:rPr>
          <w:sz w:val="20"/>
        </w:rPr>
        <w:t xml:space="preserve">Выбросы от передвижных ИЗАВ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850"/>
        <w:gridCol w:w="793"/>
        <w:gridCol w:w="963"/>
        <w:gridCol w:w="510"/>
        <w:gridCol w:w="963"/>
        <w:gridCol w:w="963"/>
        <w:gridCol w:w="963"/>
        <w:gridCol w:w="737"/>
        <w:gridCol w:w="737"/>
        <w:gridCol w:w="793"/>
      </w:tblGrid>
      <w:tr>
        <w:tc>
          <w:tcPr>
            <w:tcW w:w="793" w:type="dxa"/>
            <w:vMerge w:val="restart"/>
          </w:tcPr>
          <w:p>
            <w:pPr>
              <w:pStyle w:val="0"/>
              <w:jc w:val="center"/>
            </w:pPr>
            <w:r>
              <w:rPr>
                <w:sz w:val="20"/>
              </w:rPr>
              <w:t xml:space="preserve">N</w:t>
            </w:r>
          </w:p>
        </w:tc>
        <w:tc>
          <w:tcPr>
            <w:tcW w:w="850" w:type="dxa"/>
            <w:vMerge w:val="restart"/>
          </w:tcPr>
          <w:p>
            <w:pPr>
              <w:pStyle w:val="0"/>
              <w:jc w:val="center"/>
            </w:pPr>
            <w:r>
              <w:rPr>
                <w:sz w:val="20"/>
              </w:rPr>
              <w:t xml:space="preserve">ИЗАВ, его вид (согласно </w:t>
            </w:r>
            <w:hyperlink w:history="0" w:anchor="P59" w:tooltip="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
              <w:r>
                <w:rPr>
                  <w:sz w:val="20"/>
                  <w:color w:val="0000ff"/>
                </w:rPr>
                <w:t xml:space="preserve">пункту 5</w:t>
              </w:r>
            </w:hyperlink>
            <w:r>
              <w:rPr>
                <w:sz w:val="20"/>
              </w:rPr>
              <w:t xml:space="preserve"> настоящего Порядка.</w:t>
            </w:r>
          </w:p>
        </w:tc>
        <w:tc>
          <w:tcPr>
            <w:tcW w:w="793" w:type="dxa"/>
            <w:vMerge w:val="restart"/>
          </w:tcPr>
          <w:p>
            <w:pPr>
              <w:pStyle w:val="0"/>
              <w:jc w:val="center"/>
            </w:pPr>
            <w:r>
              <w:rPr>
                <w:sz w:val="20"/>
              </w:rPr>
              <w:t xml:space="preserve">Количество ИЗАВ каждого вида</w:t>
            </w:r>
          </w:p>
        </w:tc>
        <w:tc>
          <w:tcPr>
            <w:tcW w:w="963" w:type="dxa"/>
            <w:vMerge w:val="restart"/>
          </w:tcPr>
          <w:p>
            <w:pPr>
              <w:pStyle w:val="0"/>
              <w:jc w:val="center"/>
            </w:pPr>
            <w:r>
              <w:rPr>
                <w:sz w:val="20"/>
              </w:rPr>
              <w:t xml:space="preserve">Скорость движения ИЗАВ по объекту ОНВ, (км/ч)</w:t>
            </w:r>
          </w:p>
        </w:tc>
        <w:tc>
          <w:tcPr>
            <w:tcW w:w="510" w:type="dxa"/>
            <w:vMerge w:val="restart"/>
          </w:tcPr>
          <w:p>
            <w:pPr>
              <w:pStyle w:val="0"/>
              <w:jc w:val="center"/>
            </w:pPr>
            <w:r>
              <w:rPr>
                <w:sz w:val="20"/>
              </w:rPr>
              <w:t xml:space="preserve">Вид топлива</w:t>
            </w:r>
          </w:p>
        </w:tc>
        <w:tc>
          <w:tcPr>
            <w:tcW w:w="963" w:type="dxa"/>
            <w:vMerge w:val="restart"/>
          </w:tcPr>
          <w:p>
            <w:pPr>
              <w:pStyle w:val="0"/>
              <w:jc w:val="center"/>
            </w:pPr>
            <w:r>
              <w:rPr>
                <w:sz w:val="20"/>
              </w:rPr>
              <w:t xml:space="preserve">Время работы за сезон, (ч)</w:t>
            </w:r>
          </w:p>
        </w:tc>
        <w:tc>
          <w:tcPr>
            <w:tcW w:w="963" w:type="dxa"/>
            <w:vMerge w:val="restart"/>
          </w:tcPr>
          <w:p>
            <w:pPr>
              <w:pStyle w:val="0"/>
              <w:jc w:val="center"/>
            </w:pPr>
            <w:r>
              <w:rPr>
                <w:sz w:val="20"/>
              </w:rPr>
              <w:t xml:space="preserve">Время работы за год, (ч)</w:t>
            </w:r>
          </w:p>
        </w:tc>
        <w:tc>
          <w:tcPr>
            <w:gridSpan w:val="3"/>
            <w:tcW w:w="2437" w:type="dxa"/>
          </w:tcPr>
          <w:p>
            <w:pPr>
              <w:pStyle w:val="0"/>
              <w:jc w:val="center"/>
            </w:pPr>
            <w:r>
              <w:rPr>
                <w:sz w:val="20"/>
              </w:rPr>
              <w:t xml:space="preserve">Выброс загрязняющих веществ</w:t>
            </w:r>
          </w:p>
        </w:tc>
        <w:tc>
          <w:tcPr>
            <w:tcW w:w="793" w:type="dxa"/>
            <w:vMerge w:val="restart"/>
          </w:tcPr>
          <w:p>
            <w:pPr>
              <w:pStyle w:val="0"/>
              <w:jc w:val="center"/>
            </w:pPr>
            <w:r>
              <w:rPr>
                <w:sz w:val="20"/>
              </w:rPr>
              <w:t xml:space="preserve">Ссылка на расчетную методику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tcPr>
          <w:p>
            <w:pPr>
              <w:pStyle w:val="0"/>
              <w:jc w:val="center"/>
            </w:pPr>
            <w:r>
              <w:rPr>
                <w:sz w:val="20"/>
              </w:rPr>
              <w:t xml:space="preserve">Наименование загрязняющего вещества (ЗВ)</w:t>
            </w:r>
          </w:p>
        </w:tc>
        <w:tc>
          <w:tcPr>
            <w:tcW w:w="737" w:type="dxa"/>
          </w:tcPr>
          <w:p>
            <w:pPr>
              <w:pStyle w:val="0"/>
              <w:jc w:val="center"/>
            </w:pPr>
            <w:r>
              <w:rPr>
                <w:sz w:val="20"/>
              </w:rPr>
              <w:t xml:space="preserve">Выбросы ЗВ max, (г/с)</w:t>
            </w:r>
          </w:p>
        </w:tc>
        <w:tc>
          <w:tcPr>
            <w:tcW w:w="737" w:type="dxa"/>
          </w:tcPr>
          <w:p>
            <w:pPr>
              <w:pStyle w:val="0"/>
              <w:jc w:val="center"/>
            </w:pPr>
            <w:r>
              <w:rPr>
                <w:sz w:val="20"/>
              </w:rPr>
              <w:t xml:space="preserve">Выбросы ЗВ ср., (т/год)</w:t>
            </w:r>
          </w:p>
        </w:tc>
        <w:tc>
          <w:tcPr>
            <w:vMerge w:val="continue"/>
          </w:tcPr>
          <w:p/>
        </w:tc>
      </w:tr>
      <w:tr>
        <w:tc>
          <w:tcPr>
            <w:tcW w:w="793" w:type="dxa"/>
            <w:vMerge w:val="restart"/>
          </w:tcPr>
          <w:p>
            <w:pPr>
              <w:pStyle w:val="0"/>
              <w:jc w:val="center"/>
            </w:pPr>
            <w:r>
              <w:rPr>
                <w:sz w:val="20"/>
              </w:rPr>
              <w:t xml:space="preserve">0001п</w:t>
            </w:r>
          </w:p>
        </w:tc>
        <w:tc>
          <w:tcPr>
            <w:tcW w:w="850" w:type="dxa"/>
            <w:vMerge w:val="restart"/>
          </w:tcPr>
          <w:p>
            <w:pPr>
              <w:pStyle w:val="0"/>
            </w:pPr>
            <w:r>
              <w:rPr>
                <w:sz w:val="20"/>
              </w:rPr>
            </w:r>
          </w:p>
        </w:tc>
        <w:tc>
          <w:tcPr>
            <w:tcW w:w="793" w:type="dxa"/>
            <w:vMerge w:val="restart"/>
          </w:tcPr>
          <w:p>
            <w:pPr>
              <w:pStyle w:val="0"/>
            </w:pPr>
            <w:r>
              <w:rPr>
                <w:sz w:val="20"/>
              </w:rPr>
            </w:r>
          </w:p>
        </w:tc>
        <w:tc>
          <w:tcPr>
            <w:tcW w:w="963" w:type="dxa"/>
            <w:vMerge w:val="restart"/>
          </w:tcPr>
          <w:p>
            <w:pPr>
              <w:pStyle w:val="0"/>
            </w:pPr>
            <w:r>
              <w:rPr>
                <w:sz w:val="20"/>
              </w:rPr>
            </w:r>
          </w:p>
        </w:tc>
        <w:tc>
          <w:tcPr>
            <w:tcW w:w="510" w:type="dxa"/>
            <w:vMerge w:val="restart"/>
          </w:tcPr>
          <w:p>
            <w:pPr>
              <w:pStyle w:val="0"/>
            </w:pPr>
            <w:r>
              <w:rPr>
                <w:sz w:val="20"/>
              </w:rPr>
            </w:r>
          </w:p>
        </w:tc>
        <w:tc>
          <w:tcPr>
            <w:tcW w:w="963" w:type="dxa"/>
            <w:vMerge w:val="restart"/>
          </w:tcPr>
          <w:p>
            <w:pPr>
              <w:pStyle w:val="0"/>
            </w:pPr>
            <w:r>
              <w:rPr>
                <w:sz w:val="20"/>
              </w:rPr>
            </w:r>
          </w:p>
        </w:tc>
        <w:tc>
          <w:tcPr>
            <w:tcW w:w="963" w:type="dxa"/>
            <w:vMerge w:val="restart"/>
          </w:tcPr>
          <w:p>
            <w:pPr>
              <w:pStyle w:val="0"/>
            </w:pPr>
            <w:r>
              <w:rPr>
                <w:sz w:val="20"/>
              </w:rPr>
            </w: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3"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vMerge w:val="continue"/>
          </w:tcPr>
          <w:p/>
        </w:tc>
      </w:tr>
      <w:tr>
        <w:tc>
          <w:tcPr>
            <w:tcW w:w="793" w:type="dxa"/>
            <w:vMerge w:val="restart"/>
          </w:tcPr>
          <w:p>
            <w:pPr>
              <w:pStyle w:val="0"/>
              <w:jc w:val="center"/>
            </w:pPr>
            <w:r>
              <w:rPr>
                <w:sz w:val="20"/>
              </w:rPr>
              <w:t xml:space="preserve">0002п</w:t>
            </w:r>
          </w:p>
        </w:tc>
        <w:tc>
          <w:tcPr>
            <w:tcW w:w="850" w:type="dxa"/>
            <w:vMerge w:val="restart"/>
          </w:tcPr>
          <w:p>
            <w:pPr>
              <w:pStyle w:val="0"/>
            </w:pPr>
            <w:r>
              <w:rPr>
                <w:sz w:val="20"/>
              </w:rPr>
            </w:r>
          </w:p>
        </w:tc>
        <w:tc>
          <w:tcPr>
            <w:tcW w:w="793" w:type="dxa"/>
            <w:vMerge w:val="restart"/>
          </w:tcPr>
          <w:p>
            <w:pPr>
              <w:pStyle w:val="0"/>
            </w:pPr>
            <w:r>
              <w:rPr>
                <w:sz w:val="20"/>
              </w:rPr>
            </w:r>
          </w:p>
        </w:tc>
        <w:tc>
          <w:tcPr>
            <w:tcW w:w="963" w:type="dxa"/>
            <w:vMerge w:val="restart"/>
          </w:tcPr>
          <w:p>
            <w:pPr>
              <w:pStyle w:val="0"/>
            </w:pPr>
            <w:r>
              <w:rPr>
                <w:sz w:val="20"/>
              </w:rPr>
            </w:r>
          </w:p>
        </w:tc>
        <w:tc>
          <w:tcPr>
            <w:tcW w:w="510" w:type="dxa"/>
            <w:vMerge w:val="restart"/>
          </w:tcPr>
          <w:p>
            <w:pPr>
              <w:pStyle w:val="0"/>
            </w:pPr>
            <w:r>
              <w:rPr>
                <w:sz w:val="20"/>
              </w:rPr>
            </w:r>
          </w:p>
        </w:tc>
        <w:tc>
          <w:tcPr>
            <w:tcW w:w="963" w:type="dxa"/>
            <w:vMerge w:val="restart"/>
          </w:tcPr>
          <w:p>
            <w:pPr>
              <w:pStyle w:val="0"/>
            </w:pPr>
            <w:r>
              <w:rPr>
                <w:sz w:val="20"/>
              </w:rPr>
            </w:r>
          </w:p>
        </w:tc>
        <w:tc>
          <w:tcPr>
            <w:tcW w:w="963" w:type="dxa"/>
            <w:vMerge w:val="restart"/>
          </w:tcPr>
          <w:p>
            <w:pPr>
              <w:pStyle w:val="0"/>
            </w:pPr>
            <w:r>
              <w:rPr>
                <w:sz w:val="20"/>
              </w:rPr>
            </w: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3"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vMerge w:val="continue"/>
          </w:tcPr>
          <w:p/>
        </w:tc>
      </w:tr>
      <w:tr>
        <w:tc>
          <w:tcPr>
            <w:tcW w:w="793" w:type="dxa"/>
          </w:tcPr>
          <w:p>
            <w:pPr>
              <w:pStyle w:val="0"/>
              <w:jc w:val="center"/>
            </w:pPr>
            <w:r>
              <w:rPr>
                <w:sz w:val="20"/>
              </w:rPr>
              <w:t xml:space="preserve">0003п</w:t>
            </w:r>
          </w:p>
        </w:tc>
        <w:tc>
          <w:tcPr>
            <w:tcW w:w="850" w:type="dxa"/>
          </w:tcPr>
          <w:p>
            <w:pPr>
              <w:pStyle w:val="0"/>
            </w:pPr>
            <w:r>
              <w:rPr>
                <w:sz w:val="20"/>
              </w:rPr>
            </w:r>
          </w:p>
        </w:tc>
        <w:tc>
          <w:tcPr>
            <w:tcW w:w="793" w:type="dxa"/>
          </w:tcPr>
          <w:p>
            <w:pPr>
              <w:pStyle w:val="0"/>
            </w:pPr>
            <w:r>
              <w:rPr>
                <w:sz w:val="20"/>
              </w:rPr>
            </w:r>
          </w:p>
        </w:tc>
        <w:tc>
          <w:tcPr>
            <w:tcW w:w="963" w:type="dxa"/>
          </w:tcPr>
          <w:p>
            <w:pPr>
              <w:pStyle w:val="0"/>
            </w:pPr>
            <w:r>
              <w:rPr>
                <w:sz w:val="20"/>
              </w:rPr>
            </w:r>
          </w:p>
        </w:tc>
        <w:tc>
          <w:tcPr>
            <w:tcW w:w="510"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3" w:type="dxa"/>
          </w:tcPr>
          <w:p>
            <w:pPr>
              <w:pStyle w:val="0"/>
            </w:pPr>
            <w:r>
              <w:rPr>
                <w:sz w:val="20"/>
              </w:rPr>
            </w:r>
          </w:p>
        </w:tc>
      </w:tr>
      <w:tr>
        <w:tc>
          <w:tcPr>
            <w:tcW w:w="793" w:type="dxa"/>
          </w:tcPr>
          <w:p>
            <w:pPr>
              <w:pStyle w:val="0"/>
              <w:jc w:val="center"/>
            </w:pPr>
            <w:r>
              <w:rPr>
                <w:sz w:val="20"/>
              </w:rPr>
              <w:t xml:space="preserve">Всего</w:t>
            </w:r>
          </w:p>
        </w:tc>
        <w:tc>
          <w:tcPr>
            <w:tcW w:w="850" w:type="dxa"/>
          </w:tcPr>
          <w:p>
            <w:pPr>
              <w:pStyle w:val="0"/>
            </w:pPr>
            <w:r>
              <w:rPr>
                <w:sz w:val="20"/>
              </w:rPr>
            </w:r>
          </w:p>
        </w:tc>
        <w:tc>
          <w:tcPr>
            <w:tcW w:w="793" w:type="dxa"/>
          </w:tcPr>
          <w:p>
            <w:pPr>
              <w:pStyle w:val="0"/>
            </w:pPr>
            <w:r>
              <w:rPr>
                <w:sz w:val="20"/>
              </w:rPr>
            </w:r>
          </w:p>
        </w:tc>
        <w:tc>
          <w:tcPr>
            <w:tcW w:w="963" w:type="dxa"/>
          </w:tcPr>
          <w:p>
            <w:pPr>
              <w:pStyle w:val="0"/>
            </w:pPr>
            <w:r>
              <w:rPr>
                <w:sz w:val="20"/>
              </w:rPr>
            </w:r>
          </w:p>
        </w:tc>
        <w:tc>
          <w:tcPr>
            <w:tcW w:w="510"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3"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проведения инвентаризации</w:t>
      </w:r>
    </w:p>
    <w:p>
      <w:pPr>
        <w:pStyle w:val="0"/>
        <w:jc w:val="right"/>
      </w:pPr>
      <w:r>
        <w:rPr>
          <w:sz w:val="20"/>
        </w:rPr>
        <w:t xml:space="preserve">стационарных источников и выбросов</w:t>
      </w:r>
    </w:p>
    <w:p>
      <w:pPr>
        <w:pStyle w:val="0"/>
        <w:jc w:val="right"/>
      </w:pPr>
      <w:r>
        <w:rPr>
          <w:sz w:val="20"/>
        </w:rPr>
        <w:t xml:space="preserve">загрязняющих веществ в атмосферный</w:t>
      </w:r>
    </w:p>
    <w:p>
      <w:pPr>
        <w:pStyle w:val="0"/>
        <w:jc w:val="right"/>
      </w:pPr>
      <w:r>
        <w:rPr>
          <w:sz w:val="20"/>
        </w:rPr>
        <w:t xml:space="preserve">воздух, корректировки ее данных,</w:t>
      </w:r>
    </w:p>
    <w:p>
      <w:pPr>
        <w:pStyle w:val="0"/>
        <w:jc w:val="right"/>
      </w:pPr>
      <w:r>
        <w:rPr>
          <w:sz w:val="20"/>
        </w:rPr>
        <w:t xml:space="preserve">документирования и хранения данных,</w:t>
      </w:r>
    </w:p>
    <w:p>
      <w:pPr>
        <w:pStyle w:val="0"/>
        <w:jc w:val="right"/>
      </w:pPr>
      <w:r>
        <w:rPr>
          <w:sz w:val="20"/>
        </w:rPr>
        <w:t xml:space="preserve">полученных в результате проведения</w:t>
      </w:r>
    </w:p>
    <w:p>
      <w:pPr>
        <w:pStyle w:val="0"/>
        <w:jc w:val="right"/>
      </w:pPr>
      <w:r>
        <w:rPr>
          <w:sz w:val="20"/>
        </w:rPr>
        <w:t xml:space="preserve">таких инвентаризации и корректировки,</w:t>
      </w:r>
    </w:p>
    <w:p>
      <w:pPr>
        <w:pStyle w:val="0"/>
        <w:jc w:val="right"/>
      </w:pPr>
      <w:r>
        <w:rPr>
          <w:sz w:val="20"/>
        </w:rPr>
        <w:t xml:space="preserve">утвержденному приказом Минприроды России</w:t>
      </w:r>
    </w:p>
    <w:p>
      <w:pPr>
        <w:pStyle w:val="0"/>
        <w:jc w:val="right"/>
      </w:pPr>
      <w:r>
        <w:rPr>
          <w:sz w:val="20"/>
        </w:rPr>
        <w:t xml:space="preserve">от 19.11.2021 N 871</w:t>
      </w:r>
    </w:p>
    <w:p>
      <w:pPr>
        <w:pStyle w:val="0"/>
        <w:jc w:val="both"/>
      </w:pPr>
      <w:r>
        <w:rPr>
          <w:sz w:val="20"/>
        </w:rPr>
      </w:r>
    </w:p>
    <w:bookmarkStart w:id="1267" w:name="P1267"/>
    <w:bookmarkEnd w:id="1267"/>
    <w:p>
      <w:pPr>
        <w:pStyle w:val="2"/>
        <w:jc w:val="center"/>
      </w:pPr>
      <w:r>
        <w:rPr>
          <w:sz w:val="20"/>
        </w:rPr>
        <w:t xml:space="preserve">РЕКОМЕНДУЕМЫЙ ОБРАЗЕЦ</w:t>
      </w:r>
    </w:p>
    <w:p>
      <w:pPr>
        <w:pStyle w:val="2"/>
        <w:jc w:val="center"/>
      </w:pPr>
      <w:r>
        <w:rPr>
          <w:sz w:val="20"/>
        </w:rPr>
        <w:t xml:space="preserve">СОДЕРЖАНИЯ ОТЧЕТА ПО ИНВЕНТАРИЗАЦИИ СТАЦИОНАРНЫХ ИЗАВ</w:t>
      </w:r>
    </w:p>
    <w:p>
      <w:pPr>
        <w:pStyle w:val="2"/>
        <w:jc w:val="center"/>
      </w:pPr>
      <w:r>
        <w:rPr>
          <w:sz w:val="20"/>
        </w:rPr>
        <w:t xml:space="preserve">И ВЫБРОСОВ ЗАГРЯЗНЯЮЩИХ ВЕЩЕСТВ В АТМОСФЕРНЫЙ</w:t>
      </w:r>
    </w:p>
    <w:p>
      <w:pPr>
        <w:pStyle w:val="2"/>
        <w:jc w:val="center"/>
      </w:pPr>
      <w:r>
        <w:rPr>
          <w:sz w:val="20"/>
        </w:rPr>
        <w:t xml:space="preserve">ВОЗДУХ, КОРРЕКТИРОВКИ ЕЕ ДАННЫХ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5652"/>
        <w:gridCol w:w="2891"/>
      </w:tblGrid>
      <w:tr>
        <w:tc>
          <w:tcPr>
            <w:tcW w:w="528" w:type="dxa"/>
          </w:tcPr>
          <w:p>
            <w:pPr>
              <w:pStyle w:val="0"/>
              <w:jc w:val="center"/>
            </w:pPr>
            <w:r>
              <w:rPr>
                <w:sz w:val="20"/>
              </w:rPr>
              <w:t xml:space="preserve">N</w:t>
            </w:r>
          </w:p>
        </w:tc>
        <w:tc>
          <w:tcPr>
            <w:tcW w:w="5652" w:type="dxa"/>
          </w:tcPr>
          <w:p>
            <w:pPr>
              <w:pStyle w:val="0"/>
              <w:jc w:val="center"/>
            </w:pPr>
            <w:r>
              <w:rPr>
                <w:sz w:val="20"/>
              </w:rPr>
              <w:t xml:space="preserve">Перечень основных разделов отчета по инвентаризации выбросов</w:t>
            </w:r>
          </w:p>
        </w:tc>
        <w:tc>
          <w:tcPr>
            <w:tcW w:w="2891" w:type="dxa"/>
          </w:tcPr>
          <w:p>
            <w:pPr>
              <w:pStyle w:val="0"/>
              <w:jc w:val="center"/>
            </w:pPr>
            <w:r>
              <w:rPr>
                <w:sz w:val="20"/>
              </w:rPr>
              <w:t xml:space="preserve">Требования к содержанию раздела</w:t>
            </w:r>
          </w:p>
        </w:tc>
      </w:tr>
      <w:tr>
        <w:tc>
          <w:tcPr>
            <w:tcW w:w="528" w:type="dxa"/>
          </w:tcPr>
          <w:p>
            <w:pPr>
              <w:pStyle w:val="0"/>
              <w:jc w:val="center"/>
            </w:pPr>
            <w:r>
              <w:rPr>
                <w:sz w:val="20"/>
              </w:rPr>
              <w:t xml:space="preserve">1</w:t>
            </w:r>
          </w:p>
        </w:tc>
        <w:tc>
          <w:tcPr>
            <w:tcW w:w="5652" w:type="dxa"/>
            <w:vAlign w:val="center"/>
          </w:tcPr>
          <w:p>
            <w:pPr>
              <w:pStyle w:val="0"/>
              <w:jc w:val="center"/>
            </w:pPr>
            <w:r>
              <w:rPr>
                <w:sz w:val="20"/>
              </w:rPr>
              <w:t xml:space="preserve">Титульный лист</w:t>
            </w:r>
          </w:p>
        </w:tc>
        <w:tc>
          <w:tcPr>
            <w:tcW w:w="2891" w:type="dxa"/>
            <w:vAlign w:val="center"/>
          </w:tcPr>
          <w:p>
            <w:pPr>
              <w:pStyle w:val="0"/>
              <w:jc w:val="center"/>
            </w:pPr>
            <w:hyperlink w:history="0" w:anchor="P286" w:tooltip="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quot;Содержание, введение&quot;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
              <w:r>
                <w:rPr>
                  <w:sz w:val="20"/>
                  <w:color w:val="0000ff"/>
                </w:rPr>
                <w:t xml:space="preserve">пункт 52</w:t>
              </w:r>
            </w:hyperlink>
            <w:r>
              <w:rPr>
                <w:sz w:val="20"/>
              </w:rPr>
              <w:t xml:space="preserve"> настоящего Порядка</w:t>
            </w:r>
          </w:p>
        </w:tc>
      </w:tr>
      <w:tr>
        <w:tc>
          <w:tcPr>
            <w:tcW w:w="528" w:type="dxa"/>
            <w:vAlign w:val="center"/>
          </w:tcPr>
          <w:p>
            <w:pPr>
              <w:pStyle w:val="0"/>
              <w:jc w:val="center"/>
            </w:pPr>
            <w:r>
              <w:rPr>
                <w:sz w:val="20"/>
              </w:rPr>
              <w:t xml:space="preserve">2</w:t>
            </w:r>
          </w:p>
        </w:tc>
        <w:tc>
          <w:tcPr>
            <w:tcW w:w="5652" w:type="dxa"/>
            <w:vAlign w:val="center"/>
          </w:tcPr>
          <w:p>
            <w:pPr>
              <w:pStyle w:val="0"/>
              <w:jc w:val="center"/>
            </w:pPr>
            <w:r>
              <w:rPr>
                <w:sz w:val="20"/>
              </w:rPr>
              <w:t xml:space="preserve">Сведения о разработчике и список исполнителей</w:t>
            </w:r>
          </w:p>
        </w:tc>
        <w:tc>
          <w:tcPr>
            <w:tcW w:w="2891" w:type="dxa"/>
            <w:vAlign w:val="center"/>
          </w:tcPr>
          <w:p>
            <w:pPr>
              <w:pStyle w:val="0"/>
            </w:pPr>
            <w:r>
              <w:rPr>
                <w:sz w:val="20"/>
              </w:rPr>
            </w:r>
          </w:p>
        </w:tc>
      </w:tr>
      <w:tr>
        <w:tc>
          <w:tcPr>
            <w:tcW w:w="528" w:type="dxa"/>
          </w:tcPr>
          <w:p>
            <w:pPr>
              <w:pStyle w:val="0"/>
              <w:jc w:val="center"/>
            </w:pPr>
            <w:r>
              <w:rPr>
                <w:sz w:val="20"/>
              </w:rPr>
              <w:t xml:space="preserve">3</w:t>
            </w:r>
          </w:p>
        </w:tc>
        <w:tc>
          <w:tcPr>
            <w:tcW w:w="5652" w:type="dxa"/>
            <w:vAlign w:val="center"/>
          </w:tcPr>
          <w:p>
            <w:pPr>
              <w:pStyle w:val="0"/>
              <w:jc w:val="center"/>
            </w:pPr>
            <w:r>
              <w:rPr>
                <w:sz w:val="20"/>
              </w:rPr>
              <w:t xml:space="preserve">Содержание, введение</w:t>
            </w:r>
          </w:p>
        </w:tc>
        <w:tc>
          <w:tcPr>
            <w:tcW w:w="2891" w:type="dxa"/>
            <w:vAlign w:val="center"/>
          </w:tcPr>
          <w:p>
            <w:pPr>
              <w:pStyle w:val="0"/>
              <w:jc w:val="center"/>
            </w:pPr>
            <w:hyperlink w:history="0" w:anchor="P286" w:tooltip="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quot;Содержание, введение&quot;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
              <w:r>
                <w:rPr>
                  <w:sz w:val="20"/>
                  <w:color w:val="0000ff"/>
                </w:rPr>
                <w:t xml:space="preserve">пункт 52</w:t>
              </w:r>
            </w:hyperlink>
            <w:r>
              <w:rPr>
                <w:sz w:val="20"/>
              </w:rPr>
              <w:t xml:space="preserve"> настоящего Порядка</w:t>
            </w:r>
          </w:p>
        </w:tc>
      </w:tr>
      <w:tr>
        <w:tc>
          <w:tcPr>
            <w:tcW w:w="528" w:type="dxa"/>
          </w:tcPr>
          <w:p>
            <w:pPr>
              <w:pStyle w:val="0"/>
              <w:jc w:val="center"/>
            </w:pPr>
            <w:r>
              <w:rPr>
                <w:sz w:val="20"/>
              </w:rPr>
              <w:t xml:space="preserve">4</w:t>
            </w:r>
          </w:p>
        </w:tc>
        <w:tc>
          <w:tcPr>
            <w:tcW w:w="5652" w:type="dxa"/>
            <w:vAlign w:val="center"/>
          </w:tcPr>
          <w:p>
            <w:pPr>
              <w:pStyle w:val="0"/>
              <w:jc w:val="center"/>
            </w:pPr>
            <w:r>
              <w:rPr>
                <w:sz w:val="20"/>
              </w:rPr>
              <w:t xml:space="preserve">Сведения о хозяйствующем субъекте, объекте ОНВ, его отдельных территориях и производственной деятельности, включая сведения о количестве, характеристиках и эффективности установок очистки газа</w:t>
            </w:r>
          </w:p>
        </w:tc>
        <w:tc>
          <w:tcPr>
            <w:tcW w:w="2891" w:type="dxa"/>
          </w:tcPr>
          <w:p>
            <w:pPr>
              <w:pStyle w:val="0"/>
              <w:jc w:val="center"/>
            </w:pPr>
            <w:hyperlink w:history="0" w:anchor="P198" w:tooltip="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
              <w:r>
                <w:rPr>
                  <w:sz w:val="20"/>
                  <w:color w:val="0000ff"/>
                </w:rPr>
                <w:t xml:space="preserve">пункт 35</w:t>
              </w:r>
            </w:hyperlink>
            <w:r>
              <w:rPr>
                <w:sz w:val="20"/>
              </w:rPr>
              <w:t xml:space="preserve"> настоящего Порядка</w:t>
            </w:r>
          </w:p>
        </w:tc>
      </w:tr>
      <w:tr>
        <w:tc>
          <w:tcPr>
            <w:tcW w:w="528" w:type="dxa"/>
          </w:tcPr>
          <w:p>
            <w:pPr>
              <w:pStyle w:val="0"/>
              <w:jc w:val="center"/>
            </w:pPr>
            <w:r>
              <w:rPr>
                <w:sz w:val="20"/>
              </w:rPr>
              <w:t xml:space="preserve">5</w:t>
            </w:r>
          </w:p>
        </w:tc>
        <w:tc>
          <w:tcPr>
            <w:tcW w:w="5652" w:type="dxa"/>
            <w:vAlign w:val="center"/>
          </w:tcPr>
          <w:p>
            <w:pPr>
              <w:pStyle w:val="0"/>
              <w:jc w:val="center"/>
            </w:pPr>
            <w:r>
              <w:rPr>
                <w:sz w:val="20"/>
              </w:rPr>
              <w:t xml:space="preserve">Описание проведенных работ по инвентаризации выбросов с указанием нормативных правовых актов и документов по стандартизации, перечня использованных методик выполнения измерений ЗВ и расчетного определения выбросов ЗВ</w:t>
            </w:r>
          </w:p>
        </w:tc>
        <w:tc>
          <w:tcPr>
            <w:tcW w:w="2891" w:type="dxa"/>
          </w:tcPr>
          <w:p>
            <w:pPr>
              <w:pStyle w:val="0"/>
              <w:jc w:val="center"/>
            </w:pPr>
            <w:hyperlink w:history="0" w:anchor="P205" w:tooltip="36. 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законом от 29.06.2015 N 162-ФЗ &quot;О стандартизации в Российской Федерации&quot;, перечня использованных методик (методов) измерения показателей выбросов и методик расчета выбросов ЗВ.">
              <w:r>
                <w:rPr>
                  <w:sz w:val="20"/>
                  <w:color w:val="0000ff"/>
                </w:rPr>
                <w:t xml:space="preserve">пункт 36</w:t>
              </w:r>
            </w:hyperlink>
            <w:r>
              <w:rPr>
                <w:sz w:val="20"/>
              </w:rPr>
              <w:t xml:space="preserve"> настоящего Порядка</w:t>
            </w:r>
          </w:p>
        </w:tc>
      </w:tr>
      <w:tr>
        <w:tc>
          <w:tcPr>
            <w:tcW w:w="528" w:type="dxa"/>
          </w:tcPr>
          <w:p>
            <w:pPr>
              <w:pStyle w:val="0"/>
              <w:jc w:val="center"/>
            </w:pPr>
            <w:r>
              <w:rPr>
                <w:sz w:val="20"/>
              </w:rPr>
              <w:t xml:space="preserve">6</w:t>
            </w:r>
          </w:p>
        </w:tc>
        <w:tc>
          <w:tcPr>
            <w:tcW w:w="5652" w:type="dxa"/>
            <w:vAlign w:val="center"/>
          </w:tcPr>
          <w:p>
            <w:pPr>
              <w:pStyle w:val="0"/>
              <w:jc w:val="center"/>
            </w:pPr>
            <w:r>
              <w:rPr>
                <w:sz w:val="20"/>
              </w:rPr>
              <w:t xml:space="preserve">Карта-схема территории объекта ОНВ (в масштабе) с ИЗАВ</w:t>
            </w:r>
          </w:p>
        </w:tc>
        <w:tc>
          <w:tcPr>
            <w:tcW w:w="2891" w:type="dxa"/>
            <w:vAlign w:val="center"/>
          </w:tcPr>
          <w:p>
            <w:pPr>
              <w:pStyle w:val="0"/>
              <w:jc w:val="center"/>
            </w:pPr>
            <w:hyperlink w:history="0" w:anchor="P126" w:tooltip="16. На карте-схеме с соблюдением принятого масштаба отображаются:">
              <w:r>
                <w:rPr>
                  <w:sz w:val="20"/>
                  <w:color w:val="0000ff"/>
                </w:rPr>
                <w:t xml:space="preserve">пункт 16</w:t>
              </w:r>
            </w:hyperlink>
            <w:r>
              <w:rPr>
                <w:sz w:val="20"/>
              </w:rPr>
              <w:t xml:space="preserve"> настоящего Порядка</w:t>
            </w:r>
          </w:p>
        </w:tc>
      </w:tr>
      <w:tr>
        <w:tc>
          <w:tcPr>
            <w:tcW w:w="528" w:type="dxa"/>
            <w:vMerge w:val="restart"/>
          </w:tcPr>
          <w:p>
            <w:pPr>
              <w:pStyle w:val="0"/>
              <w:jc w:val="center"/>
            </w:pPr>
            <w:r>
              <w:rPr>
                <w:sz w:val="20"/>
              </w:rPr>
              <w:t xml:space="preserve">7</w:t>
            </w:r>
          </w:p>
        </w:tc>
        <w:tc>
          <w:tcPr>
            <w:tcW w:w="5652" w:type="dxa"/>
            <w:vAlign w:val="center"/>
          </w:tcPr>
          <w:p>
            <w:pPr>
              <w:pStyle w:val="0"/>
              <w:jc w:val="center"/>
            </w:pPr>
            <w:r>
              <w:rPr>
                <w:sz w:val="20"/>
              </w:rPr>
              <w:t xml:space="preserve">Характеристики ИЗАВ, показатели работы установок очистки газа, суммарные выбросы по объекту ОНВ, включая:</w:t>
            </w:r>
          </w:p>
        </w:tc>
        <w:tc>
          <w:tcPr>
            <w:tcW w:w="2891" w:type="dxa"/>
            <w:vAlign w:val="center"/>
          </w:tcPr>
          <w:p>
            <w:pPr>
              <w:pStyle w:val="0"/>
            </w:pPr>
            <w:r>
              <w:rPr>
                <w:sz w:val="20"/>
              </w:rPr>
            </w:r>
          </w:p>
        </w:tc>
      </w:tr>
      <w:tr>
        <w:tc>
          <w:tcPr>
            <w:vMerge w:val="continue"/>
          </w:tcPr>
          <w:p/>
        </w:tc>
        <w:tc>
          <w:tcPr>
            <w:tcW w:w="5652" w:type="dxa"/>
          </w:tcPr>
          <w:p>
            <w:pPr>
              <w:pStyle w:val="0"/>
              <w:jc w:val="center"/>
            </w:pPr>
            <w:r>
              <w:rPr>
                <w:sz w:val="20"/>
              </w:rPr>
              <w:t xml:space="preserve">7.1. Источники выделения загрязняющих веществ</w:t>
            </w:r>
          </w:p>
        </w:tc>
        <w:tc>
          <w:tcPr>
            <w:tcW w:w="2891" w:type="dxa"/>
            <w:vAlign w:val="center"/>
          </w:tcPr>
          <w:p>
            <w:pPr>
              <w:pStyle w:val="0"/>
              <w:jc w:val="center"/>
            </w:pPr>
            <w:hyperlink w:history="0" w:anchor="P640" w:tooltip="Таблица N 3.1">
              <w:r>
                <w:rPr>
                  <w:sz w:val="20"/>
                  <w:color w:val="0000ff"/>
                </w:rPr>
                <w:t xml:space="preserve">таблица N 3.1</w:t>
              </w:r>
            </w:hyperlink>
            <w:r>
              <w:rPr>
                <w:sz w:val="20"/>
              </w:rPr>
              <w:t xml:space="preserve"> приложения N 3 к настоящему Порядку</w:t>
            </w:r>
          </w:p>
        </w:tc>
      </w:tr>
      <w:tr>
        <w:tc>
          <w:tcPr>
            <w:vMerge w:val="continue"/>
          </w:tcPr>
          <w:p/>
        </w:tc>
        <w:tc>
          <w:tcPr>
            <w:tcW w:w="5652" w:type="dxa"/>
          </w:tcPr>
          <w:p>
            <w:pPr>
              <w:pStyle w:val="0"/>
              <w:jc w:val="center"/>
            </w:pPr>
            <w:r>
              <w:rPr>
                <w:sz w:val="20"/>
              </w:rPr>
              <w:t xml:space="preserve">7.2. Источники выбросов загрязняющих веществ</w:t>
            </w:r>
          </w:p>
        </w:tc>
        <w:tc>
          <w:tcPr>
            <w:tcW w:w="2891" w:type="dxa"/>
            <w:vAlign w:val="center"/>
          </w:tcPr>
          <w:p>
            <w:pPr>
              <w:pStyle w:val="0"/>
              <w:jc w:val="center"/>
            </w:pPr>
            <w:hyperlink w:history="0" w:anchor="P724" w:tooltip="Таблица N 3.2">
              <w:r>
                <w:rPr>
                  <w:sz w:val="20"/>
                  <w:color w:val="0000ff"/>
                </w:rPr>
                <w:t xml:space="preserve">таблица N 3.2</w:t>
              </w:r>
            </w:hyperlink>
            <w:r>
              <w:rPr>
                <w:sz w:val="20"/>
              </w:rPr>
              <w:t xml:space="preserve"> приложения N 3 к настоящему Порядку</w:t>
            </w:r>
          </w:p>
        </w:tc>
      </w:tr>
      <w:tr>
        <w:tc>
          <w:tcPr>
            <w:vMerge w:val="continue"/>
          </w:tcPr>
          <w:p/>
        </w:tc>
        <w:tc>
          <w:tcPr>
            <w:tcW w:w="5652" w:type="dxa"/>
            <w:vAlign w:val="center"/>
          </w:tcPr>
          <w:p>
            <w:pPr>
              <w:pStyle w:val="0"/>
              <w:jc w:val="center"/>
            </w:pPr>
            <w:r>
              <w:rPr>
                <w:sz w:val="20"/>
              </w:rPr>
              <w:t xml:space="preserve">7.3. Результаты обследования установок очистки газа и условий их эксплуатации</w:t>
            </w:r>
          </w:p>
        </w:tc>
        <w:tc>
          <w:tcPr>
            <w:tcW w:w="2891" w:type="dxa"/>
            <w:vAlign w:val="center"/>
          </w:tcPr>
          <w:p>
            <w:pPr>
              <w:pStyle w:val="0"/>
              <w:jc w:val="center"/>
            </w:pPr>
            <w:hyperlink w:history="0" w:anchor="P947" w:tooltip="Таблица N 3.3">
              <w:r>
                <w:rPr>
                  <w:sz w:val="20"/>
                  <w:color w:val="0000ff"/>
                </w:rPr>
                <w:t xml:space="preserve">таблица N 3.3</w:t>
              </w:r>
            </w:hyperlink>
            <w:r>
              <w:rPr>
                <w:sz w:val="20"/>
              </w:rPr>
              <w:t xml:space="preserve"> приложения N 3 к настоящему Порядку</w:t>
            </w:r>
          </w:p>
        </w:tc>
      </w:tr>
      <w:tr>
        <w:tc>
          <w:tcPr>
            <w:vMerge w:val="continue"/>
          </w:tcPr>
          <w:p/>
        </w:tc>
        <w:tc>
          <w:tcPr>
            <w:tcW w:w="5652" w:type="dxa"/>
            <w:vAlign w:val="center"/>
          </w:tcPr>
          <w:p>
            <w:pPr>
              <w:pStyle w:val="0"/>
              <w:jc w:val="center"/>
            </w:pPr>
            <w:r>
              <w:rPr>
                <w:sz w:val="20"/>
              </w:rPr>
              <w:t xml:space="preserve">7.4. Суммарные выбросы ЗВ в атмосферный воздух (т/год), их очистка и утилизация (в целом по объекту ОНВ).</w:t>
            </w:r>
          </w:p>
        </w:tc>
        <w:tc>
          <w:tcPr>
            <w:tcW w:w="2891" w:type="dxa"/>
          </w:tcPr>
          <w:p>
            <w:pPr>
              <w:pStyle w:val="0"/>
              <w:jc w:val="center"/>
            </w:pPr>
            <w:hyperlink w:history="0" w:anchor="P972" w:tooltip="Таблица N 3.4">
              <w:r>
                <w:rPr>
                  <w:sz w:val="20"/>
                  <w:color w:val="0000ff"/>
                </w:rPr>
                <w:t xml:space="preserve">таблица N 3.4</w:t>
              </w:r>
            </w:hyperlink>
            <w:r>
              <w:rPr>
                <w:sz w:val="20"/>
              </w:rPr>
              <w:t xml:space="preserve"> приложения N 3</w:t>
            </w:r>
          </w:p>
        </w:tc>
      </w:tr>
      <w:tr>
        <w:tc>
          <w:tcPr>
            <w:tcW w:w="528" w:type="dxa"/>
          </w:tcPr>
          <w:p>
            <w:pPr>
              <w:pStyle w:val="0"/>
              <w:jc w:val="center"/>
            </w:pPr>
            <w:r>
              <w:rPr>
                <w:sz w:val="20"/>
              </w:rPr>
              <w:t xml:space="preserve">8</w:t>
            </w:r>
          </w:p>
        </w:tc>
        <w:tc>
          <w:tcPr>
            <w:tcW w:w="5652" w:type="dxa"/>
            <w:vAlign w:val="center"/>
          </w:tcPr>
          <w:p>
            <w:pPr>
              <w:pStyle w:val="0"/>
              <w:jc w:val="center"/>
            </w:pPr>
            <w:r>
              <w:rPr>
                <w:sz w:val="20"/>
              </w:rPr>
              <w:t xml:space="preserve">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vAlign w:val="center"/>
          </w:tcPr>
          <w:p>
            <w:pPr>
              <w:pStyle w:val="0"/>
            </w:pPr>
            <w:r>
              <w:rPr>
                <w:sz w:val="20"/>
              </w:rPr>
            </w:r>
          </w:p>
        </w:tc>
      </w:tr>
      <w:tr>
        <w:tc>
          <w:tcPr>
            <w:tcW w:w="528" w:type="dxa"/>
          </w:tcPr>
          <w:p>
            <w:pPr>
              <w:pStyle w:val="0"/>
              <w:jc w:val="center"/>
            </w:pPr>
            <w:r>
              <w:rPr>
                <w:sz w:val="20"/>
              </w:rPr>
              <w:t xml:space="preserve">9</w:t>
            </w:r>
          </w:p>
        </w:tc>
        <w:tc>
          <w:tcPr>
            <w:tcW w:w="5652" w:type="dxa"/>
            <w:vAlign w:val="center"/>
          </w:tcPr>
          <w:p>
            <w:pPr>
              <w:pStyle w:val="0"/>
              <w:jc w:val="center"/>
            </w:pPr>
            <w:r>
              <w:rPr>
                <w:sz w:val="20"/>
              </w:rPr>
              <w:t xml:space="preserve">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pPr>
              <w:pStyle w:val="0"/>
              <w:jc w:val="center"/>
            </w:pPr>
            <w:hyperlink w:history="0" w:anchor="P541" w:tooltip="Документирование результатов инструментального">
              <w:r>
                <w:rPr>
                  <w:sz w:val="20"/>
                  <w:color w:val="0000ff"/>
                </w:rPr>
                <w:t xml:space="preserve">приложение N 2</w:t>
              </w:r>
            </w:hyperlink>
            <w:r>
              <w:rPr>
                <w:sz w:val="20"/>
              </w:rPr>
              <w:t xml:space="preserve"> к настоящему Порядку</w:t>
            </w:r>
          </w:p>
        </w:tc>
      </w:tr>
      <w:tr>
        <w:tc>
          <w:tcPr>
            <w:tcW w:w="528" w:type="dxa"/>
          </w:tcPr>
          <w:p>
            <w:pPr>
              <w:pStyle w:val="0"/>
              <w:jc w:val="center"/>
            </w:pPr>
            <w:r>
              <w:rPr>
                <w:sz w:val="20"/>
              </w:rPr>
              <w:t xml:space="preserve">10</w:t>
            </w:r>
          </w:p>
        </w:tc>
        <w:tc>
          <w:tcPr>
            <w:tcW w:w="5652" w:type="dxa"/>
            <w:vAlign w:val="center"/>
          </w:tcPr>
          <w:p>
            <w:pPr>
              <w:pStyle w:val="0"/>
              <w:jc w:val="center"/>
            </w:pPr>
            <w:r>
              <w:rPr>
                <w:sz w:val="20"/>
              </w:rPr>
              <w:t xml:space="preserve">Документирование характеристик нестационарности выбросов</w:t>
            </w:r>
          </w:p>
        </w:tc>
        <w:tc>
          <w:tcPr>
            <w:tcW w:w="2891" w:type="dxa"/>
            <w:vAlign w:val="center"/>
          </w:tcPr>
          <w:p>
            <w:pPr>
              <w:pStyle w:val="0"/>
              <w:jc w:val="center"/>
            </w:pPr>
            <w:hyperlink w:history="0" w:anchor="P305" w:tooltip="Документирование данных при нестационарности выбросов">
              <w:r>
                <w:rPr>
                  <w:sz w:val="20"/>
                  <w:color w:val="0000ff"/>
                </w:rPr>
                <w:t xml:space="preserve">приложение N 1</w:t>
              </w:r>
            </w:hyperlink>
            <w:r>
              <w:rPr>
                <w:sz w:val="20"/>
              </w:rPr>
              <w:t xml:space="preserve"> к настоящему Порядку</w:t>
            </w:r>
          </w:p>
        </w:tc>
      </w:tr>
      <w:tr>
        <w:tc>
          <w:tcPr>
            <w:tcW w:w="528" w:type="dxa"/>
          </w:tcPr>
          <w:p>
            <w:pPr>
              <w:pStyle w:val="0"/>
              <w:jc w:val="center"/>
            </w:pPr>
            <w:r>
              <w:rPr>
                <w:sz w:val="20"/>
              </w:rPr>
              <w:t xml:space="preserve">11</w:t>
            </w:r>
          </w:p>
        </w:tc>
        <w:tc>
          <w:tcPr>
            <w:tcW w:w="5652" w:type="dxa"/>
            <w:vAlign w:val="center"/>
          </w:tcPr>
          <w:p>
            <w:pPr>
              <w:pStyle w:val="0"/>
              <w:jc w:val="center"/>
            </w:pPr>
            <w:r>
              <w:rPr>
                <w:sz w:val="20"/>
              </w:rPr>
              <w:t xml:space="preserve">Копия аттестата аккредитации привлекаемой аналитической лаборатории с приложением области аккредитации, копий материалов, использованных в ходе инвентаризации выбросов и составления отчета</w:t>
            </w:r>
          </w:p>
        </w:tc>
        <w:tc>
          <w:tcPr>
            <w:tcW w:w="2891" w:type="dxa"/>
            <w:vAlign w:val="center"/>
          </w:tcPr>
          <w:p>
            <w:pPr>
              <w:pStyle w:val="0"/>
            </w:pPr>
            <w:r>
              <w:rPr>
                <w:sz w:val="20"/>
              </w:rPr>
            </w:r>
          </w:p>
        </w:tc>
      </w:tr>
      <w:tr>
        <w:tc>
          <w:tcPr>
            <w:tcW w:w="528" w:type="dxa"/>
          </w:tcPr>
          <w:p>
            <w:pPr>
              <w:pStyle w:val="0"/>
              <w:jc w:val="center"/>
            </w:pPr>
            <w:r>
              <w:rPr>
                <w:sz w:val="20"/>
              </w:rPr>
              <w:t xml:space="preserve">12</w:t>
            </w:r>
          </w:p>
        </w:tc>
        <w:tc>
          <w:tcPr>
            <w:tcW w:w="5652" w:type="dxa"/>
            <w:vAlign w:val="center"/>
          </w:tcPr>
          <w:p>
            <w:pPr>
              <w:pStyle w:val="0"/>
              <w:jc w:val="center"/>
            </w:pPr>
            <w:r>
              <w:rPr>
                <w:sz w:val="20"/>
              </w:rPr>
              <w:t xml:space="preserve">Иные материалы, которые разработчик считает необходимым приложить</w:t>
            </w:r>
          </w:p>
        </w:tc>
        <w:tc>
          <w:tcPr>
            <w:tcW w:w="2891"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19.11.2021 N 871</w:t>
            <w:br/>
            <w:t>"Об утверждении Порядка проведения инвентаризации стационарных источников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Минприроды России от 19.11.2021 N 871</w:t>
            <w:br/>
            <w:t>"Об утверждении Порядка проведения инвентаризации стационарных источников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9F0352A32448E6376C6E7A1FA2BE2DD59FCD4DE01660EDA9D7999B5C43A34061900C6C4A681501EE592E2AA27DB7C93D8A658F39G5aFL" TargetMode = "External"/>
	<Relationship Id="rId8" Type="http://schemas.openxmlformats.org/officeDocument/2006/relationships/hyperlink" Target="consultantplus://offline/ref=DE9F0352A32448E6376C6E7A1FA2BE2DD59ECD49EE1E60EDA9D7999B5C43A34061900C6C426A1E5DBB162F76E42AA4CA3E8A668E255E0355G6a3L" TargetMode = "External"/>
	<Relationship Id="rId9" Type="http://schemas.openxmlformats.org/officeDocument/2006/relationships/hyperlink" Target="consultantplus://offline/ref=DE9F0352A32448E6376C6E7A1FA2BE2DD29FC44AEF1A60EDA9D7999B5C43A3407390546040680054BE037927A2G7aCL" TargetMode = "External"/>
	<Relationship Id="rId10" Type="http://schemas.openxmlformats.org/officeDocument/2006/relationships/hyperlink" Target="consultantplus://offline/ref=DE9F0352A32448E6376C6E7A1FA2BE2DD29FC44AE01B60EDA9D7999B5C43A3407390546040680054BE037927A2G7aCL" TargetMode = "External"/>
	<Relationship Id="rId11" Type="http://schemas.openxmlformats.org/officeDocument/2006/relationships/hyperlink" Target="consultantplus://offline/ref=DE9F0352A32448E6376C6E7A1FA2BE2DD59FCD4DE01660EDA9D7999B5C43A34061900C6C4A6B1501EE592E2AA27DB7C93D8A658F39G5aFL" TargetMode = "External"/>
	<Relationship Id="rId12" Type="http://schemas.openxmlformats.org/officeDocument/2006/relationships/hyperlink" Target="consultantplus://offline/ref=DE9F0352A32448E6376C6E7A1FA2BE2DD59EC04BE01E60EDA9D7999B5C43A34061900C6F456E1501EE592E2AA27DB7C93D8A658F39G5aFL" TargetMode = "External"/>
	<Relationship Id="rId13" Type="http://schemas.openxmlformats.org/officeDocument/2006/relationships/hyperlink" Target="consultantplus://offline/ref=DE9F0352A32448E6376C6E7A1FA2BE2DD092CC4BE71660EDA9D7999B5C43A34061900C6C426A1E54BF162F76E42AA4CA3E8A668E255E0355G6a3L" TargetMode = "External"/>
	<Relationship Id="rId14" Type="http://schemas.openxmlformats.org/officeDocument/2006/relationships/hyperlink" Target="consultantplus://offline/ref=DE9F0352A32448E6376C6E7A1FA2BE2DD59EC64CE11B60EDA9D7999B5C43A3407390546040680054BE037927A2G7aCL" TargetMode = "External"/>
	<Relationship Id="rId15" Type="http://schemas.openxmlformats.org/officeDocument/2006/relationships/hyperlink" Target="consultantplus://offline/ref=DE9F0352A32448E6376C6E7A1FA2BE2DD59EC643EE1960EDA9D7999B5C43A34061900C6F46681501EE592E2AA27DB7C93D8A658F39G5aFL" TargetMode = "External"/>
	<Relationship Id="rId16" Type="http://schemas.openxmlformats.org/officeDocument/2006/relationships/hyperlink" Target="consultantplus://offline/ref=DE9F0352A32448E6376C6E7A1FA2BE2DD59BCD4CE51A60EDA9D7999B5C43A3407390546040680054BE037927A2G7aCL" TargetMode = "External"/>
	<Relationship Id="rId17" Type="http://schemas.openxmlformats.org/officeDocument/2006/relationships/hyperlink" Target="consultantplus://offline/ref=DE9F0352A32448E6376C6E7A1FA2BE2DD393C348EE1B60EDA9D7999B5C43A34061900C6C426A1E54BE162F76E42AA4CA3E8A668E255E0355G6a3L" TargetMode = "External"/>
	<Relationship Id="rId18" Type="http://schemas.openxmlformats.org/officeDocument/2006/relationships/hyperlink" Target="consultantplus://offline/ref=DE9F0352A32448E6376C6E7A1FA2BE2DD29CC643EF1660EDA9D7999B5C43A3407390546040680054BE037927A2G7aCL" TargetMode = "External"/>
	<Relationship Id="rId19" Type="http://schemas.openxmlformats.org/officeDocument/2006/relationships/hyperlink" Target="consultantplus://offline/ref=DE9F0352A32448E6376C6E7A1FA2BE2DD59FC54CE61860EDA9D7999B5C43A34061900C6C426A1F56B8162F76E42AA4CA3E8A668E255E0355G6a3L" TargetMode = "External"/>
	<Relationship Id="rId20" Type="http://schemas.openxmlformats.org/officeDocument/2006/relationships/hyperlink" Target="consultantplus://offline/ref=DE9F0352A32448E6376C6E7A1FA2BE2DD299C04CE01C60EDA9D7999B5C43A34061900C6C426A1E55B9162F76E42AA4CA3E8A668E255E0355G6a3L" TargetMode = "External"/>
	<Relationship Id="rId21" Type="http://schemas.openxmlformats.org/officeDocument/2006/relationships/hyperlink" Target="consultantplus://offline/ref=DE9F0352A32448E6376C6E7A1FA2BE2DD293C34DE71660EDA9D7999B5C43A34061900C6C426A1E52B8162F76E42AA4CA3E8A668E255E0355G6a3L" TargetMode = "External"/>
	<Relationship Id="rId22" Type="http://schemas.openxmlformats.org/officeDocument/2006/relationships/hyperlink" Target="consultantplus://offline/ref=DE9F0352A32448E6376C6E7A1FA2BE2DD29CC643EF1660EDA9D7999B5C43A3407390546040680054BE037927A2G7aCL" TargetMode = "External"/>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image" Target="media/image4.wmf"/>
	<Relationship Id="rId26" Type="http://schemas.openxmlformats.org/officeDocument/2006/relationships/image" Target="media/image5.wmf"/>
	<Relationship Id="rId27" Type="http://schemas.openxmlformats.org/officeDocument/2006/relationships/image" Target="media/image6.wmf"/>
	<Relationship Id="rId28" Type="http://schemas.openxmlformats.org/officeDocument/2006/relationships/image" Target="media/image7.wmf"/>
	<Relationship Id="rId29" Type="http://schemas.openxmlformats.org/officeDocument/2006/relationships/header" Target="header2.xml"/>
	<Relationship Id="rId3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19.11.2021 N 871
"Об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(Зарегистрировано в Минюсте России 30.11.2021 N 66125)</dc:title>
  <dcterms:created xsi:type="dcterms:W3CDTF">2023-11-22T11:26:05Z</dcterms:created>
</cp:coreProperties>
</file>