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6"/>
        <w:tblpPr w:leftFromText="180" w:rightFromText="180" w:vertAnchor="page" w:horzAnchor="margin" w:tblpXSpec="center" w:tblpY="639"/>
        <w:tblW w:w="16155" w:type="dxa"/>
        <w:tblLayout w:type="fixed"/>
        <w:tblLook w:val="04A0" w:firstRow="1" w:lastRow="0" w:firstColumn="1" w:lastColumn="0" w:noHBand="0" w:noVBand="1"/>
      </w:tblPr>
      <w:tblGrid>
        <w:gridCol w:w="846"/>
        <w:gridCol w:w="709"/>
        <w:gridCol w:w="5103"/>
        <w:gridCol w:w="2126"/>
        <w:gridCol w:w="7371"/>
      </w:tblGrid>
      <w:tr w:rsidR="003760A1" w:rsidRPr="00FA118A" w:rsidTr="00A34A7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155" w:type="dxa"/>
            <w:gridSpan w:val="5"/>
          </w:tcPr>
          <w:p w:rsidR="003760A1" w:rsidRPr="00FA118A" w:rsidRDefault="003760A1" w:rsidP="003760A1">
            <w:pPr>
              <w:jc w:val="center"/>
              <w:rPr>
                <w:rFonts w:cs="Times New Roman"/>
                <w:color w:val="auto"/>
                <w:sz w:val="24"/>
                <w:szCs w:val="24"/>
              </w:rPr>
            </w:pPr>
            <w:bookmarkStart w:id="0" w:name="_GoBack"/>
            <w:bookmarkEnd w:id="0"/>
            <w:r w:rsidRPr="00FA118A">
              <w:rPr>
                <w:rFonts w:cs="Times New Roman"/>
                <w:color w:val="auto"/>
                <w:sz w:val="24"/>
                <w:szCs w:val="24"/>
              </w:rPr>
              <w:t>Вопросы, адресованные Департаменту Росприроднадзора по Сибирскому федеральному округу в рамках проведения публичных обсуждений правоприменительной практики 11.10.2017, и ответы на них</w:t>
            </w:r>
          </w:p>
        </w:tc>
      </w:tr>
      <w:tr w:rsidR="003760A1" w:rsidRPr="00FA118A" w:rsidTr="00A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tcPr>
          <w:p w:rsidR="003760A1" w:rsidRPr="00FA118A" w:rsidRDefault="003760A1" w:rsidP="00A82457">
            <w:pPr>
              <w:pStyle w:val="a4"/>
              <w:numPr>
                <w:ilvl w:val="0"/>
                <w:numId w:val="2"/>
              </w:numPr>
              <w:tabs>
                <w:tab w:val="left" w:pos="993"/>
              </w:tabs>
              <w:jc w:val="center"/>
              <w:rPr>
                <w:rFonts w:asciiTheme="minorHAnsi" w:hAnsiTheme="minorHAnsi"/>
                <w:i/>
              </w:rPr>
            </w:pPr>
            <w:r w:rsidRPr="00FA118A">
              <w:rPr>
                <w:rFonts w:asciiTheme="minorHAnsi" w:hAnsiTheme="minorHAnsi"/>
              </w:rPr>
              <w:t>Западно-Сибирская железная дорога ОАО «РЖД»</w:t>
            </w:r>
          </w:p>
        </w:tc>
        <w:tc>
          <w:tcPr>
            <w:tcW w:w="9497" w:type="dxa"/>
            <w:gridSpan w:val="2"/>
          </w:tcPr>
          <w:p w:rsidR="003760A1" w:rsidRPr="00FA118A" w:rsidRDefault="003760A1"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b/>
                <w:sz w:val="24"/>
                <w:szCs w:val="24"/>
              </w:rPr>
              <w:t>Департамент Росприроднадзора по Сибирскому федеральному округу</w:t>
            </w:r>
          </w:p>
        </w:tc>
      </w:tr>
      <w:tr w:rsidR="005706A3" w:rsidRPr="00FA118A" w:rsidTr="00FA118A">
        <w:trPr>
          <w:cantSplit/>
          <w:trHeight w:val="572"/>
        </w:trPr>
        <w:tc>
          <w:tcPr>
            <w:cnfStyle w:val="001000000000" w:firstRow="0" w:lastRow="0" w:firstColumn="1" w:lastColumn="0" w:oddVBand="0" w:evenVBand="0" w:oddHBand="0" w:evenHBand="0" w:firstRowFirstColumn="0" w:firstRowLastColumn="0" w:lastRowFirstColumn="0" w:lastRowLastColumn="0"/>
            <w:tcW w:w="846" w:type="dxa"/>
          </w:tcPr>
          <w:p w:rsidR="003760A1" w:rsidRPr="00FA118A" w:rsidRDefault="003760A1" w:rsidP="00D97263">
            <w:pPr>
              <w:rPr>
                <w:rFonts w:cs="Times New Roman"/>
                <w:b w:val="0"/>
                <w:i/>
                <w:sz w:val="24"/>
                <w:szCs w:val="24"/>
              </w:rPr>
            </w:pPr>
          </w:p>
        </w:tc>
        <w:tc>
          <w:tcPr>
            <w:tcW w:w="709" w:type="dxa"/>
            <w:vAlign w:val="center"/>
          </w:tcPr>
          <w:p w:rsidR="003760A1" w:rsidRPr="00FA118A" w:rsidRDefault="003760A1" w:rsidP="003760A1">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w:t>
            </w:r>
          </w:p>
        </w:tc>
        <w:tc>
          <w:tcPr>
            <w:tcW w:w="5103" w:type="dxa"/>
            <w:vAlign w:val="center"/>
          </w:tcPr>
          <w:p w:rsidR="003760A1" w:rsidRPr="00FA118A" w:rsidRDefault="003760A1" w:rsidP="003760A1">
            <w:pPr>
              <w:tabs>
                <w:tab w:val="left" w:pos="993"/>
              </w:tabs>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3760A1" w:rsidRPr="00FA118A" w:rsidRDefault="003760A1" w:rsidP="003760A1">
            <w:pPr>
              <w:jc w:val="center"/>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FA118A">
              <w:rPr>
                <w:rFonts w:cs="Times New Roman"/>
                <w:sz w:val="24"/>
                <w:szCs w:val="24"/>
              </w:rPr>
              <w:t>Промежуточный результат</w:t>
            </w:r>
          </w:p>
        </w:tc>
        <w:tc>
          <w:tcPr>
            <w:tcW w:w="7371" w:type="dxa"/>
            <w:vAlign w:val="center"/>
          </w:tcPr>
          <w:p w:rsidR="003760A1" w:rsidRPr="00FA118A" w:rsidRDefault="003760A1" w:rsidP="003760A1">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97263" w:rsidRPr="00FA118A" w:rsidRDefault="00D97263" w:rsidP="00D97263">
            <w:pPr>
              <w:rPr>
                <w:rFonts w:cs="Times New Roman"/>
                <w:sz w:val="24"/>
                <w:szCs w:val="24"/>
              </w:rPr>
            </w:pPr>
          </w:p>
        </w:tc>
        <w:tc>
          <w:tcPr>
            <w:tcW w:w="709" w:type="dxa"/>
          </w:tcPr>
          <w:p w:rsidR="00D97263" w:rsidRPr="00FA118A" w:rsidRDefault="00D97263" w:rsidP="00D97263">
            <w:pPr>
              <w:tabs>
                <w:tab w:val="left" w:pos="993"/>
              </w:tabs>
              <w:spacing w:after="160" w:line="259" w:lineRule="auto"/>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1.</w:t>
            </w:r>
            <w:r w:rsidR="003760A1" w:rsidRPr="00FA118A">
              <w:rPr>
                <w:rFonts w:cs="Times New Roman"/>
                <w:i/>
                <w:sz w:val="24"/>
                <w:szCs w:val="24"/>
              </w:rPr>
              <w:t>1</w:t>
            </w:r>
          </w:p>
          <w:p w:rsidR="00D97263" w:rsidRPr="00FA118A" w:rsidRDefault="00D97263"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lang w:eastAsia="ru-RU"/>
              </w:rPr>
            </w:pPr>
          </w:p>
        </w:tc>
        <w:tc>
          <w:tcPr>
            <w:tcW w:w="5103" w:type="dxa"/>
          </w:tcPr>
          <w:p w:rsidR="00D97263" w:rsidRPr="00FA118A" w:rsidRDefault="00D97263" w:rsidP="00A82457">
            <w:pPr>
              <w:tabs>
                <w:tab w:val="left" w:pos="993"/>
              </w:tabs>
              <w:spacing w:after="160" w:line="259"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 xml:space="preserve">Вопрос в части использования отходов V класса опасности. </w:t>
            </w:r>
            <w:r w:rsidRPr="00FA118A">
              <w:rPr>
                <w:sz w:val="24"/>
                <w:szCs w:val="24"/>
              </w:rPr>
              <w:t xml:space="preserve">В соответствии с приказом Минприроды России от 30.09.2011 № 792 «Об утверждении Порядка ведения государственного кадастра отходов», банк данных в части данных о технологиях использования и обезвреживания отходов различных видов формируется на основе информации, добровольно предоставляемой собственниками и (или) разработчиками таких технологий, а также получаемой при проведении государственной экологической экспертизы проектов технической документации на соответствующие новые технологии, использование которых может оказать воздействие на окружающую среду. Формирование банка данных о технологиях использования и обезвреживания отходов различных видов осуществляется </w:t>
            </w:r>
            <w:proofErr w:type="spellStart"/>
            <w:r w:rsidRPr="00FA118A">
              <w:rPr>
                <w:sz w:val="24"/>
                <w:szCs w:val="24"/>
              </w:rPr>
              <w:t>Росприроднадзором</w:t>
            </w:r>
            <w:proofErr w:type="spellEnd"/>
            <w:r w:rsidRPr="00FA118A">
              <w:rPr>
                <w:sz w:val="24"/>
                <w:szCs w:val="24"/>
              </w:rPr>
              <w:t xml:space="preserve"> на основании информации, поступившей в уведомительном порядке в </w:t>
            </w:r>
            <w:proofErr w:type="spellStart"/>
            <w:r w:rsidRPr="00FA118A">
              <w:rPr>
                <w:sz w:val="24"/>
                <w:szCs w:val="24"/>
              </w:rPr>
              <w:t>Росприроднадзор</w:t>
            </w:r>
            <w:proofErr w:type="spellEnd"/>
            <w:r w:rsidRPr="00FA118A">
              <w:rPr>
                <w:sz w:val="24"/>
                <w:szCs w:val="24"/>
              </w:rPr>
              <w:t xml:space="preserve"> и (или) его территориальные органы от собственников и (или) разработчиков технологий </w:t>
            </w:r>
            <w:r w:rsidRPr="00FA118A">
              <w:rPr>
                <w:sz w:val="24"/>
                <w:szCs w:val="24"/>
              </w:rPr>
              <w:lastRenderedPageBreak/>
              <w:t>использования и обезвреживания отходов различных видов.</w:t>
            </w:r>
            <w:r w:rsidR="00A82457" w:rsidRPr="00FA118A">
              <w:rPr>
                <w:sz w:val="24"/>
                <w:szCs w:val="24"/>
              </w:rPr>
              <w:t xml:space="preserve"> </w:t>
            </w:r>
            <w:r w:rsidRPr="00FA118A">
              <w:rPr>
                <w:sz w:val="24"/>
                <w:szCs w:val="24"/>
              </w:rPr>
              <w:t>Мы сталкиваемся с тем, что, направив вышеуказанную информацию в органы Росприроднадзора, информация в банк данных, по-прежнему не внесена, причем длительное время.</w:t>
            </w:r>
            <w:r w:rsidRPr="00FA118A">
              <w:rPr>
                <w:i/>
                <w:sz w:val="24"/>
                <w:szCs w:val="24"/>
              </w:rPr>
              <w:t xml:space="preserve"> </w:t>
            </w:r>
            <w:r w:rsidRPr="00FA118A">
              <w:rPr>
                <w:sz w:val="24"/>
                <w:szCs w:val="24"/>
              </w:rPr>
              <w:t>Учитывая, что это отходы V класса опасности, на которые не нужно даже лицензирование, с чем связаны такие сложные процедуры, касающиеся их использования?</w:t>
            </w:r>
          </w:p>
          <w:p w:rsidR="00D97263" w:rsidRPr="00FA118A" w:rsidRDefault="00D97263" w:rsidP="003760A1">
            <w:pPr>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Действительно ли необходимо ждать внесения отхода в базу данных или было бы достаточно каких-либо технических отчетов? Как поступать в такой ситуации?</w:t>
            </w:r>
          </w:p>
        </w:tc>
        <w:tc>
          <w:tcPr>
            <w:tcW w:w="2126" w:type="dxa"/>
          </w:tcPr>
          <w:p w:rsidR="00D97263" w:rsidRPr="00FA118A" w:rsidRDefault="00D97263" w:rsidP="007435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352A">
              <w:rPr>
                <w:rFonts w:cs="Times New Roman"/>
                <w:sz w:val="24"/>
                <w:szCs w:val="24"/>
              </w:rPr>
              <w:lastRenderedPageBreak/>
              <w:t xml:space="preserve">С целью детальной проработки вопроса Департаментом </w:t>
            </w:r>
            <w:r w:rsidR="0074352A" w:rsidRPr="0074352A">
              <w:rPr>
                <w:rFonts w:cs="Times New Roman"/>
                <w:sz w:val="24"/>
                <w:szCs w:val="24"/>
              </w:rPr>
              <w:t xml:space="preserve">формируется </w:t>
            </w:r>
            <w:r w:rsidRPr="0074352A">
              <w:rPr>
                <w:rFonts w:cs="Times New Roman"/>
                <w:sz w:val="24"/>
                <w:szCs w:val="24"/>
              </w:rPr>
              <w:t xml:space="preserve">запрос в Федеральную службу по надзору в сфере </w:t>
            </w:r>
            <w:proofErr w:type="spellStart"/>
            <w:proofErr w:type="gramStart"/>
            <w:r w:rsidRPr="0074352A">
              <w:rPr>
                <w:rFonts w:cs="Times New Roman"/>
                <w:sz w:val="24"/>
                <w:szCs w:val="24"/>
              </w:rPr>
              <w:t>природо</w:t>
            </w:r>
            <w:proofErr w:type="spellEnd"/>
            <w:r w:rsidRPr="0074352A">
              <w:rPr>
                <w:rFonts w:cs="Times New Roman"/>
                <w:sz w:val="24"/>
                <w:szCs w:val="24"/>
              </w:rPr>
              <w:t>-пользования</w:t>
            </w:r>
            <w:proofErr w:type="gramEnd"/>
          </w:p>
        </w:tc>
        <w:tc>
          <w:tcPr>
            <w:tcW w:w="7371" w:type="dxa"/>
          </w:tcPr>
          <w:p w:rsidR="00D97263" w:rsidRPr="00FA118A" w:rsidRDefault="00D9726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D97263" w:rsidRPr="00FA118A" w:rsidRDefault="00D97263" w:rsidP="00D97263">
            <w:pPr>
              <w:rPr>
                <w:rFonts w:cs="Times New Roman"/>
                <w:sz w:val="24"/>
                <w:szCs w:val="24"/>
              </w:rPr>
            </w:pPr>
          </w:p>
        </w:tc>
        <w:tc>
          <w:tcPr>
            <w:tcW w:w="709" w:type="dxa"/>
          </w:tcPr>
          <w:p w:rsidR="00D97263" w:rsidRPr="00FA118A" w:rsidRDefault="003760A1" w:rsidP="00D9726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1.2</w:t>
            </w:r>
          </w:p>
        </w:tc>
        <w:tc>
          <w:tcPr>
            <w:tcW w:w="5103" w:type="dxa"/>
          </w:tcPr>
          <w:p w:rsidR="00D97263" w:rsidRPr="00FA118A" w:rsidRDefault="00D97263" w:rsidP="00D97263">
            <w:pPr>
              <w:tabs>
                <w:tab w:val="left" w:pos="993"/>
              </w:tabs>
              <w:spacing w:after="160" w:line="259" w:lineRule="auto"/>
              <w:jc w:val="both"/>
              <w:cnfStyle w:val="000000000000" w:firstRow="0" w:lastRow="0" w:firstColumn="0" w:lastColumn="0" w:oddVBand="0" w:evenVBand="0" w:oddHBand="0" w:evenHBand="0" w:firstRowFirstColumn="0" w:firstRowLastColumn="0" w:lastRowFirstColumn="0" w:lastRowLastColumn="0"/>
              <w:rPr>
                <w:i/>
                <w:sz w:val="24"/>
                <w:szCs w:val="24"/>
              </w:rPr>
            </w:pPr>
            <w:r w:rsidRPr="00FA118A">
              <w:rPr>
                <w:i/>
                <w:sz w:val="24"/>
                <w:szCs w:val="24"/>
              </w:rPr>
              <w:t>Как правильно оформить передачу отходов V класса опасности (например, древесные опилки) другому предприятию, которое хотело бы использовать их дальше? Трудности связаны с тем, что эти отходы не внесены в банк данных.</w:t>
            </w:r>
          </w:p>
        </w:tc>
        <w:tc>
          <w:tcPr>
            <w:tcW w:w="2126" w:type="dxa"/>
          </w:tcPr>
          <w:p w:rsidR="00D97263" w:rsidRPr="00FA118A" w:rsidRDefault="00D97263" w:rsidP="00D9726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D97263" w:rsidRPr="00FA118A" w:rsidRDefault="00D9726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со ст.4 Федерального закона от 24.06.1998 № 89-ФЗ (ред. от 28.12.2016) «Об отходах производства и потребления», право собственности на отходы определяется в соответствии с гражданским законодательством.</w:t>
            </w:r>
          </w:p>
          <w:p w:rsidR="00D97263" w:rsidRPr="00FA118A" w:rsidRDefault="00D9726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Основания прекращения права собственности на вещи установлены статьей 235 Гражданского кодекса Российской Федерации. Согласно пункту 1 статьи 235 Гражданского кодекса Российской Федерации право собственности прекращается, в том числе при отчуждении собственником своего имущества другим лицам. При этом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(пункт 2 статьи 218 Гражданского кодекса Российской Федерации); у приобретателя вещи по договору право собственности возникает с момента ее передачи, если иное не предусмотрено законом или договором (пункт 1 статьи 223 Гражданского кодекса Российской Федерации).</w:t>
            </w:r>
          </w:p>
          <w:p w:rsidR="00D97263" w:rsidRPr="00FA118A" w:rsidRDefault="00D9726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97263" w:rsidRPr="00FA118A" w:rsidRDefault="00D97263" w:rsidP="00D97263">
            <w:pPr>
              <w:rPr>
                <w:rFonts w:cs="Times New Roman"/>
                <w:sz w:val="24"/>
                <w:szCs w:val="24"/>
              </w:rPr>
            </w:pPr>
          </w:p>
        </w:tc>
        <w:tc>
          <w:tcPr>
            <w:tcW w:w="709" w:type="dxa"/>
          </w:tcPr>
          <w:p w:rsidR="00D97263" w:rsidRPr="00FA118A" w:rsidRDefault="003760A1"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1.3</w:t>
            </w:r>
          </w:p>
        </w:tc>
        <w:tc>
          <w:tcPr>
            <w:tcW w:w="5103" w:type="dxa"/>
          </w:tcPr>
          <w:p w:rsidR="00D97263" w:rsidRPr="00FA118A" w:rsidRDefault="00D97263" w:rsidP="00D97263">
            <w:pPr>
              <w:tabs>
                <w:tab w:val="left" w:pos="993"/>
              </w:tabs>
              <w:spacing w:after="160" w:line="259"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Должно ли конкретное количество отходов, указанное в договорах на передачу отходов (пункт 28 Методических указаний по разработке проектов нормативов образования отходов и лимитов на их размещение, утв. Приказом Минприроды России от 05.08.2014 № 349), точно соответствовать нормативу образования отходов, рассчитанному в ПНООЛР в разделе «Сведения о предлагаемой ежегодной передаче отходов другим хозяйствующим субъектам» (приложение 11 к Методическим указаниям)?</w:t>
            </w:r>
          </w:p>
          <w:p w:rsidR="00D97263" w:rsidRPr="00FA118A" w:rsidRDefault="00D97263"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126" w:type="dxa"/>
          </w:tcPr>
          <w:p w:rsidR="00D97263" w:rsidRPr="00FA118A" w:rsidRDefault="005706A3"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sz w:val="24"/>
                <w:szCs w:val="24"/>
              </w:rPr>
              <w:t>С</w:t>
            </w:r>
            <w:r w:rsidR="00D97263" w:rsidRPr="00FA118A">
              <w:rPr>
                <w:sz w:val="24"/>
                <w:szCs w:val="24"/>
              </w:rPr>
              <w:t xml:space="preserve"> целью детальной проработки вопроса Департаментом направлен запрос в Федеральную службу по надзору в сфере </w:t>
            </w:r>
            <w:proofErr w:type="spellStart"/>
            <w:proofErr w:type="gramStart"/>
            <w:r w:rsidR="00D97263" w:rsidRPr="00FA118A">
              <w:rPr>
                <w:sz w:val="24"/>
                <w:szCs w:val="24"/>
              </w:rPr>
              <w:t>природо</w:t>
            </w:r>
            <w:proofErr w:type="spellEnd"/>
            <w:r w:rsidR="00D97263" w:rsidRPr="00FA118A">
              <w:rPr>
                <w:sz w:val="24"/>
                <w:szCs w:val="24"/>
              </w:rPr>
              <w:t>-пользования</w:t>
            </w:r>
            <w:proofErr w:type="gramEnd"/>
            <w:r w:rsidR="00D97263" w:rsidRPr="00FA118A">
              <w:rPr>
                <w:sz w:val="24"/>
                <w:szCs w:val="24"/>
              </w:rPr>
              <w:t>.</w:t>
            </w:r>
          </w:p>
        </w:tc>
        <w:tc>
          <w:tcPr>
            <w:tcW w:w="7371" w:type="dxa"/>
          </w:tcPr>
          <w:p w:rsidR="00D97263" w:rsidRPr="00FA118A" w:rsidRDefault="00D9726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5706A3" w:rsidRPr="00FA118A" w:rsidTr="00A82457">
        <w:tc>
          <w:tcPr>
            <w:cnfStyle w:val="001000000000" w:firstRow="0" w:lastRow="0" w:firstColumn="1" w:lastColumn="0" w:oddVBand="0" w:evenVBand="0" w:oddHBand="0" w:evenHBand="0" w:firstRowFirstColumn="0" w:firstRowLastColumn="0" w:lastRowFirstColumn="0" w:lastRowLastColumn="0"/>
            <w:tcW w:w="6658" w:type="dxa"/>
            <w:gridSpan w:val="3"/>
          </w:tcPr>
          <w:p w:rsidR="005706A3" w:rsidRPr="00FA118A" w:rsidRDefault="005706A3" w:rsidP="00A82457">
            <w:pPr>
              <w:jc w:val="center"/>
              <w:rPr>
                <w:rFonts w:cs="Times New Roman"/>
                <w:sz w:val="24"/>
                <w:szCs w:val="24"/>
              </w:rPr>
            </w:pPr>
            <w:r w:rsidRPr="00FA118A">
              <w:rPr>
                <w:rFonts w:cs="Times New Roman"/>
                <w:sz w:val="24"/>
                <w:szCs w:val="24"/>
              </w:rPr>
              <w:t>2. АО «Сибирский антрацит»</w:t>
            </w:r>
          </w:p>
        </w:tc>
        <w:tc>
          <w:tcPr>
            <w:tcW w:w="9497" w:type="dxa"/>
            <w:gridSpan w:val="2"/>
          </w:tcPr>
          <w:p w:rsidR="005706A3" w:rsidRPr="00FA118A" w:rsidRDefault="005706A3" w:rsidP="00A82457">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b/>
                <w:sz w:val="24"/>
                <w:szCs w:val="24"/>
              </w:rPr>
              <w:t>Департамент Росприроднадзора по Сибирскому федеральному округу</w:t>
            </w:r>
          </w:p>
        </w:tc>
      </w:tr>
      <w:tr w:rsidR="005706A3"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vAlign w:val="center"/>
          </w:tcPr>
          <w:p w:rsidR="005706A3" w:rsidRPr="00FA118A" w:rsidRDefault="005706A3" w:rsidP="005706A3">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w:t>
            </w:r>
          </w:p>
        </w:tc>
        <w:tc>
          <w:tcPr>
            <w:tcW w:w="5103" w:type="dxa"/>
            <w:vAlign w:val="center"/>
          </w:tcPr>
          <w:p w:rsidR="005706A3" w:rsidRPr="00FA118A" w:rsidRDefault="005706A3" w:rsidP="005706A3">
            <w:pPr>
              <w:tabs>
                <w:tab w:val="left" w:pos="993"/>
              </w:tabs>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5706A3" w:rsidRPr="00FA118A" w:rsidRDefault="005706A3" w:rsidP="005706A3">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4"/>
                <w:szCs w:val="24"/>
              </w:rPr>
            </w:pPr>
            <w:r w:rsidRPr="00FA118A">
              <w:rPr>
                <w:rFonts w:cs="Times New Roman"/>
                <w:sz w:val="24"/>
                <w:szCs w:val="24"/>
              </w:rPr>
              <w:t>Промежуточный результат</w:t>
            </w:r>
          </w:p>
        </w:tc>
        <w:tc>
          <w:tcPr>
            <w:tcW w:w="7371" w:type="dxa"/>
            <w:vAlign w:val="center"/>
          </w:tcPr>
          <w:p w:rsidR="005706A3" w:rsidRPr="00FA118A" w:rsidRDefault="005706A3" w:rsidP="005706A3">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2.1</w:t>
            </w:r>
          </w:p>
        </w:tc>
        <w:tc>
          <w:tcPr>
            <w:tcW w:w="5103" w:type="dxa"/>
          </w:tcPr>
          <w:p w:rsidR="005706A3" w:rsidRPr="00FA118A" w:rsidRDefault="005706A3" w:rsidP="00A82457">
            <w:pPr>
              <w:tabs>
                <w:tab w:val="left" w:pos="993"/>
              </w:tabs>
              <w:jc w:val="both"/>
              <w:cnfStyle w:val="000000000000" w:firstRow="0" w:lastRow="0" w:firstColumn="0" w:lastColumn="0" w:oddVBand="0" w:evenVBand="0" w:oddHBand="0" w:evenHBand="0" w:firstRowFirstColumn="0" w:firstRowLastColumn="0" w:lastRowFirstColumn="0" w:lastRowLastColumn="0"/>
              <w:rPr>
                <w:i/>
                <w:sz w:val="24"/>
                <w:szCs w:val="24"/>
              </w:rPr>
            </w:pPr>
            <w:r w:rsidRPr="00FA118A">
              <w:rPr>
                <w:i/>
                <w:sz w:val="24"/>
                <w:szCs w:val="24"/>
              </w:rPr>
              <w:t xml:space="preserve">Кому принадлежит право собственности на отходы, образуемые при демонтаже здания: заказчику или подрядчику, если в договоре указано, что подрядчик несет ответственность за выполнение требований законодательства в области охраны окружающей среды и отходы на период действия договора, а отходы, образованные в результате выполнения договорных обязательств, являются собственностью подрядчика? Должен ли подрядчик учитывать отходы в своей </w:t>
            </w:r>
            <w:r w:rsidRPr="00FA118A">
              <w:rPr>
                <w:i/>
                <w:sz w:val="24"/>
                <w:szCs w:val="24"/>
              </w:rPr>
              <w:lastRenderedPageBreak/>
              <w:t>отчетности?</w:t>
            </w:r>
          </w:p>
          <w:p w:rsidR="005706A3" w:rsidRPr="00FA118A" w:rsidRDefault="005706A3" w:rsidP="005706A3">
            <w:pPr>
              <w:ind w:firstLine="709"/>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126"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со ст.4 Федерального закона от 24.06.1998 № 89-ФЗ (ред. от 28.12.2016) «Об отходах производства и потребления», право собственности на отходы определяется в соответствии с гражданским законодательством.</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со ст. 223 Гражданского кодекса Российской Федерации (часть первая) от 30.11.1994 № 51-ФЗ (ред. от 29.07.2017) (с изм. и доп., вступ. в силу с 06.08.2017), право собственности у приобретателя вещи по договору возникает с момента ее передачи, если иное не предусмотрено законом или договором.</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Таким образом, если в договоре между заказчиком и подрядчиком указано, что отходы, образованные в результате выполнения договорных обязательств, являются собственностью подрядчика, </w:t>
            </w:r>
            <w:r w:rsidRPr="00FA118A">
              <w:rPr>
                <w:sz w:val="24"/>
                <w:szCs w:val="24"/>
              </w:rPr>
              <w:lastRenderedPageBreak/>
              <w:t>подрядчик должен учитывать отходы в своей отчетности.</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2.2</w:t>
            </w:r>
          </w:p>
        </w:tc>
        <w:tc>
          <w:tcPr>
            <w:tcW w:w="5103" w:type="dxa"/>
          </w:tcPr>
          <w:p w:rsidR="005706A3" w:rsidRPr="00FA118A" w:rsidRDefault="005706A3" w:rsidP="00A82457">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i/>
                <w:sz w:val="24"/>
                <w:szCs w:val="24"/>
              </w:rPr>
              <w:t>Просим разъяснить позицию Росприроднадзора при определении мест отбора проб, точек проведения инструментальных измерений подземных вод при осуществлении мониторинга состояния и загрязнения окружающей среды на территориях объектов размещения отходов и в пределах их воздействия на окружающую среду.</w:t>
            </w:r>
          </w:p>
        </w:tc>
        <w:tc>
          <w:tcPr>
            <w:tcW w:w="2126"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7371" w:type="dxa"/>
          </w:tcPr>
          <w:p w:rsidR="005706A3" w:rsidRPr="008F7C0B" w:rsidRDefault="005706A3" w:rsidP="005706A3">
            <w:pPr>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xml:space="preserve">В настоящее время порядок проведения мониторинга состояния и загрязнения окружающей среды на территориях объектов размещения отходов и в пределах их воздействия на окружающую среду регламентирован приказом Минприроды России от 04.03.2016 </w:t>
            </w:r>
            <w:r w:rsidRPr="00FA118A">
              <w:rPr>
                <w:sz w:val="24"/>
                <w:szCs w:val="24"/>
              </w:rPr>
              <w:t>№</w:t>
            </w:r>
            <w:r w:rsidRPr="008F7C0B">
              <w:rPr>
                <w:sz w:val="24"/>
                <w:szCs w:val="24"/>
              </w:rPr>
              <w:t xml:space="preserve"> 66 (Зарегистрировано в Минюсте России 10.06.2016 </w:t>
            </w:r>
            <w:r w:rsidRPr="00FA118A">
              <w:rPr>
                <w:sz w:val="24"/>
                <w:szCs w:val="24"/>
              </w:rPr>
              <w:t>№</w:t>
            </w:r>
            <w:r w:rsidRPr="008F7C0B">
              <w:rPr>
                <w:sz w:val="24"/>
                <w:szCs w:val="24"/>
              </w:rPr>
              <w:t xml:space="preserve"> 42512) (далее – Приказ). </w:t>
            </w:r>
          </w:p>
          <w:p w:rsidR="005706A3" w:rsidRPr="00FA118A" w:rsidRDefault="005706A3" w:rsidP="005706A3">
            <w:pPr>
              <w:autoSpaceDE w:val="0"/>
              <w:autoSpaceDN w:val="0"/>
              <w:adjustRightInd w:val="0"/>
              <w:ind w:firstLine="317"/>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xml:space="preserve">Согласно п. 4 Приказа порядок мониторинга предназначен для использования собственниками объектов размещения отходов, а также лицами, во владении или в пользовании которых находятся объекты размещения отходов, Федеральной службой по надзору в сфере природопользования (далее - </w:t>
            </w:r>
            <w:proofErr w:type="spellStart"/>
            <w:r w:rsidRPr="008F7C0B">
              <w:rPr>
                <w:sz w:val="24"/>
                <w:szCs w:val="24"/>
              </w:rPr>
              <w:t>Росприроднадзор</w:t>
            </w:r>
            <w:proofErr w:type="spellEnd"/>
            <w:r w:rsidRPr="008F7C0B">
              <w:rPr>
                <w:sz w:val="24"/>
                <w:szCs w:val="24"/>
              </w:rPr>
              <w:t>) и ее территориальными органами, Федеральной службой по гидрометеорологии и мониторингу окружающей среды и ее территориальными органами и подведомственными организациями, другими органами государственной власти, органами местного самоуправления, юридическими и физическими лицами, заинтересованными в получении данных о состоянии и загрязнении окружающей среды в районах расположения объектов размещения отходов.</w:t>
            </w:r>
          </w:p>
          <w:p w:rsidR="005706A3" w:rsidRPr="008F7C0B" w:rsidRDefault="005706A3" w:rsidP="005706A3">
            <w:pPr>
              <w:autoSpaceDE w:val="0"/>
              <w:autoSpaceDN w:val="0"/>
              <w:adjustRightInd w:val="0"/>
              <w:ind w:firstLine="317"/>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В соответствии с п. 5 Приказа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разрабатывается лицами, эксплуатирующими объекты размещения отходов. Программа мониторинга утверждается лицом, эксплуатирующим объекты размещения отходов, и направляется в уведомительном порядке на бумажном носителе в территориальный орган Росприроднадзора по месту расположения объекта размещения отходов или направляется почтовым отправлением с описью вложения и с уведомлением о вручении.</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lastRenderedPageBreak/>
              <w:t xml:space="preserve"> Обоснование выбора мест отбора проб, точек проведения инструментальных измерений, определений и наблюдений является одним из разделов программы мониторинга (п.12 Приказа).</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Пунктом 18 Приказа решение о расположении мест отбора проб, точек проведения инструментальных измерений подземных вод принимается с учетом:</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распространенности и условий залегания водоносных горизонтов и водоупорных горных пород;</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расположения границ областей питания водоносных горизонтов (в пределах территории объекта размещения отходов) и границ областей их разгрузки (в пределах территории объекта размещения отходов или в пределах его воздействия на подземные воды).</w:t>
            </w:r>
          </w:p>
          <w:p w:rsidR="005706A3" w:rsidRPr="00FA118A"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Наблюдения за состоянием и загрязнением подземных вод в зоне воздействия объектов размещения отходов проводятся на первом от земной поверхности водоносном горизонте. В случае выявления загрязнения первого от земной поверхности водоносного горизонта и высокой вероятности распространения этого загрязнения далее вглубь, наблюдения проводятся и на нижележащем водоносном горизонте. В случае выявления загрязнения второго от земной поверхности водоносного горизонта и высокой вероятности распространения этого загрязнения далее вглубь, наблюдения проводятся на нижележащем водоносном горизонте.</w:t>
            </w:r>
          </w:p>
          <w:p w:rsidR="005706A3" w:rsidRPr="00FA118A" w:rsidRDefault="005706A3" w:rsidP="005706A3">
            <w:pPr>
              <w:autoSpaceDE w:val="0"/>
              <w:autoSpaceDN w:val="0"/>
              <w:adjustRightInd w:val="0"/>
              <w:ind w:firstLine="175"/>
              <w:jc w:val="both"/>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8F7C0B">
              <w:rPr>
                <w:sz w:val="24"/>
                <w:szCs w:val="24"/>
              </w:rPr>
              <w:t xml:space="preserve">Таким образом, выбор определении мест отбора проб, точек проведения инструментальных измерений подземных вод при осуществлении мониторинга состояния и загрязнения окружающей среды на территориях объектов размещения отходов и в пределах их воздействия на окружающую среду является обязанностью лиц, эксплуатирующих объекты размещения отходов с учетом положений приказа Минприроды России от 04.03.2016 N 66, указанных выше.  </w:t>
            </w:r>
            <w:proofErr w:type="gramEnd"/>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2.3</w:t>
            </w:r>
          </w:p>
        </w:tc>
        <w:tc>
          <w:tcPr>
            <w:tcW w:w="5103"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i/>
                <w:sz w:val="24"/>
                <w:szCs w:val="24"/>
              </w:rPr>
              <w:t xml:space="preserve">Возможно ли изменение категории риска объекта НВОС, в части снижения? Что для </w:t>
            </w:r>
            <w:r w:rsidRPr="00FA118A">
              <w:rPr>
                <w:i/>
                <w:sz w:val="24"/>
                <w:szCs w:val="24"/>
              </w:rPr>
              <w:lastRenderedPageBreak/>
              <w:t>этого требуется от заявителя?</w:t>
            </w:r>
          </w:p>
        </w:tc>
        <w:tc>
          <w:tcPr>
            <w:tcW w:w="2126"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spacing w:after="1" w:line="240" w:lineRule="atLeast"/>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 п. 17 Постановления Правительства РФ от 17.08.2016 № 806 (ред. от 22.07.2017) «О применении риск-</w:t>
            </w:r>
            <w:r w:rsidRPr="00FA118A">
              <w:rPr>
                <w:sz w:val="24"/>
                <w:szCs w:val="24"/>
              </w:rPr>
              <w:lastRenderedPageBreak/>
              <w:t xml:space="preserve">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w:t>
            </w:r>
            <w:r w:rsidRPr="00FA118A">
              <w:rPr>
                <w:b/>
                <w:sz w:val="24"/>
                <w:szCs w:val="24"/>
              </w:rPr>
              <w:t>юридическое лицо или индивидуальный предприниматель, являющиеся заявителями,</w:t>
            </w:r>
            <w:r w:rsidRPr="00FA118A">
              <w:rPr>
                <w:sz w:val="24"/>
                <w:szCs w:val="24"/>
              </w:rPr>
              <w:t xml:space="preserve"> </w:t>
            </w:r>
            <w:r w:rsidRPr="00FA118A">
              <w:rPr>
                <w:b/>
                <w:sz w:val="24"/>
                <w:szCs w:val="24"/>
              </w:rPr>
              <w:t>вправе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категории риска или класса опасности</w:t>
            </w:r>
            <w:r w:rsidRPr="00FA118A">
              <w:rPr>
                <w:sz w:val="24"/>
                <w:szCs w:val="24"/>
              </w:rPr>
              <w:t xml:space="preserve"> по соответствующему виду государственного контроля (надзора) (далее - </w:t>
            </w:r>
            <w:r w:rsidRPr="00FA118A">
              <w:rPr>
                <w:b/>
                <w:sz w:val="24"/>
                <w:szCs w:val="24"/>
              </w:rPr>
              <w:t>заявление</w:t>
            </w:r>
            <w:r w:rsidRPr="00FA118A">
              <w:rPr>
                <w:sz w:val="24"/>
                <w:szCs w:val="24"/>
              </w:rPr>
              <w:t>). Пункт 18 указанного Постановления содержит ряд требований по сведениям, наличие которых обязательно к предоставлению в орган государственного контроля (надзора), а именно:</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а) полное </w:t>
            </w:r>
            <w:r w:rsidRPr="00FA118A">
              <w:rPr>
                <w:b/>
                <w:sz w:val="24"/>
                <w:szCs w:val="24"/>
              </w:rPr>
              <w:t xml:space="preserve">наименование </w:t>
            </w:r>
            <w:r w:rsidRPr="00FA118A">
              <w:rPr>
                <w:sz w:val="24"/>
                <w:szCs w:val="24"/>
              </w:rPr>
              <w:t>юридического лица, фамилия, имя и отчество (при наличии) индивидуального предпринимателя;</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б) основной государственный </w:t>
            </w:r>
            <w:r w:rsidRPr="00FA118A">
              <w:rPr>
                <w:b/>
                <w:sz w:val="24"/>
                <w:szCs w:val="24"/>
              </w:rPr>
              <w:t>регистрационный номер</w:t>
            </w:r>
            <w:r w:rsidRPr="00FA118A">
              <w:rPr>
                <w:sz w:val="24"/>
                <w:szCs w:val="24"/>
              </w:rPr>
              <w:t>;</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в) </w:t>
            </w:r>
            <w:r w:rsidRPr="00FA118A">
              <w:rPr>
                <w:b/>
                <w:sz w:val="24"/>
                <w:szCs w:val="24"/>
              </w:rPr>
              <w:t>идентификационный номер налогоплательщика</w:t>
            </w:r>
            <w:r w:rsidRPr="00FA118A">
              <w:rPr>
                <w:sz w:val="24"/>
                <w:szCs w:val="24"/>
              </w:rPr>
              <w:t>;</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г) </w:t>
            </w:r>
            <w:r w:rsidRPr="00FA118A">
              <w:rPr>
                <w:b/>
                <w:sz w:val="24"/>
                <w:szCs w:val="24"/>
              </w:rPr>
              <w:t>место нахождения</w:t>
            </w:r>
            <w:r w:rsidRPr="00FA118A">
              <w:rPr>
                <w:sz w:val="24"/>
                <w:szCs w:val="24"/>
              </w:rPr>
              <w:t xml:space="preserve"> используемого юридическим лицом или индивидуальным предпринимателем производственного объекта (при присвоении категории риска или класса опасности производственному объекту);</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д) </w:t>
            </w:r>
            <w:r w:rsidRPr="00FA118A">
              <w:rPr>
                <w:b/>
                <w:sz w:val="24"/>
                <w:szCs w:val="24"/>
              </w:rPr>
              <w:t>информация о присвоенных ранее</w:t>
            </w:r>
            <w:r w:rsidRPr="00FA118A">
              <w:rPr>
                <w:sz w:val="24"/>
                <w:szCs w:val="24"/>
              </w:rPr>
              <w:t xml:space="preserve"> деятельности юридического лица или индивидуального предпринимателя и (или) используемым ими производственным объектам </w:t>
            </w:r>
            <w:r w:rsidRPr="00FA118A">
              <w:rPr>
                <w:b/>
                <w:sz w:val="24"/>
                <w:szCs w:val="24"/>
              </w:rPr>
              <w:t>категории риска или классе опасности</w:t>
            </w:r>
            <w:r w:rsidRPr="00FA118A">
              <w:rPr>
                <w:sz w:val="24"/>
                <w:szCs w:val="24"/>
              </w:rPr>
              <w:t>;</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е) </w:t>
            </w:r>
            <w:r w:rsidRPr="00FA118A">
              <w:rPr>
                <w:b/>
                <w:sz w:val="24"/>
                <w:szCs w:val="24"/>
              </w:rPr>
              <w:t>адрес юридического лица</w:t>
            </w:r>
            <w:r w:rsidRPr="00FA118A">
              <w:rPr>
                <w:sz w:val="24"/>
                <w:szCs w:val="24"/>
              </w:rPr>
              <w:t xml:space="preserve">, адрес места жительства индивидуального предпринимателя (при необходимости иной </w:t>
            </w:r>
            <w:r w:rsidRPr="00FA118A">
              <w:rPr>
                <w:sz w:val="24"/>
                <w:szCs w:val="24"/>
              </w:rPr>
              <w:lastRenderedPageBreak/>
              <w:t>почтовый адрес для связи), телефон и адрес электронной почты (при наличии).</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Так же к заявлению </w:t>
            </w:r>
            <w:r w:rsidRPr="00FA118A">
              <w:rPr>
                <w:b/>
                <w:sz w:val="24"/>
                <w:szCs w:val="24"/>
              </w:rPr>
              <w:t>прилагаются документы о соответствии деятельности юридического лица или индивидуального предпринимателя</w:t>
            </w:r>
            <w:r w:rsidRPr="00FA118A">
              <w:rPr>
                <w:sz w:val="24"/>
                <w:szCs w:val="24"/>
              </w:rPr>
              <w:t xml:space="preserve"> и (или) используемых ими производственных объектов критериям отнесения объектов государственного контроля (надзора) </w:t>
            </w:r>
            <w:r w:rsidRPr="00FA118A">
              <w:rPr>
                <w:b/>
                <w:sz w:val="24"/>
                <w:szCs w:val="24"/>
              </w:rPr>
              <w:t>к определенной категории риска или определенному классу опасности</w:t>
            </w:r>
            <w:r w:rsidRPr="00FA118A">
              <w:rPr>
                <w:sz w:val="24"/>
                <w:szCs w:val="24"/>
              </w:rPr>
              <w:t>, на присвоение которых претендует заявитель (п. 19 Постановления).</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b/>
                <w:sz w:val="24"/>
                <w:szCs w:val="24"/>
              </w:rPr>
            </w:pPr>
            <w:bookmarkStart w:id="1" w:name="P9"/>
            <w:bookmarkEnd w:id="1"/>
            <w:r w:rsidRPr="00FA118A">
              <w:rPr>
                <w:sz w:val="24"/>
                <w:szCs w:val="24"/>
              </w:rPr>
              <w:t xml:space="preserve">Орган государственного контроля (надзора) рассматривает заявление, оценивает представленные юридическим лицом или индивидуальным предпринимателем и имеющиеся в распоряжении органа государственного контроля (надзора) документы </w:t>
            </w:r>
            <w:r w:rsidRPr="00FA118A">
              <w:rPr>
                <w:b/>
                <w:sz w:val="24"/>
                <w:szCs w:val="24"/>
              </w:rPr>
              <w:t>и по итогам их рассмотрения в срок, не превышающий 15 рабочих дней с даты получения такого заявления, принимает одно из следующих решений:</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а) удовлетворение заявления и изменение категории риска или класса опасности объекта государственного контроля (надзора);</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б) отказ в удовлетворении заявления.</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b/>
                <w:sz w:val="24"/>
                <w:szCs w:val="24"/>
              </w:rPr>
              <w:t>Далее орган государственного контроля</w:t>
            </w:r>
            <w:r w:rsidRPr="00FA118A">
              <w:rPr>
                <w:sz w:val="24"/>
                <w:szCs w:val="24"/>
              </w:rPr>
              <w:t xml:space="preserve"> (надзора) </w:t>
            </w:r>
            <w:r w:rsidRPr="00FA118A">
              <w:rPr>
                <w:b/>
                <w:sz w:val="24"/>
                <w:szCs w:val="24"/>
              </w:rPr>
              <w:t>в течение 3 рабочих дней</w:t>
            </w:r>
            <w:r w:rsidRPr="00FA118A">
              <w:rPr>
                <w:sz w:val="24"/>
                <w:szCs w:val="24"/>
              </w:rPr>
              <w:t xml:space="preserve"> со дня принятия решения, указанного в пункте 20 настоящих Правил, </w:t>
            </w:r>
            <w:r w:rsidRPr="00FA118A">
              <w:rPr>
                <w:b/>
                <w:sz w:val="24"/>
                <w:szCs w:val="24"/>
              </w:rPr>
              <w:t>информирует юридическое лицо и индивидуального предпринимателя о принятом решении</w:t>
            </w:r>
            <w:r w:rsidRPr="00FA118A">
              <w:rPr>
                <w:sz w:val="24"/>
                <w:szCs w:val="24"/>
              </w:rPr>
              <w:t xml:space="preserve"> путем направления соответствующего уведомления по почтовому адресу, указанному в заявлении, или в форме электронного документа, подписанного усиленной квалифицированной электронной подписью уполномоченного должностного лица органа государственного контроля (надзора), по адресу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FA118A">
              <w:rPr>
                <w:sz w:val="24"/>
                <w:szCs w:val="24"/>
              </w:rPr>
              <w:lastRenderedPageBreak/>
              <w:t>индивидуальных предпринимателей либо был ранее представлен ими в орган государственного контроля (надзора) (п. 21 Постановления).</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П. 22 Постановления прописан регламент действий юридического лица или индивидуального предпринимателя в случае несогласия с принятым органом государственного контроля (надзора) решением об отказе в удовлетворении заявления. (вправе обжаловать такое решение в административном и (или) судебном порядке).</w:t>
            </w:r>
          </w:p>
        </w:tc>
      </w:tr>
      <w:tr w:rsidR="005706A3"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2.4</w:t>
            </w:r>
          </w:p>
        </w:tc>
        <w:tc>
          <w:tcPr>
            <w:tcW w:w="5103" w:type="dxa"/>
          </w:tcPr>
          <w:p w:rsidR="005706A3" w:rsidRPr="00FA118A" w:rsidRDefault="005706A3" w:rsidP="005706A3">
            <w:pPr>
              <w:tabs>
                <w:tab w:val="left" w:pos="993"/>
              </w:tabs>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Планируется ли в настоящее время сокращение сроков проведения государственной экологической экспертизы, которое неоднократно обсуждалось на совещаниях под председательством заместителя Министра природных ресурсов и экологии РФ С. Ю. Радченко, посвященных снятию административных барьеров?</w:t>
            </w:r>
          </w:p>
        </w:tc>
        <w:tc>
          <w:tcPr>
            <w:tcW w:w="2126" w:type="dxa"/>
          </w:tcPr>
          <w:p w:rsidR="005706A3" w:rsidRPr="0074352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Законопроектов по данному вопросу, на официальном сайте Государственной Думы РФ не размещено.</w:t>
            </w:r>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2.5</w:t>
            </w:r>
          </w:p>
        </w:tc>
        <w:tc>
          <w:tcPr>
            <w:tcW w:w="5103" w:type="dxa"/>
          </w:tcPr>
          <w:p w:rsidR="005706A3" w:rsidRPr="00FA118A" w:rsidRDefault="005706A3" w:rsidP="00A82457">
            <w:pPr>
              <w:tabs>
                <w:tab w:val="left" w:pos="993"/>
              </w:tabs>
              <w:jc w:val="both"/>
              <w:cnfStyle w:val="000000000000" w:firstRow="0" w:lastRow="0" w:firstColumn="0" w:lastColumn="0" w:oddVBand="0" w:evenVBand="0" w:oddHBand="0" w:evenHBand="0" w:firstRowFirstColumn="0" w:firstRowLastColumn="0" w:lastRowFirstColumn="0" w:lastRowLastColumn="0"/>
              <w:rPr>
                <w:i/>
                <w:sz w:val="24"/>
                <w:szCs w:val="24"/>
              </w:rPr>
            </w:pPr>
            <w:r w:rsidRPr="00FA118A">
              <w:rPr>
                <w:i/>
                <w:sz w:val="24"/>
                <w:szCs w:val="24"/>
              </w:rPr>
              <w:t xml:space="preserve"> Рассматривается ли в настоящее время возможность нормативного установления предельных сроков для устранения допущенных нарушений, фиксируемых в предписаниях Росприроднадзора?</w:t>
            </w:r>
          </w:p>
        </w:tc>
        <w:tc>
          <w:tcPr>
            <w:tcW w:w="2126" w:type="dxa"/>
          </w:tcPr>
          <w:p w:rsidR="005706A3" w:rsidRPr="0074352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tabs>
                <w:tab w:val="left" w:pos="993"/>
              </w:tabs>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настоящее время возможность нормативного установления предельных сроков для устранения допущенных нарушений, фиксируемых в предписаниях Росприроднадзора не рассматривается.</w:t>
            </w:r>
          </w:p>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2.6</w:t>
            </w:r>
          </w:p>
        </w:tc>
        <w:tc>
          <w:tcPr>
            <w:tcW w:w="5103" w:type="dxa"/>
          </w:tcPr>
          <w:p w:rsidR="005706A3" w:rsidRPr="00FA118A" w:rsidRDefault="005706A3" w:rsidP="005706A3">
            <w:pPr>
              <w:tabs>
                <w:tab w:val="left" w:pos="993"/>
              </w:tabs>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 xml:space="preserve">Необходимо ли проведение государственной экологической экспертизы дополнения к техническому проекту разработки месторождений полезных ископаемых, содержащего раздел </w:t>
            </w:r>
            <w:proofErr w:type="spellStart"/>
            <w:r w:rsidRPr="00FA118A">
              <w:rPr>
                <w:i/>
                <w:sz w:val="24"/>
                <w:szCs w:val="24"/>
              </w:rPr>
              <w:t>отвалообразования</w:t>
            </w:r>
            <w:proofErr w:type="spellEnd"/>
            <w:r w:rsidRPr="00FA118A">
              <w:rPr>
                <w:i/>
                <w:sz w:val="24"/>
                <w:szCs w:val="24"/>
              </w:rPr>
              <w:t xml:space="preserve">, который идентичен такому же разделу предыдущей проектной документации, на </w:t>
            </w:r>
            <w:r w:rsidRPr="00FA118A">
              <w:rPr>
                <w:i/>
                <w:sz w:val="24"/>
                <w:szCs w:val="24"/>
              </w:rPr>
              <w:lastRenderedPageBreak/>
              <w:t>которую ранее было получено положительное заключение государственной экологической экспертизы?</w:t>
            </w:r>
          </w:p>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126" w:type="dxa"/>
          </w:tcPr>
          <w:p w:rsidR="005706A3" w:rsidRPr="0074352A" w:rsidRDefault="005706A3" w:rsidP="0074352A">
            <w:pPr>
              <w:cnfStyle w:val="000000100000" w:firstRow="0" w:lastRow="0" w:firstColumn="0" w:lastColumn="0" w:oddVBand="0" w:evenVBand="0" w:oddHBand="1" w:evenHBand="0" w:firstRowFirstColumn="0" w:firstRowLastColumn="0" w:lastRowFirstColumn="0" w:lastRowLastColumn="0"/>
              <w:rPr>
                <w:sz w:val="24"/>
                <w:szCs w:val="24"/>
              </w:rPr>
            </w:pPr>
            <w:r w:rsidRPr="0074352A">
              <w:rPr>
                <w:sz w:val="24"/>
                <w:szCs w:val="24"/>
              </w:rPr>
              <w:lastRenderedPageBreak/>
              <w:t xml:space="preserve">С целью детальной проработки вопроса Департаментом </w:t>
            </w:r>
            <w:r w:rsidR="0074352A" w:rsidRPr="0074352A">
              <w:rPr>
                <w:sz w:val="24"/>
                <w:szCs w:val="24"/>
              </w:rPr>
              <w:t>формируется</w:t>
            </w:r>
            <w:r w:rsidRPr="0074352A">
              <w:rPr>
                <w:sz w:val="24"/>
                <w:szCs w:val="24"/>
              </w:rPr>
              <w:t xml:space="preserve"> запрос в </w:t>
            </w:r>
            <w:r w:rsidRPr="0074352A">
              <w:rPr>
                <w:sz w:val="24"/>
                <w:szCs w:val="24"/>
              </w:rPr>
              <w:lastRenderedPageBreak/>
              <w:t xml:space="preserve">Федеральную службу по надзору в сфере </w:t>
            </w:r>
            <w:proofErr w:type="spellStart"/>
            <w:proofErr w:type="gramStart"/>
            <w:r w:rsidRPr="0074352A">
              <w:rPr>
                <w:sz w:val="24"/>
                <w:szCs w:val="24"/>
              </w:rPr>
              <w:t>природо</w:t>
            </w:r>
            <w:proofErr w:type="spellEnd"/>
            <w:r w:rsidRPr="0074352A">
              <w:rPr>
                <w:sz w:val="24"/>
                <w:szCs w:val="24"/>
              </w:rPr>
              <w:t>-пользования</w:t>
            </w:r>
            <w:proofErr w:type="gramEnd"/>
            <w:r w:rsidRPr="0074352A">
              <w:rPr>
                <w:sz w:val="24"/>
                <w:szCs w:val="24"/>
              </w:rPr>
              <w:t>.</w:t>
            </w:r>
          </w:p>
        </w:tc>
        <w:tc>
          <w:tcPr>
            <w:tcW w:w="7371"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FA118A" w:rsidRPr="00FA118A" w:rsidTr="00FA118A">
        <w:trPr>
          <w:trHeight w:val="697"/>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2.7</w:t>
            </w:r>
          </w:p>
        </w:tc>
        <w:tc>
          <w:tcPr>
            <w:tcW w:w="5103" w:type="dxa"/>
          </w:tcPr>
          <w:p w:rsidR="005706A3" w:rsidRPr="00FA118A" w:rsidRDefault="005706A3" w:rsidP="00A82457">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i/>
                <w:sz w:val="24"/>
                <w:szCs w:val="24"/>
              </w:rPr>
              <w:t xml:space="preserve">В </w:t>
            </w:r>
            <w:r w:rsidRPr="00FA118A">
              <w:rPr>
                <w:sz w:val="24"/>
                <w:szCs w:val="24"/>
              </w:rPr>
              <w:t>настоящее время объект (</w:t>
            </w:r>
            <w:proofErr w:type="spellStart"/>
            <w:r w:rsidRPr="00FA118A">
              <w:rPr>
                <w:sz w:val="24"/>
                <w:szCs w:val="24"/>
              </w:rPr>
              <w:t>хвостохранилище</w:t>
            </w:r>
            <w:proofErr w:type="spellEnd"/>
            <w:r w:rsidRPr="00FA118A">
              <w:rPr>
                <w:sz w:val="24"/>
                <w:szCs w:val="24"/>
              </w:rPr>
              <w:t xml:space="preserve">) включен в реестр объектов НВОС. При этом полезные ископаемые, содержащиеся в хвостах, находятся в нераспределенном фонде недр, а данный объект признан техногенным месторождением. </w:t>
            </w:r>
            <w:r w:rsidRPr="00FA118A">
              <w:rPr>
                <w:i/>
                <w:sz w:val="24"/>
                <w:szCs w:val="24"/>
              </w:rPr>
              <w:t>Существует ли порядок исключения указанного объекта НВОС из реестра для целей последующего предоставления в пользование?</w:t>
            </w:r>
          </w:p>
        </w:tc>
        <w:tc>
          <w:tcPr>
            <w:tcW w:w="2126" w:type="dxa"/>
          </w:tcPr>
          <w:p w:rsidR="005706A3" w:rsidRPr="0074352A" w:rsidRDefault="005706A3" w:rsidP="0074352A">
            <w:pPr>
              <w:cnfStyle w:val="000000000000" w:firstRow="0" w:lastRow="0" w:firstColumn="0" w:lastColumn="0" w:oddVBand="0" w:evenVBand="0" w:oddHBand="0" w:evenHBand="0" w:firstRowFirstColumn="0" w:firstRowLastColumn="0" w:lastRowFirstColumn="0" w:lastRowLastColumn="0"/>
              <w:rPr>
                <w:sz w:val="24"/>
                <w:szCs w:val="24"/>
              </w:rPr>
            </w:pPr>
            <w:r w:rsidRPr="0074352A">
              <w:rPr>
                <w:sz w:val="24"/>
                <w:szCs w:val="24"/>
              </w:rPr>
              <w:t xml:space="preserve">С целью детальной проработки вопроса Департаментом </w:t>
            </w:r>
            <w:r w:rsidR="0074352A" w:rsidRPr="0074352A">
              <w:rPr>
                <w:sz w:val="24"/>
                <w:szCs w:val="24"/>
              </w:rPr>
              <w:t>формируется</w:t>
            </w:r>
            <w:r w:rsidRPr="0074352A">
              <w:rPr>
                <w:sz w:val="24"/>
                <w:szCs w:val="24"/>
              </w:rPr>
              <w:t xml:space="preserve"> запрос в Федеральную службу по надзору в сфере </w:t>
            </w:r>
            <w:proofErr w:type="spellStart"/>
            <w:proofErr w:type="gramStart"/>
            <w:r w:rsidRPr="0074352A">
              <w:rPr>
                <w:sz w:val="24"/>
                <w:szCs w:val="24"/>
              </w:rPr>
              <w:t>природо</w:t>
            </w:r>
            <w:proofErr w:type="spellEnd"/>
            <w:r w:rsidRPr="0074352A">
              <w:rPr>
                <w:sz w:val="24"/>
                <w:szCs w:val="24"/>
              </w:rPr>
              <w:t>-пользования</w:t>
            </w:r>
            <w:proofErr w:type="gramEnd"/>
            <w:r w:rsidRPr="0074352A">
              <w:rPr>
                <w:sz w:val="24"/>
                <w:szCs w:val="24"/>
              </w:rPr>
              <w:t>.</w:t>
            </w:r>
          </w:p>
        </w:tc>
        <w:tc>
          <w:tcPr>
            <w:tcW w:w="7371"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A82457" w:rsidRPr="00FA118A" w:rsidTr="00A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tcPr>
          <w:p w:rsidR="00A82457" w:rsidRPr="00FA118A" w:rsidRDefault="00A82457" w:rsidP="00A82457">
            <w:pPr>
              <w:jc w:val="center"/>
              <w:rPr>
                <w:rFonts w:cs="Times New Roman"/>
                <w:sz w:val="24"/>
                <w:szCs w:val="24"/>
              </w:rPr>
            </w:pPr>
            <w:r w:rsidRPr="00FA118A">
              <w:rPr>
                <w:rFonts w:cs="Times New Roman"/>
                <w:sz w:val="24"/>
                <w:szCs w:val="24"/>
              </w:rPr>
              <w:t>3. ООО «Агрохолдинг «Сибирский Премьер»</w:t>
            </w:r>
          </w:p>
        </w:tc>
        <w:tc>
          <w:tcPr>
            <w:tcW w:w="9497" w:type="dxa"/>
            <w:gridSpan w:val="2"/>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FA118A">
              <w:rPr>
                <w:rFonts w:cs="Times New Roman"/>
                <w:b/>
                <w:sz w:val="24"/>
                <w:szCs w:val="24"/>
              </w:rPr>
              <w:t>Департамент Росприроднадзора по Сибирскому федеральному округу</w:t>
            </w:r>
          </w:p>
        </w:tc>
      </w:tr>
      <w:tr w:rsidR="00A82457"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A82457" w:rsidRPr="00FA118A" w:rsidRDefault="00A82457" w:rsidP="00A82457">
            <w:pPr>
              <w:rPr>
                <w:rFonts w:cs="Times New Roman"/>
                <w:sz w:val="24"/>
                <w:szCs w:val="24"/>
              </w:rPr>
            </w:pPr>
          </w:p>
        </w:tc>
        <w:tc>
          <w:tcPr>
            <w:tcW w:w="709"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w:t>
            </w:r>
          </w:p>
        </w:tc>
        <w:tc>
          <w:tcPr>
            <w:tcW w:w="5103" w:type="dxa"/>
            <w:vAlign w:val="center"/>
          </w:tcPr>
          <w:p w:rsidR="00A82457" w:rsidRPr="00FA118A" w:rsidRDefault="00A82457" w:rsidP="00A82457">
            <w:pPr>
              <w:tabs>
                <w:tab w:val="left" w:pos="993"/>
              </w:tabs>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FA118A">
              <w:rPr>
                <w:rFonts w:cs="Times New Roman"/>
                <w:sz w:val="24"/>
                <w:szCs w:val="24"/>
              </w:rPr>
              <w:t>Промежуточный результат</w:t>
            </w:r>
          </w:p>
        </w:tc>
        <w:tc>
          <w:tcPr>
            <w:tcW w:w="7371"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82457" w:rsidRPr="00FA118A" w:rsidRDefault="00A82457" w:rsidP="00A82457">
            <w:pPr>
              <w:rPr>
                <w:rFonts w:cs="Times New Roman"/>
                <w:sz w:val="24"/>
                <w:szCs w:val="24"/>
              </w:rPr>
            </w:pPr>
          </w:p>
        </w:tc>
        <w:tc>
          <w:tcPr>
            <w:tcW w:w="709"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3.1</w:t>
            </w:r>
          </w:p>
        </w:tc>
        <w:tc>
          <w:tcPr>
            <w:tcW w:w="5103" w:type="dxa"/>
            <w:vAlign w:val="center"/>
          </w:tcPr>
          <w:p w:rsidR="00A82457" w:rsidRPr="00FA118A" w:rsidRDefault="00A82457" w:rsidP="00A82457">
            <w:pPr>
              <w:tabs>
                <w:tab w:val="left" w:pos="993"/>
              </w:tabs>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 xml:space="preserve">Есть скважина, из которой наше предприятие берет воду для производственных целей. Известно, что вода этой скважины имеет трехкратное превышение ПДК содержания железа. Прогоняя воду через весь производственный цикл, «на выходе» получаем то же самое трехкратное превышение нормативов содержания железа. </w:t>
            </w:r>
            <w:r w:rsidRPr="00FA118A">
              <w:rPr>
                <w:rFonts w:cs="Times New Roman"/>
                <w:i/>
                <w:sz w:val="24"/>
                <w:szCs w:val="24"/>
              </w:rPr>
              <w:t xml:space="preserve">Почему я должен платить организации, принимающей данные стоки за превышение ПДК, при сбросе стоков в поверхностный </w:t>
            </w:r>
            <w:r w:rsidRPr="00FA118A">
              <w:rPr>
                <w:rFonts w:cs="Times New Roman"/>
                <w:i/>
                <w:sz w:val="24"/>
                <w:szCs w:val="24"/>
              </w:rPr>
              <w:lastRenderedPageBreak/>
              <w:t>водный объект?</w:t>
            </w:r>
          </w:p>
        </w:tc>
        <w:tc>
          <w:tcPr>
            <w:tcW w:w="2126" w:type="dxa"/>
            <w:vAlign w:val="center"/>
          </w:tcPr>
          <w:p w:rsidR="00A82457" w:rsidRPr="00FA118A" w:rsidRDefault="00A82457" w:rsidP="00FA118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lastRenderedPageBreak/>
              <w:t xml:space="preserve">В связи с тем, что данный вопрос не относится к компетенции Департамента Росприроднадзора по Сибирскому федеральному округу (далее – Департамент), вопрос передан </w:t>
            </w:r>
            <w:r w:rsidRPr="00FA118A">
              <w:rPr>
                <w:rFonts w:cs="Times New Roman"/>
                <w:sz w:val="24"/>
                <w:szCs w:val="24"/>
              </w:rPr>
              <w:lastRenderedPageBreak/>
              <w:t>по подведомственности в Министерство ЖКХ и энергетики Новосибирской области. Ответ будет размещен по факту поступления в Департамент.</w:t>
            </w:r>
          </w:p>
        </w:tc>
        <w:tc>
          <w:tcPr>
            <w:tcW w:w="7371"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p>
        </w:tc>
      </w:tr>
      <w:tr w:rsidR="00A82457" w:rsidRPr="00FA118A" w:rsidTr="00A82457">
        <w:tc>
          <w:tcPr>
            <w:cnfStyle w:val="001000000000" w:firstRow="0" w:lastRow="0" w:firstColumn="1" w:lastColumn="0" w:oddVBand="0" w:evenVBand="0" w:oddHBand="0" w:evenHBand="0" w:firstRowFirstColumn="0" w:firstRowLastColumn="0" w:lastRowFirstColumn="0" w:lastRowLastColumn="0"/>
            <w:tcW w:w="6658" w:type="dxa"/>
            <w:gridSpan w:val="3"/>
          </w:tcPr>
          <w:p w:rsidR="00A82457" w:rsidRPr="00FA118A" w:rsidRDefault="00A82457" w:rsidP="00A82457">
            <w:pPr>
              <w:tabs>
                <w:tab w:val="left" w:pos="993"/>
              </w:tabs>
              <w:jc w:val="center"/>
              <w:rPr>
                <w:rFonts w:cs="Times New Roman"/>
                <w:i/>
                <w:sz w:val="24"/>
                <w:szCs w:val="24"/>
              </w:rPr>
            </w:pPr>
            <w:r w:rsidRPr="00FA118A">
              <w:rPr>
                <w:rFonts w:cs="Times New Roman"/>
                <w:sz w:val="24"/>
                <w:szCs w:val="24"/>
              </w:rPr>
              <w:lastRenderedPageBreak/>
              <w:t>4. ООО «Разрез Восточный»</w:t>
            </w:r>
          </w:p>
        </w:tc>
        <w:tc>
          <w:tcPr>
            <w:tcW w:w="9497" w:type="dxa"/>
            <w:gridSpan w:val="2"/>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b/>
                <w:sz w:val="24"/>
                <w:szCs w:val="24"/>
              </w:rPr>
              <w:t>Департамент Росприроднадзора по Сибирскому федеральному округу</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A82457" w:rsidRPr="00FA118A" w:rsidRDefault="00A82457" w:rsidP="00A82457">
            <w:pPr>
              <w:tabs>
                <w:tab w:val="left" w:pos="993"/>
              </w:tabs>
              <w:jc w:val="center"/>
              <w:rPr>
                <w:rFonts w:cs="Times New Roman"/>
                <w:i/>
                <w:sz w:val="24"/>
                <w:szCs w:val="24"/>
              </w:rPr>
            </w:pPr>
          </w:p>
        </w:tc>
        <w:tc>
          <w:tcPr>
            <w:tcW w:w="709"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4"/>
                <w:szCs w:val="24"/>
              </w:rPr>
            </w:pPr>
            <w:r w:rsidRPr="00FA118A">
              <w:rPr>
                <w:rFonts w:cs="Times New Roman"/>
                <w:sz w:val="24"/>
                <w:szCs w:val="24"/>
              </w:rPr>
              <w:t>№</w:t>
            </w:r>
          </w:p>
        </w:tc>
        <w:tc>
          <w:tcPr>
            <w:tcW w:w="5103"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Промежуточный результат</w:t>
            </w:r>
          </w:p>
        </w:tc>
        <w:tc>
          <w:tcPr>
            <w:tcW w:w="7371"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A82457" w:rsidRPr="00FA118A" w:rsidTr="00FA118A">
        <w:tc>
          <w:tcPr>
            <w:cnfStyle w:val="001000000000" w:firstRow="0" w:lastRow="0" w:firstColumn="1" w:lastColumn="0" w:oddVBand="0" w:evenVBand="0" w:oddHBand="0" w:evenHBand="0" w:firstRowFirstColumn="0" w:firstRowLastColumn="0" w:lastRowFirstColumn="0" w:lastRowLastColumn="0"/>
            <w:tcW w:w="846" w:type="dxa"/>
            <w:vAlign w:val="center"/>
          </w:tcPr>
          <w:p w:rsidR="00A82457" w:rsidRPr="00FA118A" w:rsidRDefault="00A82457" w:rsidP="00A82457">
            <w:pPr>
              <w:tabs>
                <w:tab w:val="left" w:pos="993"/>
              </w:tabs>
              <w:jc w:val="both"/>
              <w:rPr>
                <w:rFonts w:cs="Times New Roman"/>
                <w:i/>
                <w:sz w:val="24"/>
                <w:szCs w:val="24"/>
              </w:rPr>
            </w:pPr>
          </w:p>
        </w:tc>
        <w:tc>
          <w:tcPr>
            <w:tcW w:w="709" w:type="dxa"/>
            <w:vAlign w:val="center"/>
          </w:tcPr>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4.1</w:t>
            </w:r>
          </w:p>
        </w:tc>
        <w:tc>
          <w:tcPr>
            <w:tcW w:w="5103" w:type="dxa"/>
            <w:vAlign w:val="center"/>
          </w:tcPr>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Возможно ли включение в ГРОРО строящегося объекта размещения отходов?</w:t>
            </w:r>
          </w:p>
        </w:tc>
        <w:tc>
          <w:tcPr>
            <w:tcW w:w="2126"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i/>
                <w:sz w:val="24"/>
                <w:szCs w:val="24"/>
              </w:rPr>
            </w:pPr>
          </w:p>
        </w:tc>
        <w:tc>
          <w:tcPr>
            <w:tcW w:w="7371" w:type="dxa"/>
            <w:vAlign w:val="center"/>
          </w:tcPr>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Согласно пункту 6 статьи 12 Федерального закона от 24.06.1998 № 89-ФЗ «Об отходах производства и потребления» (в ред. федерального закона от 23.07.2008 № 160-ФЗ), объекты размещения отходов (далее – ОРО) вносятся в государственный реестр объектов размещения отходов (далее – ГРОРО). Ведение ГРОРО осуществляется в соответствии с Порядком ведения государственного кадастра отходов, утвержденным Приказом Минприроды России от 30.09.2011 № 792 (далее – Порядок).</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В соответствии с пунктом 16 Порядка, ГРОРО включает свод систематизированных сведений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 xml:space="preserve">ГРОРО формируется на основе информации об ОРО, полученной в результате их инвентаризации, проведенной в соответствии с Правилами инвентаризации объектов размещения отходов, утвержденными Приказом Минприроды России от 25 февраля 2010 </w:t>
            </w:r>
            <w:r w:rsidRPr="00FA118A">
              <w:rPr>
                <w:rFonts w:cs="Times New Roman"/>
                <w:i/>
                <w:sz w:val="24"/>
                <w:szCs w:val="24"/>
              </w:rPr>
              <w:lastRenderedPageBreak/>
              <w:t>г. № 49 (далее - Правила).</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 xml:space="preserve">Согласно Правилам, инвентаризация ОРО проводится юридическими лицами и индивидуальными предпринимателями, эксплуатирующими эти объекты, не реже одного раза в пять лет. По завершении сбора и обработки информации об инвентаризации ОРО на каждый ОРО составляется характеристика ОРО, в которой в обязательном порядке должна быть указана дата ввода ОРО в эксплуатацию (в строке 8). </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Изложенное в совокупности свидетельствует о том, что строящийся ОРО невозможно включить в ГРОРО.</w:t>
            </w:r>
          </w:p>
        </w:tc>
      </w:tr>
      <w:tr w:rsidR="00FA118A" w:rsidRPr="00FA118A" w:rsidTr="00735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vAlign w:val="center"/>
          </w:tcPr>
          <w:p w:rsidR="00FA118A" w:rsidRPr="00FA118A" w:rsidRDefault="00FA118A" w:rsidP="00A82457">
            <w:pPr>
              <w:jc w:val="center"/>
              <w:rPr>
                <w:rFonts w:cs="Times New Roman"/>
                <w:sz w:val="24"/>
                <w:szCs w:val="24"/>
              </w:rPr>
            </w:pPr>
            <w:r w:rsidRPr="00FA118A">
              <w:rPr>
                <w:rFonts w:cs="Times New Roman"/>
                <w:sz w:val="24"/>
                <w:szCs w:val="24"/>
              </w:rPr>
              <w:lastRenderedPageBreak/>
              <w:t>5. АО «Завод «Экран»</w:t>
            </w:r>
          </w:p>
        </w:tc>
        <w:tc>
          <w:tcPr>
            <w:tcW w:w="9497" w:type="dxa"/>
            <w:gridSpan w:val="2"/>
            <w:vAlign w:val="center"/>
          </w:tcPr>
          <w:p w:rsidR="00FA118A" w:rsidRPr="00FA118A" w:rsidRDefault="00FA118A" w:rsidP="00A82457">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b/>
                <w:sz w:val="24"/>
                <w:szCs w:val="24"/>
              </w:rPr>
              <w:t>Департамент Росприроднадзора по Сибирскому федеральному округу</w:t>
            </w:r>
          </w:p>
        </w:tc>
      </w:tr>
      <w:tr w:rsidR="00FA118A" w:rsidRPr="00FA118A" w:rsidTr="00FA118A">
        <w:tc>
          <w:tcPr>
            <w:cnfStyle w:val="001000000000" w:firstRow="0" w:lastRow="0" w:firstColumn="1" w:lastColumn="0" w:oddVBand="0" w:evenVBand="0" w:oddHBand="0" w:evenHBand="0" w:firstRowFirstColumn="0" w:firstRowLastColumn="0" w:lastRowFirstColumn="0" w:lastRowLastColumn="0"/>
            <w:tcW w:w="846" w:type="dxa"/>
            <w:vAlign w:val="center"/>
          </w:tcPr>
          <w:p w:rsidR="00FA118A" w:rsidRPr="00FA118A" w:rsidRDefault="00FA118A" w:rsidP="00FA118A">
            <w:pPr>
              <w:tabs>
                <w:tab w:val="left" w:pos="993"/>
              </w:tabs>
              <w:jc w:val="both"/>
              <w:rPr>
                <w:rFonts w:cs="Times New Roman"/>
                <w:i/>
                <w:sz w:val="24"/>
                <w:szCs w:val="24"/>
              </w:rPr>
            </w:pPr>
          </w:p>
        </w:tc>
        <w:tc>
          <w:tcPr>
            <w:tcW w:w="709"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FA118A">
              <w:rPr>
                <w:rFonts w:cs="Times New Roman"/>
                <w:sz w:val="24"/>
                <w:szCs w:val="24"/>
              </w:rPr>
              <w:t>№</w:t>
            </w:r>
          </w:p>
        </w:tc>
        <w:tc>
          <w:tcPr>
            <w:tcW w:w="5103"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Промежуточный результат</w:t>
            </w:r>
          </w:p>
        </w:tc>
        <w:tc>
          <w:tcPr>
            <w:tcW w:w="7371"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FA118A"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FA118A" w:rsidRPr="00FA118A" w:rsidRDefault="00FA118A" w:rsidP="00FA118A">
            <w:pPr>
              <w:tabs>
                <w:tab w:val="left" w:pos="993"/>
              </w:tabs>
              <w:jc w:val="both"/>
              <w:rPr>
                <w:rFonts w:cs="Times New Roman"/>
                <w:i/>
                <w:sz w:val="24"/>
                <w:szCs w:val="24"/>
              </w:rPr>
            </w:pPr>
          </w:p>
        </w:tc>
        <w:tc>
          <w:tcPr>
            <w:tcW w:w="709" w:type="dxa"/>
            <w:vAlign w:val="center"/>
          </w:tcPr>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5.1</w:t>
            </w:r>
          </w:p>
        </w:tc>
        <w:tc>
          <w:tcPr>
            <w:tcW w:w="5103" w:type="dxa"/>
            <w:vAlign w:val="center"/>
          </w:tcPr>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i/>
                <w:sz w:val="24"/>
                <w:szCs w:val="24"/>
              </w:rPr>
              <w:t>На какие полигоны ТБО в г. Новосибирске можно размещать отходы IV класса опасности</w:t>
            </w:r>
            <w:r w:rsidRPr="00FA118A">
              <w:rPr>
                <w:rFonts w:cs="Times New Roman"/>
                <w:sz w:val="24"/>
                <w:szCs w:val="24"/>
              </w:rPr>
              <w:t>?</w:t>
            </w:r>
          </w:p>
        </w:tc>
        <w:tc>
          <w:tcPr>
            <w:tcW w:w="2126" w:type="dxa"/>
            <w:vAlign w:val="center"/>
          </w:tcPr>
          <w:p w:rsidR="00FA118A" w:rsidRPr="00FA118A" w:rsidRDefault="00FA118A" w:rsidP="00FA118A">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p>
        </w:tc>
        <w:tc>
          <w:tcPr>
            <w:tcW w:w="7371" w:type="dxa"/>
            <w:vAlign w:val="center"/>
          </w:tcPr>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В соответствии с пунктом 7 статьи 12 Федерального закона от 24.06.1998 № 89-ФЗ «Об отходах производства и потребления» (в ред. федерального закона от 30.12.2008 № 309-ФЗ) запрещается размещение отходов на объектах, не внесенных в государственный реестр объектов размещения отходов (далее – ГРОРО). В городе Новосибирске объекты размещения отходов, включенные в ГРОРО, отсутствуют.</w:t>
            </w:r>
          </w:p>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 xml:space="preserve">Информация об объектах размещения отходов, включенных в ГРОРО, размещена на официальном сайте Росприроднадзора по адресу </w:t>
            </w:r>
            <w:hyperlink r:id="rId6" w:anchor="/groro" w:history="1">
              <w:r w:rsidRPr="00FA118A">
                <w:rPr>
                  <w:rStyle w:val="a5"/>
                  <w:rFonts w:cs="Times New Roman"/>
                  <w:i/>
                  <w:sz w:val="24"/>
                  <w:szCs w:val="24"/>
                </w:rPr>
                <w:t>https://uoit.fsrpn.ru/#/groro</w:t>
              </w:r>
            </w:hyperlink>
            <w:r w:rsidRPr="00FA118A">
              <w:rPr>
                <w:rFonts w:cs="Times New Roman"/>
                <w:i/>
                <w:sz w:val="24"/>
                <w:szCs w:val="24"/>
              </w:rPr>
              <w:t xml:space="preserve"> </w:t>
            </w:r>
          </w:p>
        </w:tc>
      </w:tr>
    </w:tbl>
    <w:p w:rsidR="00970153" w:rsidRDefault="00970153"/>
    <w:sectPr w:rsidR="00970153" w:rsidSect="00D9726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E8A"/>
    <w:multiLevelType w:val="hybridMultilevel"/>
    <w:tmpl w:val="FD0442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4056E"/>
    <w:multiLevelType w:val="multilevel"/>
    <w:tmpl w:val="467C7D4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B4"/>
    <w:rsid w:val="003760A1"/>
    <w:rsid w:val="00542E73"/>
    <w:rsid w:val="005706A3"/>
    <w:rsid w:val="0074352A"/>
    <w:rsid w:val="00970153"/>
    <w:rsid w:val="00A82457"/>
    <w:rsid w:val="00C33BB4"/>
    <w:rsid w:val="00D97263"/>
    <w:rsid w:val="00FA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26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GridTable2Accent1">
    <w:name w:val="Grid Table 2 Accent 1"/>
    <w:basedOn w:val="a1"/>
    <w:uiPriority w:val="47"/>
    <w:rsid w:val="00D972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a1"/>
    <w:uiPriority w:val="49"/>
    <w:rsid w:val="00D9726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5">
    <w:name w:val="Hyperlink"/>
    <w:basedOn w:val="a0"/>
    <w:uiPriority w:val="99"/>
    <w:unhideWhenUsed/>
    <w:rsid w:val="00FA11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26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GridTable2Accent1">
    <w:name w:val="Grid Table 2 Accent 1"/>
    <w:basedOn w:val="a1"/>
    <w:uiPriority w:val="47"/>
    <w:rsid w:val="00D972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a1"/>
    <w:uiPriority w:val="49"/>
    <w:rsid w:val="00D9726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5">
    <w:name w:val="Hyperlink"/>
    <w:basedOn w:val="a0"/>
    <w:uiPriority w:val="99"/>
    <w:unhideWhenUsed/>
    <w:rsid w:val="00FA1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it.fsrp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Кочура</dc:creator>
  <cp:lastModifiedBy>001</cp:lastModifiedBy>
  <cp:revision>2</cp:revision>
  <dcterms:created xsi:type="dcterms:W3CDTF">2020-09-13T14:22:00Z</dcterms:created>
  <dcterms:modified xsi:type="dcterms:W3CDTF">2020-09-13T14:22:00Z</dcterms:modified>
</cp:coreProperties>
</file>