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22"/>
        <w:gridCol w:w="2138"/>
        <w:gridCol w:w="6662"/>
        <w:gridCol w:w="5670"/>
      </w:tblGrid>
      <w:tr w:rsidR="0029437E" w:rsidRPr="00ED4311" w:rsidTr="00AE13A9">
        <w:tc>
          <w:tcPr>
            <w:tcW w:w="522" w:type="dxa"/>
          </w:tcPr>
          <w:p w:rsidR="0029437E" w:rsidRPr="00ED4311" w:rsidRDefault="0029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8" w:type="dxa"/>
          </w:tcPr>
          <w:p w:rsidR="0029437E" w:rsidRPr="00ED4311" w:rsidRDefault="0029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от кого</w:t>
            </w:r>
          </w:p>
        </w:tc>
        <w:tc>
          <w:tcPr>
            <w:tcW w:w="6662" w:type="dxa"/>
          </w:tcPr>
          <w:p w:rsidR="0029437E" w:rsidRPr="00ED4311" w:rsidRDefault="0029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670" w:type="dxa"/>
          </w:tcPr>
          <w:p w:rsidR="0029437E" w:rsidRPr="00ED4311" w:rsidRDefault="0029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3D70A7" w:rsidRPr="00ED4311" w:rsidTr="00AE13A9">
        <w:tc>
          <w:tcPr>
            <w:tcW w:w="522" w:type="dxa"/>
          </w:tcPr>
          <w:p w:rsidR="003D70A7" w:rsidRPr="00ED4311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3D70A7" w:rsidRPr="00ED4311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ООО «УК «</w:t>
            </w:r>
            <w:proofErr w:type="spellStart"/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Талдиская</w:t>
            </w:r>
            <w:proofErr w:type="spellEnd"/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3D70A7" w:rsidRDefault="003D7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плановой проверки, проводимой в 2016г. Управлением Росприроднадзора по Кемеровской области предприятию было вынесено предписание об устранении нарушений правил водопользования </w:t>
            </w:r>
            <w:r w:rsidR="00AE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 сбросе сточных вод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объект, а именно превышение установленных нормативов сброса, со сроком исполнения до апреля 2018г. </w:t>
            </w:r>
          </w:p>
          <w:p w:rsidR="003D70A7" w:rsidRDefault="003D7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конце 2017г. в отношении данного выпуска предприятие было оштрафовано уже Департаментом, природных ресурсов и экологии Кемеровской области, а также выданы предписания. Кроме того, есть решения судов в части того, что водный объект — приемник сточных вод, не соответствует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подлежащим Федеральному государственному экологическому надзору и соответственно, подлежит региональному государственному  надзору в области использования и охраны водных: объектов. </w:t>
            </w:r>
          </w:p>
          <w:p w:rsidR="003D70A7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вышеизложенным, будет ли проводится Управлением Росприроднадзора по Кемеровской области мероприятие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вышеуказанного предписания и если да, то на каком основании?</w:t>
            </w:r>
          </w:p>
        </w:tc>
        <w:tc>
          <w:tcPr>
            <w:tcW w:w="5670" w:type="dxa"/>
          </w:tcPr>
          <w:p w:rsidR="00AE13A9" w:rsidRPr="00AE13A9" w:rsidRDefault="00AE13A9" w:rsidP="00AE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A9">
              <w:rPr>
                <w:rFonts w:ascii="Times New Roman" w:hAnsi="Times New Roman" w:cs="Times New Roman"/>
                <w:sz w:val="24"/>
                <w:szCs w:val="24"/>
              </w:rPr>
              <w:t>В соответствии с п.1 , ч.1 п.2, п.21  ст.10 ФЗ №294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13A9">
              <w:rPr>
                <w:rFonts w:ascii="Times New Roman" w:hAnsi="Times New Roman" w:cs="Times New Roman"/>
                <w:sz w:val="24"/>
                <w:szCs w:val="24"/>
              </w:rPr>
              <w:t xml:space="preserve"> выдавши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E13A9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юридическому лицу предписание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13A9">
              <w:rPr>
                <w:rFonts w:ascii="Times New Roman" w:hAnsi="Times New Roman" w:cs="Times New Roman"/>
                <w:sz w:val="24"/>
                <w:szCs w:val="24"/>
              </w:rPr>
              <w:t xml:space="preserve"> выходит на внеплановую документарную или выездную проверку в части соблюдения выполнения выданного ранее предписания (т.е. по истечению срока исполнения предписания).</w:t>
            </w:r>
          </w:p>
          <w:p w:rsidR="003D70A7" w:rsidRPr="00ED4311" w:rsidRDefault="00147CBF" w:rsidP="00AE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снимается с контроля по решению суда.</w:t>
            </w:r>
            <w:bookmarkStart w:id="0" w:name="_GoBack"/>
            <w:bookmarkEnd w:id="0"/>
          </w:p>
        </w:tc>
      </w:tr>
      <w:tr w:rsidR="003574F1" w:rsidRPr="00ED4311" w:rsidTr="00AE13A9">
        <w:tc>
          <w:tcPr>
            <w:tcW w:w="522" w:type="dxa"/>
          </w:tcPr>
          <w:p w:rsidR="003574F1" w:rsidRPr="00ED4311" w:rsidRDefault="0035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3574F1" w:rsidRPr="00ED4311" w:rsidRDefault="0035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городского округа</w:t>
            </w:r>
          </w:p>
        </w:tc>
        <w:tc>
          <w:tcPr>
            <w:tcW w:w="6662" w:type="dxa"/>
          </w:tcPr>
          <w:p w:rsidR="003574F1" w:rsidRDefault="00357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отсутствие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органов местного самоуправления Березовского городского округа информации о результатах осуществления функций по надзору в сфере природопользования на 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о выявленных и имеющихся нарушениях природоохранного законодательства, оказывающих отрицательное воздействие на состояние здоровья населения и окружающей среды</w:t>
            </w:r>
          </w:p>
        </w:tc>
        <w:tc>
          <w:tcPr>
            <w:tcW w:w="5670" w:type="dxa"/>
          </w:tcPr>
          <w:p w:rsidR="00D75008" w:rsidRDefault="009C3687"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3687">
              <w:rPr>
                <w:rFonts w:ascii="Times New Roman" w:hAnsi="Times New Roman" w:cs="Times New Roman"/>
                <w:sz w:val="24"/>
                <w:szCs w:val="24"/>
              </w:rPr>
              <w:t>нформация о ежемесячных проведенных проверках, выявленных нарушениях и административных делах размещается на официальном сайте Управления - http://42.rpn.gov.ru/, в раздел «Информация о проверках».</w:t>
            </w:r>
          </w:p>
        </w:tc>
      </w:tr>
      <w:tr w:rsidR="003574F1" w:rsidRPr="00ED4311" w:rsidTr="00AE13A9">
        <w:tc>
          <w:tcPr>
            <w:tcW w:w="522" w:type="dxa"/>
          </w:tcPr>
          <w:p w:rsidR="003574F1" w:rsidRPr="00ED4311" w:rsidRDefault="0035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3574F1" w:rsidRPr="00ED4311" w:rsidRDefault="0035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городского округа</w:t>
            </w:r>
          </w:p>
        </w:tc>
        <w:tc>
          <w:tcPr>
            <w:tcW w:w="6662" w:type="dxa"/>
          </w:tcPr>
          <w:p w:rsidR="003574F1" w:rsidRDefault="00357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регламента взаимодействия органов местного самоуправления и Управления Росприроднадзора по Кемеровской области по вопросам организации мероприятий по охране окружающей среды в границах городского округа</w:t>
            </w:r>
          </w:p>
        </w:tc>
        <w:tc>
          <w:tcPr>
            <w:tcW w:w="5670" w:type="dxa"/>
          </w:tcPr>
          <w:p w:rsidR="00992EE6" w:rsidRDefault="009C3687" w:rsidP="009C3687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ОМСУ и ФОИВ регламентируется </w:t>
            </w:r>
            <w:r w:rsidRPr="009C3687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3687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C3687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(ред. от 29.12.2017)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368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368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3687">
              <w:rPr>
                <w:rFonts w:ascii="Times New Roman" w:hAnsi="Times New Roman" w:cs="Times New Roman"/>
                <w:sz w:val="24"/>
                <w:szCs w:val="24"/>
              </w:rPr>
              <w:t>"Земельны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3687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C368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Федерации" от 25.10.2001 N 136-ФЗ</w:t>
            </w:r>
            <w:proofErr w:type="gramEnd"/>
          </w:p>
        </w:tc>
      </w:tr>
      <w:tr w:rsidR="003D70A7" w:rsidRPr="00ED4311" w:rsidTr="00AE13A9">
        <w:tc>
          <w:tcPr>
            <w:tcW w:w="522" w:type="dxa"/>
          </w:tcPr>
          <w:p w:rsidR="003D70A7" w:rsidRPr="00ED4311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8" w:type="dxa"/>
          </w:tcPr>
          <w:p w:rsidR="003D70A7" w:rsidRPr="00ED4311" w:rsidRDefault="003D70A7" w:rsidP="009C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овокузнецка</w:t>
            </w:r>
            <w:proofErr w:type="spellEnd"/>
          </w:p>
        </w:tc>
        <w:tc>
          <w:tcPr>
            <w:tcW w:w="6662" w:type="dxa"/>
          </w:tcPr>
          <w:p w:rsidR="003D70A7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вправе выявлять и проводить оценку объектов накопленного вреда окружающей среде. Не ясен порядок и механизм проведения оценки объектов вреда окружающей среде для включения в государственный реестр.</w:t>
            </w:r>
          </w:p>
        </w:tc>
        <w:tc>
          <w:tcPr>
            <w:tcW w:w="5670" w:type="dxa"/>
          </w:tcPr>
          <w:p w:rsidR="003D70A7" w:rsidRPr="00ED4311" w:rsidRDefault="00992EE6" w:rsidP="00AE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A9">
              <w:rPr>
                <w:rFonts w:ascii="Times New Roman" w:hAnsi="Times New Roman" w:cs="Times New Roman"/>
                <w:sz w:val="24"/>
                <w:szCs w:val="24"/>
              </w:rPr>
              <w:t>Разъяснение порядка и механизма проведения оценки объектов вреда окружающей среде для включения в государственный реестр не входит в полномочия управления.</w:t>
            </w:r>
          </w:p>
        </w:tc>
      </w:tr>
      <w:tr w:rsidR="003D70A7" w:rsidRPr="00ED4311" w:rsidTr="00AE13A9">
        <w:tc>
          <w:tcPr>
            <w:tcW w:w="522" w:type="dxa"/>
          </w:tcPr>
          <w:p w:rsidR="003D70A7" w:rsidRPr="00ED4311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8" w:type="dxa"/>
          </w:tcPr>
          <w:p w:rsidR="003D70A7" w:rsidRPr="00ED4311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ОАО «УК «</w:t>
            </w:r>
            <w:proofErr w:type="spellStart"/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Кузбассразрезуголь</w:t>
            </w:r>
            <w:proofErr w:type="spellEnd"/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3D70A7" w:rsidRDefault="003D70A7" w:rsidP="004B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вступлением в силу п.7.5, ст. 11</w:t>
            </w:r>
            <w:r w:rsidRPr="004B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5772F" w:rsidRPr="004B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B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74-ФЗ «Об экологической экспертизе» необходимо ли будет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прохождение государственной экологической экспертизы проектной документации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любого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 капитального строительства (например</w:t>
            </w:r>
            <w:r w:rsidR="004B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Комплекса котельной тепловой мощностью 13,72 Гкал/час), в соответствии с Постановлением Правительства РФ № 1029 относящемуся к объекту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(второй) категории, расположенному на земельном участке объекта I (первой) категории (разреза) и технологически связанным с данным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объектом?</w:t>
            </w:r>
          </w:p>
        </w:tc>
        <w:tc>
          <w:tcPr>
            <w:tcW w:w="5670" w:type="dxa"/>
          </w:tcPr>
          <w:p w:rsidR="0045772F" w:rsidRPr="004B580E" w:rsidRDefault="0045772F" w:rsidP="00457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80E">
              <w:rPr>
                <w:rFonts w:ascii="Times New Roman" w:hAnsi="Times New Roman" w:cs="Times New Roman"/>
                <w:sz w:val="24"/>
                <w:szCs w:val="24"/>
              </w:rPr>
              <w:t>Согласно п.7.5 статьи 11 Федерального  закона от 23.11.1995 N 174-ФЗ (ред. от 28.12.2017) "Об экологической экспертизе" (с изм. и доп., вступ. в силу с 01.01.2018)), проектная документация объектов капитального строительства, относящихся</w:t>
            </w:r>
            <w:r w:rsidR="00D75008"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8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5008"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80E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законодательством в области охраны окружающей среды к объектам I категории, за исключением случаев, если такая проектная документация входит в состав материалов обоснования лицензий в соответствии</w:t>
            </w:r>
            <w:proofErr w:type="gramEnd"/>
            <w:r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hyperlink r:id="rId5" w:history="1">
              <w:r w:rsidRPr="004B580E">
                <w:rPr>
                  <w:rFonts w:ascii="Times New Roman" w:hAnsi="Times New Roman" w:cs="Times New Roman"/>
                  <w:sz w:val="24"/>
                  <w:szCs w:val="24"/>
                </w:rPr>
                <w:t>подпунктом 4</w:t>
              </w:r>
            </w:hyperlink>
            <w:r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статьи.</w:t>
            </w:r>
          </w:p>
          <w:p w:rsidR="003D70A7" w:rsidRPr="000A5404" w:rsidRDefault="0045772F" w:rsidP="00D750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Для однозначного и правильного ответа на указанный вопрос необходимо иметь </w:t>
            </w:r>
            <w:r w:rsidR="00D75008"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более полную информацию об объекте, о проектной документации, изучение которых и принятие решения о необходимости  проведения </w:t>
            </w:r>
            <w:r w:rsidR="00D75008" w:rsidRPr="004B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экологической экспертизы не входит в обязанности управления. </w:t>
            </w:r>
          </w:p>
        </w:tc>
      </w:tr>
      <w:tr w:rsidR="003D70A7" w:rsidRPr="00ED4311" w:rsidTr="00AE13A9">
        <w:tc>
          <w:tcPr>
            <w:tcW w:w="522" w:type="dxa"/>
          </w:tcPr>
          <w:p w:rsidR="003D70A7" w:rsidRPr="00ED4311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8" w:type="dxa"/>
          </w:tcPr>
          <w:p w:rsidR="003D70A7" w:rsidRPr="00ED4311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Кузнецкэкология</w:t>
            </w:r>
            <w:proofErr w:type="spellEnd"/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3D70A7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всем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с крупногабаритными шинами на угольных предприятиях актуально. Предприятия неохотно сдают их на утилизацию. На данный момент идут разговоры о создании государственной информационной системы, которая позволит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получать данные не только от предприятий, которые занижены в разы, а в том числе от независимых источников (таможня, Росстат). Когда эта система заработает и заработает ли вообще? И какие имеются существенные изменения по данному вопросу? Т.к. шины как закапывались, так и закапываются, переработка  в связи с этим находится в стагнации. На конференции в г. Москва 2 года назад представители Росприроднадзора говорили об этой ГИС аналитической системе, которая будет получать данные из разных ведомств,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совокупности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дающие объективную информацию о наличии в данном случае шин, которое покупает предприятие и через определенный срок должно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утилизировать. Эта система планирует вообще существовать? Или ушло в небытие?</w:t>
            </w:r>
          </w:p>
        </w:tc>
        <w:tc>
          <w:tcPr>
            <w:tcW w:w="5670" w:type="dxa"/>
          </w:tcPr>
          <w:p w:rsidR="00AE13A9" w:rsidRPr="00AE13A9" w:rsidRDefault="00AE13A9" w:rsidP="00AE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Единая государственная информационная система учета отходов от использования товаров является федеральной государственной информационной системой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(ЕГИС УОИТ)</w:t>
            </w:r>
            <w:r w:rsidRPr="00AE13A9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создания, эксплуатации и модернизации системы устанавливается Правительством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AE13A9">
              <w:rPr>
                <w:rFonts w:ascii="Times New Roman" w:hAnsi="Times New Roman" w:cs="Times New Roman"/>
                <w:sz w:val="24"/>
                <w:szCs w:val="24"/>
              </w:rPr>
              <w:t xml:space="preserve">. Управление не является разработчиком данного программного продукта. Утилизация шин обязанность не Управления, а тех хозяйствующих субъектов, которые используют шины и добросовестность природопользователей в части отчетности и составление нормативов, а так же этот вопрос относится к хозяйствующему субъекту. Лимиты на размещение этих отходов мы не выдаем, предприятия имеющие лицензию на утилизацию шин имеются, на сайте перечень лицензий </w:t>
            </w:r>
            <w:r w:rsidRPr="00AE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опубликован, поэтому здесь речь идет о добросовестности и ответственности хоз. субъектов. Хозяйствующие субъекты решают проблему в нашем регионе самостоятельно. </w:t>
            </w:r>
          </w:p>
          <w:p w:rsidR="00AE13A9" w:rsidRPr="00AE13A9" w:rsidRDefault="00AE13A9" w:rsidP="00AE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A9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разработана ИС «ЕГИС УОИТ», которая включает в себя реестры лицензий, производителей и импортеров товаров, операторов по обращению с отходами, объектов утилизации отходов, площадок сбора отходов, ФККО, ГРОРО, банк данных технологий по утилизации и обезвреживанию отходов. </w:t>
            </w:r>
          </w:p>
          <w:p w:rsidR="00AE13A9" w:rsidRPr="00AE13A9" w:rsidRDefault="00AE13A9" w:rsidP="00AE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3A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п.6 ст. 24.3 Федерального закона №89 от 24.06.1998 г.  «Об отходах производства и потребления»  субъектами, размещающими информацию в системе (далее - поставщики информации), которые обладают правом доступа к информации, содержащейся в системе, 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ФОИВ</w:t>
            </w:r>
            <w:r w:rsidRPr="00AE1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  <w:r w:rsidRPr="00AE13A9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AE13A9">
              <w:rPr>
                <w:rFonts w:ascii="Times New Roman" w:hAnsi="Times New Roman" w:cs="Times New Roman"/>
                <w:sz w:val="24"/>
                <w:szCs w:val="24"/>
              </w:rPr>
              <w:t>, операторы по обращению с твердыми коммунальными отходами, региональные операторы по обращению с твердыми коммунальными отходами, производители, импортеры товаров, подлежащих утилизации</w:t>
            </w:r>
            <w:proofErr w:type="gramEnd"/>
            <w:r w:rsidRPr="00AE13A9">
              <w:rPr>
                <w:rFonts w:ascii="Times New Roman" w:hAnsi="Times New Roman" w:cs="Times New Roman"/>
                <w:sz w:val="24"/>
                <w:szCs w:val="24"/>
              </w:rPr>
              <w:t xml:space="preserve"> после утраты ими потребительских свойств, а также юридические лица, индивидуальные предприниматели, осуществляющие деятельность в сфере обращения с отходами от использования товаров.</w:t>
            </w:r>
          </w:p>
          <w:p w:rsidR="003D70A7" w:rsidRPr="00ED4311" w:rsidRDefault="00AE13A9" w:rsidP="00AE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A9">
              <w:rPr>
                <w:rFonts w:ascii="Times New Roman" w:hAnsi="Times New Roman" w:cs="Times New Roman"/>
                <w:sz w:val="24"/>
                <w:szCs w:val="24"/>
              </w:rPr>
              <w:t>Со стороны Управления Росприроднадзора по Кемеровской области обязанности по внесению имеющейся информации в ЕГИС УОИТ исполняются.</w:t>
            </w:r>
          </w:p>
        </w:tc>
      </w:tr>
      <w:tr w:rsidR="003D70A7" w:rsidRPr="00ED4311" w:rsidTr="00AE13A9">
        <w:tc>
          <w:tcPr>
            <w:tcW w:w="522" w:type="dxa"/>
          </w:tcPr>
          <w:p w:rsidR="003D70A7" w:rsidRPr="00ED4311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38" w:type="dxa"/>
          </w:tcPr>
          <w:p w:rsidR="003D70A7" w:rsidRPr="00ED4311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ТопПром</w:t>
            </w:r>
            <w:proofErr w:type="spellEnd"/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3D70A7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по системным наблюдениям загрязнения атмосферного воздуха, в частности по системам учета загрязняющих средств. Утвердились ли методики сбора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заводах производятся сейчас эти приборы, где их можно закупить? Планирование бюджета с этим связано (автоматические системы контроля)</w:t>
            </w:r>
          </w:p>
          <w:p w:rsidR="00AE13A9" w:rsidRDefault="00AE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70A7" w:rsidRPr="00ED4311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Росприроднадзор не будет брать на себя такие функции как рекомендации конкретных заводов. Такие рекомендации будут звучать с коммерческой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0A7" w:rsidRPr="00ED4311" w:rsidTr="00AE13A9">
        <w:tc>
          <w:tcPr>
            <w:tcW w:w="522" w:type="dxa"/>
          </w:tcPr>
          <w:p w:rsidR="003D70A7" w:rsidRPr="00ED4311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8" w:type="dxa"/>
          </w:tcPr>
          <w:p w:rsidR="003D70A7" w:rsidRPr="00ED4311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ТопПром</w:t>
            </w:r>
            <w:proofErr w:type="spellEnd"/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3D70A7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ли запрет проверок по жалобам СМИ? Обязан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Росприроднадзор отрабатывать такие жалобы?</w:t>
            </w:r>
          </w:p>
        </w:tc>
        <w:tc>
          <w:tcPr>
            <w:tcW w:w="5670" w:type="dxa"/>
          </w:tcPr>
          <w:p w:rsidR="003D70A7" w:rsidRPr="00ED4311" w:rsidRDefault="003D70A7" w:rsidP="0055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СМИ информация может быть как за подписью </w:t>
            </w:r>
            <w:r w:rsidRPr="00ED4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гражданина, так и за подписью корреспондента. Такие жалобы мы принимаем и отрабатываем, но все равно мы их согласовываем с прокуратурой и там уже ставят свою резолюцию – должным ли образом это обращение поступило в СМИ. В любом случае любой гражданин может подать обращение через ЕСИА в рамках 59-ФЗ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0A7" w:rsidRPr="00ED4311" w:rsidTr="00AE13A9">
        <w:trPr>
          <w:trHeight w:val="207"/>
        </w:trPr>
        <w:tc>
          <w:tcPr>
            <w:tcW w:w="522" w:type="dxa"/>
          </w:tcPr>
          <w:p w:rsidR="003D70A7" w:rsidRPr="00ED4311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38" w:type="dxa"/>
          </w:tcPr>
          <w:p w:rsidR="003D70A7" w:rsidRPr="00ED4311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Погрузочно-транспортное управление</w:t>
            </w:r>
          </w:p>
        </w:tc>
        <w:tc>
          <w:tcPr>
            <w:tcW w:w="6662" w:type="dxa"/>
          </w:tcPr>
          <w:p w:rsidR="003D70A7" w:rsidRPr="004B580E" w:rsidRDefault="003D70A7" w:rsidP="004B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0E">
              <w:rPr>
                <w:rFonts w:ascii="Times New Roman" w:hAnsi="Times New Roman" w:cs="Times New Roman"/>
                <w:sz w:val="24"/>
                <w:szCs w:val="24"/>
              </w:rPr>
              <w:t>Вопрос по утилизации отработанных шпал</w:t>
            </w:r>
            <w:proofErr w:type="gramStart"/>
            <w:r w:rsidRPr="004B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58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B580E">
              <w:rPr>
                <w:rFonts w:ascii="Times New Roman" w:hAnsi="Times New Roman" w:cs="Times New Roman"/>
                <w:sz w:val="24"/>
                <w:szCs w:val="24"/>
              </w:rPr>
              <w:t>.к. предприятие занимается перевозкой грузов на ж/д транспорте, поэтому очень много образуется отработанных шпал и чт</w:t>
            </w:r>
            <w:r w:rsidR="004B580E">
              <w:rPr>
                <w:rFonts w:ascii="Times New Roman" w:hAnsi="Times New Roman" w:cs="Times New Roman"/>
                <w:sz w:val="24"/>
                <w:szCs w:val="24"/>
              </w:rPr>
              <w:t xml:space="preserve">обы исполнять законодательство </w:t>
            </w:r>
            <w:r w:rsidRPr="004B580E">
              <w:rPr>
                <w:rFonts w:ascii="Times New Roman" w:hAnsi="Times New Roman" w:cs="Times New Roman"/>
                <w:sz w:val="24"/>
                <w:szCs w:val="24"/>
              </w:rPr>
              <w:t>суммы по утилизации превышают в разы покупку данных шпал т.е. предприятию нужно 3 млн. руб. на утилизацию данной шпалы. Поэтому предприятие само изыскивает решение по данному вопросу. Можете ли подсказать что-то?</w:t>
            </w:r>
          </w:p>
        </w:tc>
        <w:tc>
          <w:tcPr>
            <w:tcW w:w="5670" w:type="dxa"/>
          </w:tcPr>
          <w:p w:rsidR="003D70A7" w:rsidRPr="00ED4311" w:rsidRDefault="00AE13A9" w:rsidP="0055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A9">
              <w:rPr>
                <w:rFonts w:ascii="Times New Roman" w:hAnsi="Times New Roman" w:cs="Times New Roman"/>
                <w:sz w:val="24"/>
                <w:szCs w:val="24"/>
              </w:rPr>
              <w:t>Проблема утилизации железнодорожных деревянных шпал  - острейшая для транспортной отрасли.  Согласно федеральному классификатору отходов,  отход «шпалы железнодорожные деревянные, пропитанные антисептическими средствами, отработанные» относится к третьему классу опасности. В соответствии с законодательством, предприятия обязаны обеспечивать утилизацию отходов самостоятельно. Реестр лицензий по сбору, транспортированию, обработке, утилизации, обезвреживанию и размещению отходов  I-IV класса опасности  размещен на официальном сайте Управления Росприроднадзора по Кемеровской области.</w:t>
            </w:r>
          </w:p>
        </w:tc>
      </w:tr>
      <w:tr w:rsidR="003D70A7" w:rsidRPr="00ED4311" w:rsidTr="00AE13A9">
        <w:trPr>
          <w:trHeight w:val="207"/>
        </w:trPr>
        <w:tc>
          <w:tcPr>
            <w:tcW w:w="522" w:type="dxa"/>
          </w:tcPr>
          <w:p w:rsidR="003D70A7" w:rsidRPr="00ED4311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8" w:type="dxa"/>
          </w:tcPr>
          <w:p w:rsidR="003D70A7" w:rsidRPr="00ED4311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D70A7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выдана лицензия в 2011г. Подлежит ли она передаче в Управление Росприроднадзора т.к. на сегодняшний день она считается недействительной?</w:t>
            </w:r>
          </w:p>
        </w:tc>
        <w:tc>
          <w:tcPr>
            <w:tcW w:w="5670" w:type="dxa"/>
          </w:tcPr>
          <w:p w:rsidR="003D70A7" w:rsidRPr="004B580E" w:rsidRDefault="003D70A7" w:rsidP="0093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передачи таких лицензий в Управление не предусмотрен. Если </w:t>
            </w:r>
            <w:proofErr w:type="gramStart"/>
            <w:r w:rsidRPr="004B580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proofErr w:type="gramEnd"/>
            <w:r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 не действующая она не может быть никем и никак использована. Лицензии тогда еще выданы </w:t>
            </w:r>
            <w:proofErr w:type="spellStart"/>
            <w:r w:rsidRPr="004B580E">
              <w:rPr>
                <w:rFonts w:ascii="Times New Roman" w:hAnsi="Times New Roman" w:cs="Times New Roman"/>
                <w:sz w:val="24"/>
                <w:szCs w:val="24"/>
              </w:rPr>
              <w:t>Ростехнадзором</w:t>
            </w:r>
            <w:proofErr w:type="spellEnd"/>
            <w:r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 и у Управления существует определенный перечень, который нам передали в 2012г.</w:t>
            </w:r>
          </w:p>
        </w:tc>
      </w:tr>
      <w:tr w:rsidR="003D70A7" w:rsidRPr="00ED4311" w:rsidTr="00AE13A9">
        <w:trPr>
          <w:trHeight w:val="207"/>
        </w:trPr>
        <w:tc>
          <w:tcPr>
            <w:tcW w:w="522" w:type="dxa"/>
          </w:tcPr>
          <w:p w:rsidR="003D70A7" w:rsidRPr="00ED4311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8" w:type="dxa"/>
          </w:tcPr>
          <w:p w:rsidR="003D70A7" w:rsidRPr="00ED4311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Кемеровское ДСК</w:t>
            </w:r>
          </w:p>
        </w:tc>
        <w:tc>
          <w:tcPr>
            <w:tcW w:w="6662" w:type="dxa"/>
          </w:tcPr>
          <w:p w:rsidR="003D70A7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режиму работы НМУ. На каких сайтах можно посмотреть режим? </w:t>
            </w:r>
          </w:p>
        </w:tc>
        <w:tc>
          <w:tcPr>
            <w:tcW w:w="5670" w:type="dxa"/>
          </w:tcPr>
          <w:p w:rsidR="003D70A7" w:rsidRPr="004B580E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О режимах мероприятий неблагоприятных метеорологических условий оповещается </w:t>
            </w:r>
            <w:proofErr w:type="gramStart"/>
            <w:r w:rsidRPr="004B580E">
              <w:rPr>
                <w:rFonts w:ascii="Times New Roman" w:hAnsi="Times New Roman" w:cs="Times New Roman"/>
                <w:sz w:val="24"/>
                <w:szCs w:val="24"/>
              </w:rPr>
              <w:t>Кемеровском</w:t>
            </w:r>
            <w:proofErr w:type="gramEnd"/>
            <w:r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 ЦГМС в рамках договорных соглашений. Если у вас заключен договор с ними вы буде </w:t>
            </w:r>
            <w:proofErr w:type="gramStart"/>
            <w:r w:rsidRPr="004B580E">
              <w:rPr>
                <w:rFonts w:ascii="Times New Roman" w:hAnsi="Times New Roman" w:cs="Times New Roman"/>
                <w:sz w:val="24"/>
                <w:szCs w:val="24"/>
              </w:rPr>
              <w:t>узнавать</w:t>
            </w:r>
            <w:proofErr w:type="gramEnd"/>
            <w:r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уведомлением. На сегодняшний момент больной вопрос - только договорные отношения, больше нигде не узнаете</w:t>
            </w:r>
            <w:r w:rsidR="003574F1"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. Изменение указанной ситуации </w:t>
            </w:r>
            <w:proofErr w:type="gramStart"/>
            <w:r w:rsidR="003574F1" w:rsidRPr="004B580E">
              <w:rPr>
                <w:rFonts w:ascii="Times New Roman" w:hAnsi="Times New Roman" w:cs="Times New Roman"/>
                <w:sz w:val="24"/>
                <w:szCs w:val="24"/>
              </w:rPr>
              <w:t>зависит</w:t>
            </w:r>
            <w:proofErr w:type="gramEnd"/>
            <w:r w:rsidR="003574F1"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от Кемеровского ЦГМС.</w:t>
            </w:r>
          </w:p>
        </w:tc>
      </w:tr>
      <w:tr w:rsidR="003D70A7" w:rsidRPr="00ED4311" w:rsidTr="00AE13A9">
        <w:trPr>
          <w:trHeight w:val="207"/>
        </w:trPr>
        <w:tc>
          <w:tcPr>
            <w:tcW w:w="522" w:type="dxa"/>
          </w:tcPr>
          <w:p w:rsidR="003D70A7" w:rsidRPr="00ED4311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8" w:type="dxa"/>
          </w:tcPr>
          <w:p w:rsidR="003D70A7" w:rsidRPr="00ED4311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proofErr w:type="spellStart"/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Талдинская</w:t>
            </w:r>
            <w:proofErr w:type="spellEnd"/>
          </w:p>
        </w:tc>
        <w:tc>
          <w:tcPr>
            <w:tcW w:w="6662" w:type="dxa"/>
          </w:tcPr>
          <w:p w:rsidR="003D70A7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регламентом Росприроднадзора не предусмотрена процедура продления сроков выполнения предписаний. Предприятие по каким-либо объективным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уважительным причинам не может уложиться в сроки выполнения и сейчас существует процедура только в судебном порядке. Планируется ли в этой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регламент и соответственно продления таких сроков рассмотрения?</w:t>
            </w:r>
          </w:p>
        </w:tc>
        <w:tc>
          <w:tcPr>
            <w:tcW w:w="5670" w:type="dxa"/>
          </w:tcPr>
          <w:p w:rsidR="003D70A7" w:rsidRPr="004B580E" w:rsidRDefault="003D70A7" w:rsidP="00ED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только регламентом не предусмотрено продление сроков выполнения предписания, но и  не предусмотрено этот вопрос еще и 294-ФЗ. После </w:t>
            </w:r>
            <w:r w:rsidRPr="004B5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изменений, произошедших в этом законе, </w:t>
            </w:r>
            <w:proofErr w:type="gramStart"/>
            <w:r w:rsidRPr="004B580E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 что касается предписаний осталось на прежнем уровне. Нет нормативного </w:t>
            </w:r>
            <w:proofErr w:type="gramStart"/>
            <w:r w:rsidRPr="004B580E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gramEnd"/>
            <w:r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предусматривает продление. Хотя предписание Росприроднадзор выдает с учетом сроков исполнения. Если это ПДВ то учитывается весь период его разработки, если сбросы – с учетом мониторинга. Всегда ставятся разумные сроки</w:t>
            </w:r>
          </w:p>
        </w:tc>
      </w:tr>
      <w:tr w:rsidR="003D70A7" w:rsidRPr="00ED4311" w:rsidTr="00AE13A9">
        <w:trPr>
          <w:trHeight w:val="207"/>
        </w:trPr>
        <w:tc>
          <w:tcPr>
            <w:tcW w:w="522" w:type="dxa"/>
          </w:tcPr>
          <w:p w:rsidR="003D70A7" w:rsidRPr="00ED4311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38" w:type="dxa"/>
          </w:tcPr>
          <w:p w:rsidR="003D70A7" w:rsidRPr="00ED4311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proofErr w:type="spellStart"/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Талдинская</w:t>
            </w:r>
            <w:proofErr w:type="spellEnd"/>
          </w:p>
        </w:tc>
        <w:tc>
          <w:tcPr>
            <w:tcW w:w="6662" w:type="dxa"/>
          </w:tcPr>
          <w:p w:rsidR="003D70A7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 января вступили в силу новые нормативно-правовые акты в сфере нормирования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выбросов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возникает очень много вопросов. В связи с этим лучше обращаться к разработчикам этих методик и сроки разработки и согласования нормативов увеличиваются. Как в этой сфере быть с теми же сроками предписаний?</w:t>
            </w:r>
          </w:p>
        </w:tc>
        <w:tc>
          <w:tcPr>
            <w:tcW w:w="5670" w:type="dxa"/>
          </w:tcPr>
          <w:p w:rsidR="003D70A7" w:rsidRPr="004B580E" w:rsidRDefault="003D70A7" w:rsidP="00A8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0E">
              <w:rPr>
                <w:rFonts w:ascii="Times New Roman" w:hAnsi="Times New Roman" w:cs="Times New Roman"/>
                <w:sz w:val="24"/>
                <w:szCs w:val="24"/>
              </w:rPr>
              <w:t>Все вопросы должны разрешаться на стадии разработки нормативов ПДВ, а не после того как обратились на рассмотрение. Вы, разрабатывая проект</w:t>
            </w:r>
            <w:r w:rsidR="003574F1"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</w:t>
            </w:r>
            <w:r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 ПДВ, обязаны обеспечить его соответствие действующим </w:t>
            </w:r>
            <w:proofErr w:type="gramStart"/>
            <w:r w:rsidRPr="004B580E">
              <w:rPr>
                <w:rFonts w:ascii="Times New Roman" w:hAnsi="Times New Roman" w:cs="Times New Roman"/>
                <w:sz w:val="24"/>
                <w:szCs w:val="24"/>
              </w:rPr>
              <w:t>нормативно-правовыми</w:t>
            </w:r>
            <w:proofErr w:type="gramEnd"/>
            <w:r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</w:t>
            </w:r>
            <w:r w:rsidR="003574F1"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. Одним из </w:t>
            </w:r>
            <w:r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нормативно-правовы</w:t>
            </w:r>
            <w:r w:rsidR="003574F1" w:rsidRPr="004B58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</w:t>
            </w:r>
            <w:r w:rsidR="003574F1" w:rsidRPr="004B58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новая методика рассеивания. Мы провер</w:t>
            </w:r>
            <w:r w:rsidR="003574F1"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яем </w:t>
            </w:r>
            <w:r w:rsidRPr="004B580E">
              <w:rPr>
                <w:rFonts w:ascii="Times New Roman" w:hAnsi="Times New Roman" w:cs="Times New Roman"/>
                <w:sz w:val="24"/>
                <w:szCs w:val="24"/>
              </w:rPr>
              <w:t>на соответствие</w:t>
            </w:r>
            <w:r w:rsidR="003574F1"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методике, </w:t>
            </w:r>
            <w:r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74F1"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методике является </w:t>
            </w:r>
            <w:r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отказа </w:t>
            </w:r>
            <w:r w:rsidR="003574F1" w:rsidRPr="004B580E">
              <w:rPr>
                <w:rFonts w:ascii="Times New Roman" w:hAnsi="Times New Roman" w:cs="Times New Roman"/>
                <w:sz w:val="24"/>
                <w:szCs w:val="24"/>
              </w:rPr>
              <w:t>в установлении нормативов ПДВ.</w:t>
            </w:r>
          </w:p>
        </w:tc>
      </w:tr>
      <w:tr w:rsidR="003D70A7" w:rsidRPr="00ED4311" w:rsidTr="00AE13A9">
        <w:trPr>
          <w:trHeight w:val="207"/>
        </w:trPr>
        <w:tc>
          <w:tcPr>
            <w:tcW w:w="522" w:type="dxa"/>
          </w:tcPr>
          <w:p w:rsidR="003D70A7" w:rsidRPr="00ED4311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8" w:type="dxa"/>
          </w:tcPr>
          <w:p w:rsidR="003D70A7" w:rsidRPr="00ED4311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ОАО «УК «</w:t>
            </w:r>
            <w:proofErr w:type="spellStart"/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Кузбассразрезуголь</w:t>
            </w:r>
            <w:proofErr w:type="spellEnd"/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3D70A7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в сфере нормирования атмосферного воздуха, касательно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учитывающего рельеф местности. По методике, которая утратила свою силу, есть ремарка «в случае сложных рельефов коэффициент рельефа местности должен быть подтвержден справкой Росгидромета. В новых методах рассеивания эта ремарка убрана. При рассмотрении проектов ПДВ Управление Росприроднадзора для подтверждения значения этого коэффициента рельефа сейчас требуется получения справки Росгидромета или же проектировщик - разработчик может сам рассчитать этот коэффициент? Будете ли вы считать его легитимным?</w:t>
            </w:r>
          </w:p>
        </w:tc>
        <w:tc>
          <w:tcPr>
            <w:tcW w:w="5670" w:type="dxa"/>
          </w:tcPr>
          <w:p w:rsidR="003D70A7" w:rsidRPr="004B580E" w:rsidRDefault="00A8751B" w:rsidP="008D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Действуйте </w:t>
            </w:r>
            <w:r w:rsidR="003D70A7"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новой Методикой </w:t>
            </w:r>
            <w:r w:rsidR="003D70A7"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по рассеиванию. Вопросы у управления по этому поводу возникли, мы их направили для обсуждения в том числе с Росгидрометом, </w:t>
            </w:r>
            <w:r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 </w:t>
            </w:r>
            <w:r w:rsidR="003D70A7"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нас беспокоит информационная база в сети интернет в том числе получения карт высот, </w:t>
            </w:r>
            <w:r w:rsidRPr="004B580E">
              <w:rPr>
                <w:rFonts w:ascii="Times New Roman" w:hAnsi="Times New Roman" w:cs="Times New Roman"/>
                <w:sz w:val="24"/>
                <w:szCs w:val="24"/>
              </w:rPr>
              <w:t>так как</w:t>
            </w:r>
            <w:r w:rsidR="003D70A7"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 новая программа</w:t>
            </w:r>
            <w:proofErr w:type="gramStart"/>
            <w:r w:rsidR="003D70A7"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D70A7"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реализующая методику рассеивания 2017 года предусматривает наличие распечаток изолиний,  с указанием высот. </w:t>
            </w:r>
            <w:r w:rsidRPr="004B580E">
              <w:rPr>
                <w:rFonts w:ascii="Times New Roman" w:hAnsi="Times New Roman" w:cs="Times New Roman"/>
                <w:sz w:val="24"/>
                <w:szCs w:val="24"/>
              </w:rPr>
              <w:t>Коэффициент рельефа можно рассчитать, все вопросы по расчету коэффициента рекомендуем направлять разработчикам методики рассеивания.</w:t>
            </w:r>
            <w:r w:rsidR="003D70A7"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 Мнение </w:t>
            </w:r>
            <w:r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авторов методики </w:t>
            </w:r>
            <w:r w:rsidR="003D70A7" w:rsidRPr="004B580E">
              <w:rPr>
                <w:rFonts w:ascii="Times New Roman" w:hAnsi="Times New Roman" w:cs="Times New Roman"/>
                <w:sz w:val="24"/>
                <w:szCs w:val="24"/>
              </w:rPr>
              <w:t>будет достаточным для обоснования вашей позиции. Ожида</w:t>
            </w:r>
            <w:r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="003D70A7"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со стороны ЦА</w:t>
            </w:r>
            <w:r w:rsidR="008D0AC6"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направленным  в ЦА.</w:t>
            </w:r>
          </w:p>
        </w:tc>
      </w:tr>
      <w:tr w:rsidR="003D70A7" w:rsidRPr="00ED4311" w:rsidTr="00AE13A9">
        <w:trPr>
          <w:trHeight w:val="207"/>
        </w:trPr>
        <w:tc>
          <w:tcPr>
            <w:tcW w:w="522" w:type="dxa"/>
          </w:tcPr>
          <w:p w:rsidR="003D70A7" w:rsidRPr="00ED4311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8" w:type="dxa"/>
          </w:tcPr>
          <w:p w:rsidR="003D70A7" w:rsidRPr="00ED4311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ОАО «УК «</w:t>
            </w:r>
            <w:proofErr w:type="spellStart"/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Кузбассразрезуголь</w:t>
            </w:r>
            <w:proofErr w:type="spellEnd"/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3D70A7" w:rsidRDefault="003D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ли какая-то конференция или круглый стол по возможным обсуждениям проблемных вопросов в сфере нормирования атмосферного воздуха?</w:t>
            </w:r>
          </w:p>
        </w:tc>
        <w:tc>
          <w:tcPr>
            <w:tcW w:w="5670" w:type="dxa"/>
          </w:tcPr>
          <w:p w:rsidR="003D70A7" w:rsidRPr="00ED4311" w:rsidRDefault="003D70A7" w:rsidP="00ED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данному вопросу существует прием граждан руководителем еженедельно по вторникам.</w:t>
            </w:r>
          </w:p>
        </w:tc>
      </w:tr>
    </w:tbl>
    <w:p w:rsidR="0043406A" w:rsidRPr="00ED4311" w:rsidRDefault="0043406A">
      <w:pPr>
        <w:rPr>
          <w:rFonts w:ascii="Times New Roman" w:hAnsi="Times New Roman" w:cs="Times New Roman"/>
          <w:sz w:val="24"/>
          <w:szCs w:val="24"/>
        </w:rPr>
      </w:pPr>
    </w:p>
    <w:sectPr w:rsidR="0043406A" w:rsidRPr="00ED4311" w:rsidSect="00AE13A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D7"/>
    <w:rsid w:val="00094310"/>
    <w:rsid w:val="000A5404"/>
    <w:rsid w:val="000C2875"/>
    <w:rsid w:val="00147CBF"/>
    <w:rsid w:val="001759A1"/>
    <w:rsid w:val="0029437E"/>
    <w:rsid w:val="003574F1"/>
    <w:rsid w:val="003C19B1"/>
    <w:rsid w:val="003D70A7"/>
    <w:rsid w:val="0043406A"/>
    <w:rsid w:val="0045772F"/>
    <w:rsid w:val="004B580E"/>
    <w:rsid w:val="0055675D"/>
    <w:rsid w:val="005B722A"/>
    <w:rsid w:val="006D3B4E"/>
    <w:rsid w:val="006E3383"/>
    <w:rsid w:val="00712F96"/>
    <w:rsid w:val="00843F72"/>
    <w:rsid w:val="008C429A"/>
    <w:rsid w:val="008D0AC6"/>
    <w:rsid w:val="00936326"/>
    <w:rsid w:val="00992EE6"/>
    <w:rsid w:val="009C3687"/>
    <w:rsid w:val="00A41045"/>
    <w:rsid w:val="00A8751B"/>
    <w:rsid w:val="00A909DB"/>
    <w:rsid w:val="00AA73AE"/>
    <w:rsid w:val="00AE13A9"/>
    <w:rsid w:val="00B40357"/>
    <w:rsid w:val="00B500C6"/>
    <w:rsid w:val="00B51244"/>
    <w:rsid w:val="00B83268"/>
    <w:rsid w:val="00BB2F2F"/>
    <w:rsid w:val="00D75008"/>
    <w:rsid w:val="00DE3ED7"/>
    <w:rsid w:val="00EA37E1"/>
    <w:rsid w:val="00EC313C"/>
    <w:rsid w:val="00E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2A6B4515362BA08B0651F27D88C0C83D8EDB99091DDC587658AF9BC7C2F9BEEFEEBD31AF363153a7l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User067-21</dc:creator>
  <cp:keywords/>
  <dc:description/>
  <cp:lastModifiedBy>User067-22</cp:lastModifiedBy>
  <cp:revision>27</cp:revision>
  <dcterms:created xsi:type="dcterms:W3CDTF">2018-03-13T07:32:00Z</dcterms:created>
  <dcterms:modified xsi:type="dcterms:W3CDTF">2018-03-22T08:06:00Z</dcterms:modified>
</cp:coreProperties>
</file>